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23E966">
      <w:pPr>
        <w:spacing w:before="1200" w:after="80"/>
        <w:jc w:val="center"/>
      </w:pPr>
      <w:r>
        <w:rPr>
          <w:rFonts w:ascii="Calibri" w:hAnsi="Calibri" w:eastAsia="微软雅黑"/>
          <w:b/>
          <w:color w:val="1F4D78"/>
          <w:sz w:val="36"/>
        </w:rPr>
        <w:t>交互组合仿真子系统</w:t>
      </w:r>
    </w:p>
    <w:p w14:paraId="688C2D4E">
      <w:pPr>
        <w:spacing w:after="360"/>
        <w:jc w:val="center"/>
      </w:pPr>
      <w:r>
        <w:rPr>
          <w:rFonts w:ascii="Calibri" w:hAnsi="Calibri" w:eastAsia="微软雅黑"/>
          <w:b/>
          <w:color w:val="000000"/>
          <w:sz w:val="48"/>
        </w:rPr>
        <w:t>交互组合仿真子系统操作规程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15858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50319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项目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5AA1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内容</w:t>
            </w:r>
          </w:p>
        </w:tc>
      </w:tr>
      <w:tr w14:paraId="51297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AFBFC"/>
            <w:vAlign w:val="center"/>
          </w:tcPr>
          <w:p w14:paraId="1321F7DB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文档版本</w:t>
            </w:r>
          </w:p>
        </w:tc>
        <w:tc>
          <w:tcPr>
            <w:tcW w:w="7560" w:type="dxa"/>
            <w:shd w:val="clear" w:color="auto" w:fill="FAFBFC"/>
            <w:vAlign w:val="center"/>
          </w:tcPr>
          <w:p w14:paraId="61F4E9D7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V1.0 草稿</w:t>
            </w:r>
          </w:p>
        </w:tc>
      </w:tr>
      <w:tr w14:paraId="0E392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FFFFF"/>
            <w:vAlign w:val="center"/>
          </w:tcPr>
          <w:p w14:paraId="36293146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编制日期</w:t>
            </w:r>
          </w:p>
        </w:tc>
        <w:tc>
          <w:tcPr>
            <w:tcW w:w="7560" w:type="dxa"/>
            <w:shd w:val="clear" w:color="auto" w:fill="FFFFFF"/>
            <w:vAlign w:val="center"/>
          </w:tcPr>
          <w:p w14:paraId="3A779862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2026年05月24日</w:t>
            </w:r>
          </w:p>
        </w:tc>
      </w:tr>
      <w:tr w14:paraId="316E5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AFBFC"/>
            <w:vAlign w:val="center"/>
          </w:tcPr>
          <w:p w14:paraId="01321A6D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文档状态</w:t>
            </w:r>
          </w:p>
        </w:tc>
        <w:tc>
          <w:tcPr>
            <w:tcW w:w="7560" w:type="dxa"/>
            <w:shd w:val="clear" w:color="auto" w:fill="FAFBFC"/>
            <w:vAlign w:val="center"/>
          </w:tcPr>
          <w:p w14:paraId="4E4834CC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草稿，供内部审改</w:t>
            </w:r>
          </w:p>
        </w:tc>
      </w:tr>
      <w:tr w14:paraId="17BF7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FFFFF"/>
            <w:vAlign w:val="center"/>
          </w:tcPr>
          <w:p w14:paraId="58911888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适用对象</w:t>
            </w:r>
          </w:p>
        </w:tc>
        <w:tc>
          <w:tcPr>
            <w:tcW w:w="7560" w:type="dxa"/>
            <w:shd w:val="clear" w:color="auto" w:fill="FFFFFF"/>
            <w:vAlign w:val="center"/>
          </w:tcPr>
          <w:p w14:paraId="104E33D6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项目管理、开发、测试、主试和验收人员</w:t>
            </w:r>
          </w:p>
        </w:tc>
      </w:tr>
      <w:tr w14:paraId="2640A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AFBFC"/>
            <w:vAlign w:val="center"/>
          </w:tcPr>
          <w:p w14:paraId="5492179F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资料来源</w:t>
            </w:r>
          </w:p>
        </w:tc>
        <w:tc>
          <w:tcPr>
            <w:tcW w:w="7560" w:type="dxa"/>
            <w:shd w:val="clear" w:color="auto" w:fill="FAFBFC"/>
            <w:vAlign w:val="center"/>
          </w:tcPr>
          <w:p w14:paraId="7CDC48D9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项目实施方案、软件说明书、当前 Unity 工程、测试数据与交付包</w:t>
            </w:r>
          </w:p>
        </w:tc>
      </w:tr>
    </w:tbl>
    <w:p w14:paraId="15B4E53C"/>
    <w:p w14:paraId="1CCFCAB1">
      <w:r>
        <w:br w:type="page"/>
      </w:r>
    </w:p>
    <w:p w14:paraId="1AB95C6D">
      <w:pPr>
        <w:pStyle w:val="3"/>
      </w:pPr>
      <w:r>
        <w:t>修订记录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1800"/>
        <w:gridCol w:w="5160"/>
        <w:gridCol w:w="1200"/>
      </w:tblGrid>
      <w:tr w14:paraId="635BB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54CD4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版本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DFA7C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日期</w:t>
            </w:r>
          </w:p>
        </w:tc>
        <w:tc>
          <w:tcPr>
            <w:tcW w:w="5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9CF47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修订说明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E5163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修订人</w:t>
            </w:r>
          </w:p>
        </w:tc>
      </w:tr>
      <w:tr w14:paraId="0E800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shd w:val="clear" w:color="auto" w:fill="FAFBFC"/>
            <w:vAlign w:val="center"/>
          </w:tcPr>
          <w:p w14:paraId="4033A1DF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V1.0 草稿</w:t>
            </w:r>
          </w:p>
        </w:tc>
        <w:tc>
          <w:tcPr>
            <w:tcW w:w="1800" w:type="dxa"/>
            <w:shd w:val="clear" w:color="auto" w:fill="FAFBFC"/>
            <w:vAlign w:val="center"/>
          </w:tcPr>
          <w:p w14:paraId="2B326C4D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2026年05月24日</w:t>
            </w:r>
          </w:p>
        </w:tc>
        <w:tc>
          <w:tcPr>
            <w:tcW w:w="5160" w:type="dxa"/>
            <w:shd w:val="clear" w:color="auto" w:fill="FAFBFC"/>
            <w:vAlign w:val="center"/>
          </w:tcPr>
          <w:p w14:paraId="0D139CC8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初始草稿生成，依据现有方案书、工程和测试记录整理。</w:t>
            </w:r>
          </w:p>
        </w:tc>
        <w:tc>
          <w:tcPr>
            <w:tcW w:w="1200" w:type="dxa"/>
            <w:shd w:val="clear" w:color="auto" w:fill="FAFBFC"/>
            <w:vAlign w:val="center"/>
          </w:tcPr>
          <w:p w14:paraId="1C496241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Codex</w:t>
            </w:r>
          </w:p>
        </w:tc>
      </w:tr>
    </w:tbl>
    <w:p w14:paraId="08146F08"/>
    <w:p w14:paraId="53D8B826">
      <w:pPr>
        <w:pStyle w:val="3"/>
      </w:pPr>
      <w:r>
        <w:t>目录</w:t>
      </w:r>
    </w:p>
    <w:p w14:paraId="709E150D">
      <w:pPr>
        <w:spacing w:after="120"/>
      </w:pPr>
      <w:r>
        <w:rPr>
          <w:rFonts w:ascii="Calibri" w:hAnsi="Calibri" w:eastAsia="微软雅黑"/>
        </w:rPr>
        <w:t>此处为目录占位。正式定稿前可在 Word 中通过“引用 - 目录 - 更新目录”生成自动目录。</w:t>
      </w:r>
    </w:p>
    <w:p w14:paraId="6BB3F7C1">
      <w:r>
        <w:br w:type="page"/>
      </w:r>
    </w:p>
    <w:p w14:paraId="309BCCF3">
      <w:pPr>
        <w:pStyle w:val="3"/>
      </w:pPr>
      <w:r>
        <w:t>第一章 适用范围</w:t>
      </w:r>
    </w:p>
    <w:p w14:paraId="3D77DCCF">
      <w:pPr>
        <w:spacing w:after="120"/>
      </w:pPr>
      <w:r>
        <w:rPr>
          <w:rFonts w:ascii="Calibri" w:hAnsi="Calibri" w:eastAsia="微软雅黑"/>
        </w:rPr>
        <w:t>本文档面向主试与操作人员，按操作规程形式规定实验准备、启动、采集、结束和异常处理步骤，保证执行一致性。</w:t>
      </w:r>
    </w:p>
    <w:p w14:paraId="4DD3B2BA">
      <w:pPr>
        <w:pStyle w:val="3"/>
      </w:pPr>
      <w:r>
        <w:t>第二章 设备与环境准备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200"/>
        <w:gridCol w:w="3360"/>
      </w:tblGrid>
      <w:tr w14:paraId="7AFD3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51B3B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检查项</w:t>
            </w:r>
          </w:p>
        </w:tc>
        <w:tc>
          <w:tcPr>
            <w:tcW w:w="4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321E7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要求</w:t>
            </w:r>
          </w:p>
        </w:tc>
        <w:tc>
          <w:tcPr>
            <w:tcW w:w="3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CE452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确认方式</w:t>
            </w:r>
          </w:p>
        </w:tc>
      </w:tr>
      <w:tr w14:paraId="69410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AFBFC"/>
            <w:vAlign w:val="center"/>
          </w:tcPr>
          <w:p w14:paraId="45B6C384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PICO 4 Pro</w:t>
            </w:r>
          </w:p>
        </w:tc>
        <w:tc>
          <w:tcPr>
            <w:tcW w:w="4200" w:type="dxa"/>
            <w:shd w:val="clear" w:color="auto" w:fill="FAFBFC"/>
            <w:vAlign w:val="center"/>
          </w:tcPr>
          <w:p w14:paraId="4C266BC7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头显电量充足、佩戴稳定、眼动权限可用。</w:t>
            </w:r>
          </w:p>
        </w:tc>
        <w:tc>
          <w:tcPr>
            <w:tcW w:w="3360" w:type="dxa"/>
            <w:shd w:val="clear" w:color="auto" w:fill="FAFBFC"/>
            <w:vAlign w:val="center"/>
          </w:tcPr>
          <w:p w14:paraId="3A59FE47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开机后检查设备状态和眼动追踪状态。</w:t>
            </w:r>
          </w:p>
        </w:tc>
      </w:tr>
      <w:tr w14:paraId="03B14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FFFFF"/>
            <w:vAlign w:val="center"/>
          </w:tcPr>
          <w:p w14:paraId="5E7E747A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手柄</w:t>
            </w:r>
          </w:p>
        </w:tc>
        <w:tc>
          <w:tcPr>
            <w:tcW w:w="4200" w:type="dxa"/>
            <w:shd w:val="clear" w:color="auto" w:fill="FFFFFF"/>
            <w:vAlign w:val="center"/>
          </w:tcPr>
          <w:p w14:paraId="19D35E82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左右手柄已连接，按键响应正常。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74D24891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在系统界面中执行确认输入测试。</w:t>
            </w:r>
          </w:p>
        </w:tc>
      </w:tr>
      <w:tr w14:paraId="0B76C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AFBFC"/>
            <w:vAlign w:val="center"/>
          </w:tcPr>
          <w:p w14:paraId="6B246CC0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Windows 主机</w:t>
            </w:r>
          </w:p>
        </w:tc>
        <w:tc>
          <w:tcPr>
            <w:tcW w:w="4200" w:type="dxa"/>
            <w:shd w:val="clear" w:color="auto" w:fill="FAFBFC"/>
            <w:vAlign w:val="center"/>
          </w:tcPr>
          <w:p w14:paraId="3397520A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可安装 APK 或运行 Unity 工程调试。</w:t>
            </w:r>
          </w:p>
        </w:tc>
        <w:tc>
          <w:tcPr>
            <w:tcW w:w="3360" w:type="dxa"/>
            <w:shd w:val="clear" w:color="auto" w:fill="FAFBFC"/>
            <w:vAlign w:val="center"/>
          </w:tcPr>
          <w:p w14:paraId="2446F23C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检查 USB/ADB、PICO 连接和工程依赖。</w:t>
            </w:r>
          </w:p>
        </w:tc>
      </w:tr>
      <w:tr w14:paraId="5820A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FFFFF"/>
            <w:vAlign w:val="center"/>
          </w:tcPr>
          <w:p w14:paraId="0F39D595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实验环境</w:t>
            </w:r>
          </w:p>
        </w:tc>
        <w:tc>
          <w:tcPr>
            <w:tcW w:w="4200" w:type="dxa"/>
            <w:shd w:val="clear" w:color="auto" w:fill="FFFFFF"/>
            <w:vAlign w:val="center"/>
          </w:tcPr>
          <w:p w14:paraId="7A3B7C40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光线适中、空间安全、被试无明显疲劳不适。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1595CEDC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主试按实验准备清单确认。</w:t>
            </w:r>
          </w:p>
        </w:tc>
      </w:tr>
      <w:tr w14:paraId="31F91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AFBFC"/>
            <w:vAlign w:val="center"/>
          </w:tcPr>
          <w:p w14:paraId="6876CB85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软件资源</w:t>
            </w:r>
          </w:p>
        </w:tc>
        <w:tc>
          <w:tcPr>
            <w:tcW w:w="4200" w:type="dxa"/>
            <w:shd w:val="clear" w:color="auto" w:fill="FAFBFC"/>
            <w:vAlign w:val="center"/>
          </w:tcPr>
          <w:p w14:paraId="22CEF26D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APK、模型文件、stats JSON、数据目录准备完整。</w:t>
            </w:r>
          </w:p>
        </w:tc>
        <w:tc>
          <w:tcPr>
            <w:tcW w:w="3360" w:type="dxa"/>
            <w:shd w:val="clear" w:color="auto" w:fill="FAFBFC"/>
            <w:vAlign w:val="center"/>
          </w:tcPr>
          <w:p w14:paraId="76834673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核对交付包和工程目录。</w:t>
            </w:r>
          </w:p>
        </w:tc>
      </w:tr>
    </w:tbl>
    <w:p w14:paraId="630843A3"/>
    <w:p w14:paraId="58E82215">
      <w:pPr>
        <w:pStyle w:val="3"/>
      </w:pPr>
      <w:r>
        <w:t>第三</w:t>
      </w:r>
      <w:bookmarkStart w:id="0" w:name="_GoBack"/>
      <w:bookmarkEnd w:id="0"/>
      <w:r>
        <w:t>章 标准流程</w:t>
      </w:r>
    </w:p>
    <w:p w14:paraId="7125EBEC">
      <w:pPr>
        <w:pStyle w:val="14"/>
        <w:spacing w:after="80"/>
      </w:pPr>
      <w:r>
        <w:rPr>
          <w:rFonts w:ascii="Calibri" w:hAnsi="Calibri" w:eastAsia="微软雅黑"/>
        </w:rPr>
        <w:t>实验前准备：检查设备、电量、空间、主机、APK、模型和数据目录。</w:t>
      </w:r>
    </w:p>
    <w:p w14:paraId="75260A8A">
      <w:pPr>
        <w:pStyle w:val="14"/>
        <w:spacing w:after="80"/>
      </w:pPr>
      <w:r>
        <w:rPr>
          <w:rFonts w:ascii="Calibri" w:hAnsi="Calibri" w:eastAsia="微软雅黑"/>
        </w:rPr>
        <w:t>被试准备：说明实验目的和操作要求，确认身体状态，完成佩戴调节。</w:t>
      </w:r>
    </w:p>
    <w:p w14:paraId="592C5B85">
      <w:pPr>
        <w:pStyle w:val="14"/>
        <w:spacing w:after="80"/>
      </w:pPr>
      <w:r>
        <w:rPr>
          <w:rFonts w:ascii="Calibri" w:hAnsi="Calibri" w:eastAsia="微软雅黑"/>
        </w:rPr>
        <w:t>预实验：不纳入正式记录，用于检查 AOI 命中、按钮反馈、计时和数据写入。</w:t>
      </w:r>
    </w:p>
    <w:p w14:paraId="0CDBE187">
      <w:pPr>
        <w:pStyle w:val="14"/>
        <w:spacing w:after="80"/>
      </w:pPr>
      <w:r>
        <w:rPr>
          <w:rFonts w:ascii="Calibri" w:hAnsi="Calibri" w:eastAsia="微软雅黑"/>
        </w:rPr>
        <w:t>正式采集：主试发布任务，被试执行观察和确认，系统记录帧级数据。</w:t>
      </w:r>
    </w:p>
    <w:p w14:paraId="5C2339D3">
      <w:pPr>
        <w:pStyle w:val="14"/>
        <w:spacing w:after="80"/>
      </w:pPr>
      <w:r>
        <w:rPr>
          <w:rFonts w:ascii="Calibri" w:hAnsi="Calibri" w:eastAsia="微软雅黑"/>
        </w:rPr>
        <w:t>轮次结束：检查 Frame CSV 是否生成，确认任务结果和异常备注。</w:t>
      </w:r>
    </w:p>
    <w:p w14:paraId="39D527C2">
      <w:pPr>
        <w:pStyle w:val="14"/>
        <w:spacing w:after="80"/>
      </w:pPr>
      <w:r>
        <w:rPr>
          <w:rFonts w:ascii="Calibri" w:hAnsi="Calibri" w:eastAsia="微软雅黑"/>
        </w:rPr>
        <w:t>阶段休息：每轮后安排短休，避免疲劳影响眼动数据质量。</w:t>
      </w:r>
    </w:p>
    <w:p w14:paraId="6615558E">
      <w:pPr>
        <w:pStyle w:val="14"/>
        <w:spacing w:after="80"/>
      </w:pPr>
      <w:r>
        <w:rPr>
          <w:rFonts w:ascii="Calibri" w:hAnsi="Calibri" w:eastAsia="微软雅黑"/>
        </w:rPr>
        <w:t>实验结束：备份数据、记录日志、关闭应用和设备。</w:t>
      </w:r>
    </w:p>
    <w:p w14:paraId="0801934C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第四章 任务说明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200"/>
        <w:gridCol w:w="3360"/>
      </w:tblGrid>
      <w:tr w14:paraId="41BCF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364C9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任务类型</w:t>
            </w:r>
          </w:p>
        </w:tc>
        <w:tc>
          <w:tcPr>
            <w:tcW w:w="4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4B69F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操作要点</w:t>
            </w:r>
          </w:p>
        </w:tc>
        <w:tc>
          <w:tcPr>
            <w:tcW w:w="3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AA5CC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记录重点</w:t>
            </w:r>
          </w:p>
        </w:tc>
      </w:tr>
      <w:tr w14:paraId="48EAE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AFBFC"/>
            <w:vAlign w:val="center"/>
          </w:tcPr>
          <w:p w14:paraId="459351CF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静态任务</w:t>
            </w:r>
          </w:p>
        </w:tc>
        <w:tc>
          <w:tcPr>
            <w:tcW w:w="4200" w:type="dxa"/>
            <w:shd w:val="clear" w:color="auto" w:fill="FAFBFC"/>
            <w:vAlign w:val="center"/>
          </w:tcPr>
          <w:p w14:paraId="6DA94281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被试在固定时间段内观察主试指定的目标控件。</w:t>
            </w:r>
          </w:p>
        </w:tc>
        <w:tc>
          <w:tcPr>
            <w:tcW w:w="3360" w:type="dxa"/>
            <w:shd w:val="clear" w:color="auto" w:fill="FAFBFC"/>
            <w:vAlign w:val="center"/>
          </w:tcPr>
          <w:p w14:paraId="49F419B5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注视持续时间、AOI 命中、推荐目标、完成情况。</w:t>
            </w:r>
          </w:p>
        </w:tc>
      </w:tr>
      <w:tr w14:paraId="10C4D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FFFFF"/>
            <w:vAlign w:val="center"/>
          </w:tcPr>
          <w:p w14:paraId="3465F632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动态任务</w:t>
            </w:r>
          </w:p>
        </w:tc>
        <w:tc>
          <w:tcPr>
            <w:tcW w:w="4200" w:type="dxa"/>
            <w:shd w:val="clear" w:color="auto" w:fill="FFFFFF"/>
            <w:vAlign w:val="center"/>
          </w:tcPr>
          <w:p w14:paraId="51A71289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控件状态或任务目标连续变化，被试在目标满足条件时确认。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0EAF1CD8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任务切换、确认时刻、窗口预测、动态推荐稳定性。</w:t>
            </w:r>
          </w:p>
        </w:tc>
      </w:tr>
      <w:tr w14:paraId="0983B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AFBFC"/>
            <w:vAlign w:val="center"/>
          </w:tcPr>
          <w:p w14:paraId="2C5B388D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预实验</w:t>
            </w:r>
          </w:p>
        </w:tc>
        <w:tc>
          <w:tcPr>
            <w:tcW w:w="4200" w:type="dxa"/>
            <w:shd w:val="clear" w:color="auto" w:fill="FAFBFC"/>
            <w:vAlign w:val="center"/>
          </w:tcPr>
          <w:p w14:paraId="6D583F45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用于熟悉流程和检查设备，不作为正式评估结论。</w:t>
            </w:r>
          </w:p>
        </w:tc>
        <w:tc>
          <w:tcPr>
            <w:tcW w:w="3360" w:type="dxa"/>
            <w:shd w:val="clear" w:color="auto" w:fill="FAFBFC"/>
            <w:vAlign w:val="center"/>
          </w:tcPr>
          <w:p w14:paraId="58FBACD3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设备异常、AOI 偏差、按钮响应和数据写入状态。</w:t>
            </w:r>
          </w:p>
        </w:tc>
      </w:tr>
    </w:tbl>
    <w:p w14:paraId="172A2801"/>
    <w:p w14:paraId="0F505BD6">
      <w:pPr>
        <w:pStyle w:val="3"/>
      </w:pPr>
      <w:r>
        <w:t>第五章 异常处理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300"/>
        <w:gridCol w:w="3860"/>
      </w:tblGrid>
      <w:tr w14:paraId="3E09B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56E8C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异常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3FA6E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可能原因</w:t>
            </w:r>
          </w:p>
        </w:tc>
        <w:tc>
          <w:tcPr>
            <w:tcW w:w="3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EB2DF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处理方式</w:t>
            </w:r>
          </w:p>
        </w:tc>
      </w:tr>
      <w:tr w14:paraId="285DF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vAlign w:val="center"/>
          </w:tcPr>
          <w:p w14:paraId="1BED584F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无眼动数据</w:t>
            </w:r>
          </w:p>
        </w:tc>
        <w:tc>
          <w:tcPr>
            <w:tcW w:w="3300" w:type="dxa"/>
            <w:shd w:val="clear" w:color="auto" w:fill="FAFBFC"/>
            <w:vAlign w:val="center"/>
          </w:tcPr>
          <w:p w14:paraId="35BC8EC5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权限未授权、设备未支持、SDK 启动失败。</w:t>
            </w:r>
          </w:p>
        </w:tc>
        <w:tc>
          <w:tcPr>
            <w:tcW w:w="3860" w:type="dxa"/>
            <w:shd w:val="clear" w:color="auto" w:fill="FAFBFC"/>
            <w:vAlign w:val="center"/>
          </w:tcPr>
          <w:p w14:paraId="612299C3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检查 PICO 权限、重启应用、查看 EyeTracking 日志。</w:t>
            </w:r>
          </w:p>
        </w:tc>
      </w:tr>
      <w:tr w14:paraId="10429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FFFFF"/>
            <w:vAlign w:val="center"/>
          </w:tcPr>
          <w:p w14:paraId="7CC8FFCC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AOI 全部为空</w:t>
            </w:r>
          </w:p>
        </w:tc>
        <w:tc>
          <w:tcPr>
            <w:tcW w:w="3300" w:type="dxa"/>
            <w:shd w:val="clear" w:color="auto" w:fill="FFFFFF"/>
            <w:vAlign w:val="center"/>
          </w:tcPr>
          <w:p w14:paraId="6F2ECD8C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UI 平面未绑定、坐标映射偏差、控件列表缺失。</w:t>
            </w:r>
          </w:p>
        </w:tc>
        <w:tc>
          <w:tcPr>
            <w:tcW w:w="3860" w:type="dxa"/>
            <w:shd w:val="clear" w:color="auto" w:fill="FFFFFF"/>
            <w:vAlign w:val="center"/>
          </w:tcPr>
          <w:p w14:paraId="73805199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检查 uiPlaneRect、controlItems、ControlItem ID。</w:t>
            </w:r>
          </w:p>
        </w:tc>
      </w:tr>
      <w:tr w14:paraId="503BC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vAlign w:val="center"/>
          </w:tcPr>
          <w:p w14:paraId="5C028A77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推荐结果异常</w:t>
            </w:r>
          </w:p>
        </w:tc>
        <w:tc>
          <w:tcPr>
            <w:tcW w:w="3300" w:type="dxa"/>
            <w:shd w:val="clear" w:color="auto" w:fill="FAFBFC"/>
            <w:vAlign w:val="center"/>
          </w:tcPr>
          <w:p w14:paraId="4A5AD464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模型文件或 stats 不匹配、阈值不合适、样本质量不足。</w:t>
            </w:r>
          </w:p>
        </w:tc>
        <w:tc>
          <w:tcPr>
            <w:tcW w:w="3860" w:type="dxa"/>
            <w:shd w:val="clear" w:color="auto" w:fill="FAFBFC"/>
            <w:vAlign w:val="center"/>
          </w:tcPr>
          <w:p w14:paraId="4F7FB260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检查 OnnxIntentionInference 校验日志和 stats 参数。</w:t>
            </w:r>
          </w:p>
        </w:tc>
      </w:tr>
      <w:tr w14:paraId="11CDC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FFFFF"/>
            <w:vAlign w:val="center"/>
          </w:tcPr>
          <w:p w14:paraId="2A5CFA75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CSV 未生成</w:t>
            </w:r>
          </w:p>
        </w:tc>
        <w:tc>
          <w:tcPr>
            <w:tcW w:w="3300" w:type="dxa"/>
            <w:shd w:val="clear" w:color="auto" w:fill="FFFFFF"/>
            <w:vAlign w:val="center"/>
          </w:tcPr>
          <w:p w14:paraId="5822271F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数据目录权限、任务未启动、Logger 未绑定。</w:t>
            </w:r>
          </w:p>
        </w:tc>
        <w:tc>
          <w:tcPr>
            <w:tcW w:w="3860" w:type="dxa"/>
            <w:shd w:val="clear" w:color="auto" w:fill="FFFFFF"/>
            <w:vAlign w:val="center"/>
          </w:tcPr>
          <w:p w14:paraId="3A0EE5CC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检查 GazeDataLogger、TaskManager 绑定和输出路径。</w:t>
            </w:r>
          </w:p>
        </w:tc>
      </w:tr>
      <w:tr w14:paraId="2B27F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vAlign w:val="center"/>
          </w:tcPr>
          <w:p w14:paraId="13C343BA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被试不适</w:t>
            </w:r>
          </w:p>
        </w:tc>
        <w:tc>
          <w:tcPr>
            <w:tcW w:w="3300" w:type="dxa"/>
            <w:shd w:val="clear" w:color="auto" w:fill="FAFBFC"/>
            <w:vAlign w:val="center"/>
          </w:tcPr>
          <w:p w14:paraId="5B1BF309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佩戴时间过长或眩晕。</w:t>
            </w:r>
          </w:p>
        </w:tc>
        <w:tc>
          <w:tcPr>
            <w:tcW w:w="3860" w:type="dxa"/>
            <w:shd w:val="clear" w:color="auto" w:fill="FAFBFC"/>
            <w:vAlign w:val="center"/>
          </w:tcPr>
          <w:p w14:paraId="5DB19D80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立即暂停实验，记录异常并安排休息。</w:t>
            </w:r>
          </w:p>
        </w:tc>
      </w:tr>
    </w:tbl>
    <w:p w14:paraId="26AE1759"/>
    <w:p w14:paraId="67116F64">
      <w:pPr>
        <w:pStyle w:val="4"/>
      </w:pPr>
      <w:r>
        <w:t>资料来源与证据记录</w:t>
      </w:r>
    </w:p>
    <w:p w14:paraId="4197AF5C">
      <w:pPr>
        <w:pStyle w:val="16"/>
        <w:spacing w:after="80"/>
      </w:pPr>
      <w:r>
        <w:rPr>
          <w:rFonts w:ascii="Calibri" w:hAnsi="Calibri" w:eastAsia="微软雅黑"/>
        </w:rPr>
        <w:t>APK 目录：C:\Users\Lenovo\Desktop\交互组合仿真子系统源码＋APK\交互组合仿真子系统源码＋APK\02_APK</w:t>
      </w:r>
    </w:p>
    <w:p w14:paraId="5B668C76">
      <w:pPr>
        <w:pStyle w:val="16"/>
        <w:spacing w:after="80"/>
      </w:pPr>
      <w:r>
        <w:rPr>
          <w:rFonts w:ascii="Calibri" w:hAnsi="Calibri" w:eastAsia="微软雅黑"/>
        </w:rPr>
        <w:t>演示视频：C:\Users\Lenovo\Desktop\交互组合仿真子系统源码＋APK\交互组合仿真子系统源码＋APK\演示视频.mp4；C:\Users\Lenovo\Desktop\交互组合仿真子系统源码＋APK\交互组合仿真子系统源码＋APK\演示视频_20260512_00425411.mp4</w:t>
      </w:r>
    </w:p>
    <w:p w14:paraId="59CA57DF">
      <w:pPr>
        <w:pStyle w:val="16"/>
        <w:spacing w:after="80"/>
      </w:pPr>
      <w:r>
        <w:rPr>
          <w:rFonts w:ascii="Calibri" w:hAnsi="Calibri" w:eastAsia="微软雅黑"/>
        </w:rPr>
        <w:t>工程 README：F:\UnityProgram\test2\README.md</w:t>
      </w:r>
    </w:p>
    <w:p w14:paraId="2A65DA47">
      <w:pPr>
        <w:pStyle w:val="16"/>
        <w:spacing w:after="80"/>
      </w:pPr>
      <w:r>
        <w:rPr>
          <w:rFonts w:ascii="Calibri" w:hAnsi="Calibri" w:eastAsia="微软雅黑"/>
        </w:rPr>
        <w:t>Unity 日志目录：F:\UnityProgram\test2\Logs</w:t>
      </w:r>
    </w:p>
    <w:p w14:paraId="25C25F54">
      <w:pPr>
        <w:pStyle w:val="3"/>
      </w:pPr>
      <w:r>
        <w:t>附录A 术语与缩略语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71186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D2449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术语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8E69F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说明</w:t>
            </w:r>
          </w:p>
        </w:tc>
      </w:tr>
      <w:tr w14:paraId="719C1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AFBFC"/>
            <w:vAlign w:val="center"/>
          </w:tcPr>
          <w:p w14:paraId="47F0063A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AOI</w:t>
            </w:r>
          </w:p>
        </w:tc>
        <w:tc>
          <w:tcPr>
            <w:tcW w:w="7560" w:type="dxa"/>
            <w:shd w:val="clear" w:color="auto" w:fill="FAFBFC"/>
            <w:vAlign w:val="center"/>
          </w:tcPr>
          <w:p w14:paraId="572B8980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Area of Interest，本文指实验界面中 Control_1 至 Control_10 等可被注视命中的目标控件区域。</w:t>
            </w:r>
          </w:p>
        </w:tc>
      </w:tr>
      <w:tr w14:paraId="26D75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FFFFF"/>
            <w:vAlign w:val="center"/>
          </w:tcPr>
          <w:p w14:paraId="3533D502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Frame CSV</w:t>
            </w:r>
          </w:p>
        </w:tc>
        <w:tc>
          <w:tcPr>
            <w:tcW w:w="7560" w:type="dxa"/>
            <w:shd w:val="clear" w:color="auto" w:fill="FFFFFF"/>
            <w:vAlign w:val="center"/>
          </w:tcPr>
          <w:p w14:paraId="406EDBC7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系统按帧记录的眼动与任务状态数据文件，是数据检查、模型训练和测试报告的重要证据来源。</w:t>
            </w:r>
          </w:p>
        </w:tc>
      </w:tr>
      <w:tr w14:paraId="741A3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AFBFC"/>
            <w:vAlign w:val="center"/>
          </w:tcPr>
          <w:p w14:paraId="5E2DCC97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Top-3 推荐</w:t>
            </w:r>
          </w:p>
        </w:tc>
        <w:tc>
          <w:tcPr>
            <w:tcW w:w="7560" w:type="dxa"/>
            <w:shd w:val="clear" w:color="auto" w:fill="FAFBFC"/>
            <w:vAlign w:val="center"/>
          </w:tcPr>
          <w:p w14:paraId="131B50F3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算法按概率或置信度选出的前三个候选控件，用于界面显示和任务辅助判断。</w:t>
            </w:r>
          </w:p>
        </w:tc>
      </w:tr>
      <w:tr w14:paraId="10F8F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FFFFF"/>
            <w:vAlign w:val="center"/>
          </w:tcPr>
          <w:p w14:paraId="4B56DCBE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ONNX</w:t>
            </w:r>
          </w:p>
        </w:tc>
        <w:tc>
          <w:tcPr>
            <w:tcW w:w="7560" w:type="dxa"/>
            <w:shd w:val="clear" w:color="auto" w:fill="FFFFFF"/>
            <w:vAlign w:val="center"/>
          </w:tcPr>
          <w:p w14:paraId="0C66F8B8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开放神经网络交换格式，当前用于将离线训练完成的 Transformer 模型部署至 Unity 端。</w:t>
            </w:r>
          </w:p>
        </w:tc>
      </w:tr>
      <w:tr w14:paraId="54391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AFBFC"/>
            <w:vAlign w:val="center"/>
          </w:tcPr>
          <w:p w14:paraId="7E4014BF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stats JSON</w:t>
            </w:r>
          </w:p>
        </w:tc>
        <w:tc>
          <w:tcPr>
            <w:tcW w:w="7560" w:type="dxa"/>
            <w:shd w:val="clear" w:color="auto" w:fill="FAFBFC"/>
            <w:vAlign w:val="center"/>
          </w:tcPr>
          <w:p w14:paraId="072EBE7A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与 ONNX 模型配套的统计配置文件，记录特征顺序、均值方差、窗口长度、阈值和 AOI 标签规则。</w:t>
            </w:r>
          </w:p>
        </w:tc>
      </w:tr>
      <w:tr w14:paraId="7EC1D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FFFFF"/>
            <w:vAlign w:val="center"/>
          </w:tcPr>
          <w:p w14:paraId="680F1AAE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静态任务</w:t>
            </w:r>
          </w:p>
        </w:tc>
        <w:tc>
          <w:tcPr>
            <w:tcW w:w="7560" w:type="dxa"/>
            <w:shd w:val="clear" w:color="auto" w:fill="FFFFFF"/>
            <w:vAlign w:val="center"/>
          </w:tcPr>
          <w:p w14:paraId="0D111439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目标控件和任务条件相对固定，主要用于稳定注视模式采集和基础识别验证。</w:t>
            </w:r>
          </w:p>
        </w:tc>
      </w:tr>
      <w:tr w14:paraId="00D3A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AFBFC"/>
            <w:vAlign w:val="center"/>
          </w:tcPr>
          <w:p w14:paraId="6F11940E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动态任务</w:t>
            </w:r>
          </w:p>
        </w:tc>
        <w:tc>
          <w:tcPr>
            <w:tcW w:w="7560" w:type="dxa"/>
            <w:shd w:val="clear" w:color="auto" w:fill="FAFBFC"/>
            <w:vAlign w:val="center"/>
          </w:tcPr>
          <w:p w14:paraId="652B4243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目标或控件状态随时间变化，主要用于验证连续任务和复杂时序意图识别能力。</w:t>
            </w:r>
          </w:p>
        </w:tc>
      </w:tr>
    </w:tbl>
    <w:p w14:paraId="57BCD3B6"/>
    <w:p w14:paraId="618E959A">
      <w:pPr>
        <w:pStyle w:val="3"/>
      </w:pPr>
      <w:r>
        <w:t>附录B 当前版本边界</w:t>
      </w:r>
    </w:p>
    <w:p w14:paraId="60DB2B35">
      <w:pPr>
        <w:pStyle w:val="16"/>
        <w:spacing w:after="80"/>
      </w:pPr>
      <w:r>
        <w:rPr>
          <w:rFonts w:ascii="Calibri" w:hAnsi="Calibri" w:eastAsia="微软雅黑"/>
        </w:rPr>
        <w:t>本文档为 操作规程 草稿，版本为 V1.0 草稿，用于内部审改和交付材料整理。</w:t>
      </w:r>
    </w:p>
    <w:p w14:paraId="417FAF7B">
      <w:pPr>
        <w:pStyle w:val="16"/>
        <w:spacing w:after="80"/>
      </w:pPr>
      <w:r>
        <w:rPr>
          <w:rFonts w:ascii="Calibri" w:hAnsi="Calibri" w:eastAsia="微软雅黑"/>
        </w:rPr>
        <w:t>当前文档已按“交互组合仿真子系统”统一系统名称，但封面编号、密级、签署页、盖章页仍待单位模板确认。</w:t>
      </w:r>
    </w:p>
    <w:p w14:paraId="1F2EC052">
      <w:pPr>
        <w:pStyle w:val="16"/>
        <w:spacing w:after="80"/>
      </w:pPr>
      <w:r>
        <w:rPr>
          <w:rFonts w:ascii="Calibri" w:hAnsi="Calibri" w:eastAsia="微软雅黑"/>
        </w:rPr>
        <w:t>测试与调试内容引用现有工程和数据记录；无法从文件证明的最终验收结论均不作夸大表述。</w:t>
      </w:r>
    </w:p>
    <w:p w14:paraId="5AA49B15">
      <w:pPr>
        <w:pStyle w:val="16"/>
        <w:spacing w:after="80"/>
      </w:pPr>
      <w:r>
        <w:rPr>
          <w:rFonts w:ascii="Calibri" w:hAnsi="Calibri" w:eastAsia="微软雅黑"/>
        </w:rPr>
        <w:t>当前模型指标来自已有 metrics_test.json 和 Frame CSV 记录，后续正式验收应以完整被试数据和现场测试记录为准。</w:t>
      </w:r>
    </w:p>
    <w:p w14:paraId="050B527B">
      <w:pPr>
        <w:pStyle w:val="16"/>
        <w:spacing w:after="80"/>
      </w:pPr>
      <w:r>
        <w:rPr>
          <w:rFonts w:ascii="Calibri" w:hAnsi="Calibri" w:eastAsia="微软雅黑"/>
        </w:rPr>
        <w:t>文档中路径为编制阶段证据路径，归档时可按交付目录规则替换为相对路径或附件编号。</w:t>
      </w:r>
    </w:p>
    <w:p w14:paraId="1D78BF1F">
      <w:pPr>
        <w:pStyle w:val="3"/>
      </w:pPr>
      <w:r>
        <w:t>附录C 证据与文件清单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5200"/>
        <w:gridCol w:w="2560"/>
      </w:tblGrid>
      <w:tr w14:paraId="374FF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05350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类别</w:t>
            </w:r>
          </w:p>
        </w:tc>
        <w:tc>
          <w:tcPr>
            <w:tcW w:w="5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8C2D7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文件/目录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57CEE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用途</w:t>
            </w:r>
          </w:p>
        </w:tc>
      </w:tr>
      <w:tr w14:paraId="447D8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FAFBFC"/>
            <w:vAlign w:val="center"/>
          </w:tcPr>
          <w:p w14:paraId="16CCEB92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原始方案</w:t>
            </w:r>
          </w:p>
        </w:tc>
        <w:tc>
          <w:tcPr>
            <w:tcW w:w="5200" w:type="dxa"/>
            <w:shd w:val="clear" w:color="auto" w:fill="FAFBFC"/>
            <w:vAlign w:val="center"/>
          </w:tcPr>
          <w:p w14:paraId="256E7B34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C:\Users\Lenovo\Desktop\交互组合仿真子系统源码＋APK\交互组合仿真子系统源码＋APK\04_Documents\交互组合仿真子系统技术项目实施方案.docx</w:t>
            </w:r>
          </w:p>
        </w:tc>
        <w:tc>
          <w:tcPr>
            <w:tcW w:w="2560" w:type="dxa"/>
            <w:shd w:val="clear" w:color="auto" w:fill="FAFBFC"/>
            <w:vAlign w:val="center"/>
          </w:tcPr>
          <w:p w14:paraId="16D18D29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项目背景、需求、调研、技术路线、进度和收益评估依据。</w:t>
            </w:r>
          </w:p>
        </w:tc>
      </w:tr>
      <w:tr w14:paraId="601F3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FFFFFF"/>
            <w:vAlign w:val="center"/>
          </w:tcPr>
          <w:p w14:paraId="04C669A3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软件说明</w:t>
            </w:r>
          </w:p>
        </w:tc>
        <w:tc>
          <w:tcPr>
            <w:tcW w:w="5200" w:type="dxa"/>
            <w:shd w:val="clear" w:color="auto" w:fill="FFFFFF"/>
            <w:vAlign w:val="center"/>
          </w:tcPr>
          <w:p w14:paraId="07A0A8E8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C:\Users\Lenovo\Desktop\交互组合仿真子系统源码＋APK\交互组合仿真子系统源码＋APK\04_Documents\交互组合仿真子系统.docx</w:t>
            </w:r>
          </w:p>
        </w:tc>
        <w:tc>
          <w:tcPr>
            <w:tcW w:w="2560" w:type="dxa"/>
            <w:shd w:val="clear" w:color="auto" w:fill="FFFFFF"/>
            <w:vAlign w:val="center"/>
          </w:tcPr>
          <w:p w14:paraId="72A0D9AC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系统组成、设备操作、软件流程、数据采集和算法说明依据。</w:t>
            </w:r>
          </w:p>
        </w:tc>
      </w:tr>
      <w:tr w14:paraId="50B58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FAFBFC"/>
            <w:vAlign w:val="center"/>
          </w:tcPr>
          <w:p w14:paraId="48602134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当前工程</w:t>
            </w:r>
          </w:p>
        </w:tc>
        <w:tc>
          <w:tcPr>
            <w:tcW w:w="5200" w:type="dxa"/>
            <w:shd w:val="clear" w:color="auto" w:fill="FAFBFC"/>
            <w:vAlign w:val="center"/>
          </w:tcPr>
          <w:p w14:paraId="4E62E17E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F:\UnityProgram\test2</w:t>
            </w:r>
          </w:p>
        </w:tc>
        <w:tc>
          <w:tcPr>
            <w:tcW w:w="2560" w:type="dxa"/>
            <w:shd w:val="clear" w:color="auto" w:fill="FAFBFC"/>
            <w:vAlign w:val="center"/>
          </w:tcPr>
          <w:p w14:paraId="232B3530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Unity 工程、脚本、包依赖、模型配置和构建记录依据。</w:t>
            </w:r>
          </w:p>
        </w:tc>
      </w:tr>
      <w:tr w14:paraId="37204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FFFFFF"/>
            <w:vAlign w:val="center"/>
          </w:tcPr>
          <w:p w14:paraId="5987F5BB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交付包</w:t>
            </w:r>
          </w:p>
        </w:tc>
        <w:tc>
          <w:tcPr>
            <w:tcW w:w="5200" w:type="dxa"/>
            <w:shd w:val="clear" w:color="auto" w:fill="FFFFFF"/>
            <w:vAlign w:val="center"/>
          </w:tcPr>
          <w:p w14:paraId="45230920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C:\Users\Lenovo\Desktop\交互组合仿真子系统源码＋APK\交互组合仿真子系统源码＋APK</w:t>
            </w:r>
          </w:p>
        </w:tc>
        <w:tc>
          <w:tcPr>
            <w:tcW w:w="2560" w:type="dxa"/>
            <w:shd w:val="clear" w:color="auto" w:fill="FFFFFF"/>
            <w:vAlign w:val="center"/>
          </w:tcPr>
          <w:p w14:paraId="409314C9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源码、APK、模型数据、已有文档和演示视频依据。</w:t>
            </w:r>
          </w:p>
        </w:tc>
      </w:tr>
      <w:tr w14:paraId="5ABA5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FAFBFC"/>
            <w:vAlign w:val="center"/>
          </w:tcPr>
          <w:p w14:paraId="2EAB13BD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测试数据</w:t>
            </w:r>
          </w:p>
        </w:tc>
        <w:tc>
          <w:tcPr>
            <w:tcW w:w="5200" w:type="dxa"/>
            <w:shd w:val="clear" w:color="auto" w:fill="FAFBFC"/>
            <w:vAlign w:val="center"/>
          </w:tcPr>
          <w:p w14:paraId="2A5F5E06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F:\TestData</w:t>
            </w:r>
          </w:p>
        </w:tc>
        <w:tc>
          <w:tcPr>
            <w:tcW w:w="2560" w:type="dxa"/>
            <w:shd w:val="clear" w:color="auto" w:fill="FAFBFC"/>
            <w:vAlign w:val="center"/>
          </w:tcPr>
          <w:p w14:paraId="70DEB797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Frame CSV、模型指标和调试记录依据。</w:t>
            </w:r>
          </w:p>
        </w:tc>
      </w:tr>
      <w:tr w14:paraId="79761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FFFFFF"/>
            <w:vAlign w:val="center"/>
          </w:tcPr>
          <w:p w14:paraId="6F8794A1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代表性 CSV</w:t>
            </w:r>
          </w:p>
        </w:tc>
        <w:tc>
          <w:tcPr>
            <w:tcW w:w="5200" w:type="dxa"/>
            <w:shd w:val="clear" w:color="auto" w:fill="FFFFFF"/>
            <w:vAlign w:val="center"/>
          </w:tcPr>
          <w:p w14:paraId="53A59165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F:\TestData\Frame_S001_Session_001_20260328_214220.csv</w:t>
            </w:r>
          </w:p>
        </w:tc>
        <w:tc>
          <w:tcPr>
            <w:tcW w:w="2560" w:type="dxa"/>
            <w:shd w:val="clear" w:color="auto" w:fill="FFFFFF"/>
            <w:vAlign w:val="center"/>
          </w:tcPr>
          <w:p w14:paraId="78B5536A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字段、行数和采集记录样例。</w:t>
            </w:r>
          </w:p>
        </w:tc>
      </w:tr>
      <w:tr w14:paraId="5D5A0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FAFBFC"/>
            <w:vAlign w:val="center"/>
          </w:tcPr>
          <w:p w14:paraId="2AA9E141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模型指标</w:t>
            </w:r>
          </w:p>
        </w:tc>
        <w:tc>
          <w:tcPr>
            <w:tcW w:w="5200" w:type="dxa"/>
            <w:shd w:val="clear" w:color="auto" w:fill="FAFBFC"/>
            <w:vAlign w:val="center"/>
          </w:tcPr>
          <w:p w14:paraId="412A91BB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F:\TestData\OUT_DIR\metrics_test.json</w:t>
            </w:r>
          </w:p>
        </w:tc>
        <w:tc>
          <w:tcPr>
            <w:tcW w:w="2560" w:type="dxa"/>
            <w:shd w:val="clear" w:color="auto" w:fill="FAFBFC"/>
            <w:vAlign w:val="center"/>
          </w:tcPr>
          <w:p w14:paraId="7AF70160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1E1E1E"/>
                <w:sz w:val="19"/>
              </w:rPr>
              <w:t>阶段性模型评估指标。</w:t>
            </w:r>
          </w:p>
        </w:tc>
      </w:tr>
    </w:tbl>
    <w:p w14:paraId="33BC2D1B"/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章鱼小丸子体 W01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5F4639">
    <w:pPr>
      <w:pStyle w:val="24"/>
      <w:jc w:val="center"/>
    </w:pPr>
    <w:r>
      <w:rPr>
        <w:rFonts w:ascii="Calibri" w:hAnsi="Calibri" w:eastAsia="微软雅黑"/>
        <w:b w:val="0"/>
        <w:color w:val="5A5A5A"/>
        <w:sz w:val="18"/>
      </w:rPr>
      <w:t>V1.0 草稿 | 2026年05月24日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13650A">
    <w:pPr>
      <w:pStyle w:val="25"/>
      <w:jc w:val="center"/>
    </w:pPr>
    <w:r>
      <w:rPr>
        <w:rFonts w:ascii="Calibri" w:hAnsi="Calibri" w:eastAsia="微软雅黑"/>
        <w:b w:val="0"/>
        <w:color w:val="5A5A5A"/>
        <w:sz w:val="18"/>
      </w:rPr>
      <w:t>交互组合仿真子系统 | 操作规程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46B7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</w:pPr>
    <w:rPr>
      <w:rFonts w:ascii="微软雅黑" w:hAnsi="微软雅黑" w:eastAsia="微软雅黑" w:cstheme="minorBidi"/>
      <w:color w:val="1E1E1E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 w:line="280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280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 w:line="280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1921</Words>
  <Characters>2636</Characters>
  <Lines>0</Lines>
  <Paragraphs>0</Paragraphs>
  <TotalTime>0</TotalTime>
  <ScaleCrop>false</ScaleCrop>
  <LinksUpToDate>false</LinksUpToDate>
  <CharactersWithSpaces>2722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白马啸西风</cp:lastModifiedBy>
  <dcterms:modified xsi:type="dcterms:W3CDTF">2026-05-25T11:53:54Z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eyJoZGlkIjoiZWU5YmYwYTI4NzljZjQxMGM1NmFjNDNjYTBjODVlOGIiLCJ1c2VySWQiOiIzNjM4NTk1NTAifQ==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5EE2B22EFB3A4999974ED240DD4F5A51_12</vt:lpwstr>
  </property>
</Properties>
</file>