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交互组合仿真子系统项目测试大纲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测试目标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验证系统是否满足眼动采集、任务管理、AOI 命中、数据记录、推荐反馈和模型推理等核心功能。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验证静态任务与动态任务流程是否可稳定执行。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验证现有模型、CSV 数据和评估指标是否具备可追溯性。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为测试说明、测试报告和验收材料提供统一范围与判定准则。</w:t>
      </w:r>
    </w:p>
    <w:p>
      <w:pPr>
        <w:pStyle w:val="Heading1"/>
      </w:pPr>
      <w:r>
        <w:t>第二章 测试范围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700"/>
        <w:gridCol w:w="28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测试类别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测试内容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输出记录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功能测试</w:t>
            </w:r>
          </w:p>
        </w:tc>
        <w:tc>
          <w:tcPr>
            <w:tcW w:type="dxa" w:w="4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启动、任务发布、眼动采集、AOI 命中、推荐显示、数据导出。</w:t>
            </w:r>
          </w:p>
        </w:tc>
        <w:tc>
          <w:tcPr>
            <w:tcW w:type="dxa" w:w="2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测试用例记录、截图/视频、CSV。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接口测试</w:t>
            </w:r>
          </w:p>
        </w:tc>
        <w:tc>
          <w:tcPr>
            <w:tcW w:type="dxa" w:w="4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PICO SDK、XR Loader、Sentis、ONNX/stats 加载。</w:t>
            </w:r>
          </w:p>
        </w:tc>
        <w:tc>
          <w:tcPr>
            <w:tcW w:type="dxa" w:w="2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日志、调试记录。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数据测试</w:t>
            </w:r>
          </w:p>
        </w:tc>
        <w:tc>
          <w:tcPr>
            <w:tcW w:type="dxa" w:w="4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CSV 字段完整性、时间戳连续性、目标标签和 AOI 有效性。</w:t>
            </w:r>
          </w:p>
        </w:tc>
        <w:tc>
          <w:tcPr>
            <w:tcW w:type="dxa" w:w="2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 检查表。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算法测试</w:t>
            </w:r>
          </w:p>
        </w:tc>
        <w:tc>
          <w:tcPr>
            <w:tcW w:type="dxa" w:w="47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规则、贝叶斯、随机森林/Transformer 输出与指标统计。</w:t>
            </w:r>
          </w:p>
        </w:tc>
        <w:tc>
          <w:tcPr>
            <w:tcW w:type="dxa" w:w="2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metrics_test.json、窗口评估记录。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部署测试</w:t>
            </w:r>
          </w:p>
        </w:tc>
        <w:tc>
          <w:tcPr>
            <w:tcW w:type="dxa" w:w="47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APK 安装、设备连接、主场景运行。</w:t>
            </w:r>
          </w:p>
        </w:tc>
        <w:tc>
          <w:tcPr>
            <w:tcW w:type="dxa" w:w="2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APK 版本与安装记录。</w:t>
            </w:r>
          </w:p>
        </w:tc>
      </w:tr>
    </w:tbl>
    <w:p/>
    <w:p>
      <w:pPr>
        <w:pStyle w:val="Heading1"/>
      </w:pPr>
      <w:r>
        <w:t>第三章 测试环境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环境项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配置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m_EditorVersion: 2022.3.62f3c1；m_EditorVersionWithRevision: 2022.3.62f3c1 (1623fc0bbb97)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PICO 4 Pro、左右手柄、Windows 主机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核心依赖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PICO XR、OpenXR、XR Interaction Toolkit、Unity Sentis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APK</w:t>
            </w:r>
          </w:p>
        </w:tc>
        <w:tc>
          <w:tcPr>
            <w:tcW w:type="dxa" w:w="7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F:\UnityProgram\test2\PicoVREyeTracking.apk；F:\UnityProgram\test2\test10.apk；F:\UnityProgram\test2\test8.apk；F:\UnityProgram\test2\test9.apk；另有 19 项</w:t>
            </w:r>
          </w:p>
        </w:tc>
      </w:tr>
    </w:tbl>
    <w:p/>
    <w:p>
      <w:pPr>
        <w:pStyle w:val="Heading1"/>
      </w:pPr>
      <w:r>
        <w:t>第四章 准入与准出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条件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测试准入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源码、APK、模型、stats JSON、测试数据目录和设备准备完整；主场景可启动。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测试准出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核心用例完成；缺陷有记录；测试报告引用的数据、日志和指标可追溯。</w:t>
            </w:r>
          </w:p>
        </w:tc>
      </w:tr>
    </w:tbl>
    <w:p/>
    <w:p>
      <w:pPr>
        <w:pStyle w:val="Heading1"/>
      </w:pPr>
      <w:r>
        <w:t>第五章 判定准则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功能用例按“通过/不通过/受限通过/未执行”记录。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性能目标区分“验收目标”和“已有记录指标”，不将现有样本指标直接等同最终验收结果。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数据类用例要求 CSV 字段齐全、关键字段非空、任务标签可对齐。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模型类用例要求 ONNX 与 stats 成对加载，推理结果可以在界面或评估记录中观察。</w:t>
      </w:r>
    </w:p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测试数据目录：F:\TestData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模型指标：F:\TestData\OUT_DIR\metrics_test.json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日志目录：F:\UnityProgram\test2\Logs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项目测试大纲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项目测试大纲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