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E19" w:rsidRDefault="00D21E19">
      <w:r>
        <w:t>&lt;%=showif false%&gt;&lt;% $policy = policyInfos.first %&gt;</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4028F0" w:rsidRDefault="00354863" w:rsidP="006609DF">
            <w:pPr>
              <w:pStyle w:val="LetterDate"/>
            </w:pPr>
            <w:r>
              <w:t>&lt;%=</w:t>
            </w:r>
            <w:r w:rsidR="00872614">
              <w:t>Time.now.</w:t>
            </w:r>
            <w:r w:rsidR="00A16FD5">
              <w:t>strftime(</w:t>
            </w:r>
            <w:r w:rsidR="00A16FD5" w:rsidRPr="00A16FD5">
              <w:t>'</w:t>
            </w:r>
            <w:r w:rsidR="00A16FD5">
              <w:t>%B %-d</w:t>
            </w:r>
            <w:r w:rsidR="00454C68">
              <w:t>,</w:t>
            </w:r>
            <w:r w:rsidR="00A16FD5">
              <w:t xml:space="preserve"> %Y</w:t>
            </w:r>
            <w:r w:rsidR="00A16FD5" w:rsidRPr="00A16FD5">
              <w:t>'</w:t>
            </w:r>
            <w:r w:rsidR="00A16FD5">
              <w:t>)</w:t>
            </w:r>
            <w:r w:rsidR="008B78F1">
              <w: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r w:rsidR="008B78F1">
              <w:rPr>
                <w:sz w:val="18"/>
                <w:szCs w:val="18"/>
              </w:rPr>
              <w:t>company%&gt;</w:t>
            </w:r>
          </w:p>
          <w:p w:rsidR="004946DD" w:rsidRPr="00AF6429" w:rsidRDefault="004946DD" w:rsidP="006609DF">
            <w:pPr>
              <w:rPr>
                <w:b/>
                <w:sz w:val="18"/>
                <w:szCs w:val="18"/>
              </w:rPr>
            </w:pPr>
            <w:r>
              <w:rPr>
                <w:b/>
                <w:sz w:val="18"/>
                <w:szCs w:val="18"/>
              </w:rPr>
              <w:t xml:space="preserve">Attention: </w:t>
            </w:r>
            <w:r w:rsidR="00354863">
              <w:rPr>
                <w:b/>
                <w:sz w:val="18"/>
                <w:szCs w:val="18"/>
              </w:rPr>
              <w:t>&lt;%=</w:t>
            </w:r>
            <w:r w:rsidR="008B78F1">
              <w:rPr>
                <w:b/>
                <w:sz w:val="18"/>
                <w:szCs w:val="18"/>
              </w:rPr>
              <w:t>name%&gt;</w:t>
            </w:r>
          </w:p>
          <w:p w:rsidR="004946DD" w:rsidRDefault="00354863" w:rsidP="006609DF">
            <w:pPr>
              <w:rPr>
                <w:sz w:val="18"/>
                <w:szCs w:val="18"/>
              </w:rPr>
            </w:pPr>
            <w:r>
              <w:rPr>
                <w:sz w:val="18"/>
                <w:szCs w:val="18"/>
              </w:rPr>
              <w:t>&lt;%=</w:t>
            </w:r>
            <w:r w:rsidR="008B78F1">
              <w:rPr>
                <w:sz w:val="18"/>
                <w:szCs w:val="18"/>
              </w:rPr>
              <w:t>address%&gt;</w:t>
            </w:r>
          </w:p>
          <w:p w:rsidR="004946DD" w:rsidRDefault="00354863" w:rsidP="006609DF">
            <w:pPr>
              <w:rPr>
                <w:sz w:val="18"/>
                <w:szCs w:val="18"/>
              </w:rPr>
            </w:pPr>
            <w:r>
              <w:rPr>
                <w:sz w:val="18"/>
                <w:szCs w:val="18"/>
              </w:rPr>
              <w:t>&lt;%=</w:t>
            </w:r>
            <w:r w:rsidR="008B78F1">
              <w:rPr>
                <w:sz w:val="18"/>
                <w:szCs w:val="18"/>
              </w:rPr>
              <w:t>city%&gt;</w:t>
            </w:r>
            <w:r w:rsidR="004946DD">
              <w:rPr>
                <w:sz w:val="18"/>
                <w:szCs w:val="18"/>
              </w:rPr>
              <w:t xml:space="preserve">, </w:t>
            </w:r>
            <w:r>
              <w:rPr>
                <w:sz w:val="18"/>
                <w:szCs w:val="18"/>
              </w:rPr>
              <w:t>&lt;%=</w:t>
            </w:r>
            <w:r w:rsidR="008B78F1">
              <w:rPr>
                <w:sz w:val="18"/>
                <w:szCs w:val="18"/>
              </w:rPr>
              <w:t>province%&gt;</w:t>
            </w:r>
          </w:p>
          <w:p w:rsidR="004946DD" w:rsidRPr="00F60DAA" w:rsidRDefault="00354863" w:rsidP="006609DF">
            <w:pPr>
              <w:rPr>
                <w:sz w:val="18"/>
                <w:szCs w:val="18"/>
              </w:rPr>
            </w:pPr>
            <w:r>
              <w:rPr>
                <w:sz w:val="18"/>
                <w:szCs w:val="18"/>
              </w:rPr>
              <w:t>&lt;%=</w:t>
            </w:r>
            <w:r w:rsidR="008B78F1">
              <w:rPr>
                <w:sz w:val="18"/>
                <w:szCs w:val="18"/>
              </w:rPr>
              <w:t>postalCode%&gt;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brokerAddress%&gt;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4946DD" w:rsidP="004946DD">
      <w:pPr>
        <w:pStyle w:val="SectionStart"/>
      </w:pPr>
    </w:p>
    <w:p w:rsidR="004946DD" w:rsidRDefault="004946DD" w:rsidP="004946DD">
      <w:pPr>
        <w:pStyle w:val="Heading1"/>
      </w:pPr>
      <w:bookmarkStart w:id="2" w:name="_Toc196015411"/>
      <w:r w:rsidRPr="00A05872">
        <w:t>Executive Summary</w:t>
      </w:r>
      <w:bookmarkEnd w:id="2"/>
    </w:p>
    <w:p w:rsidR="004946DD" w:rsidRDefault="004946DD" w:rsidP="004946DD"/>
    <w:p w:rsidR="004946DD" w:rsidRDefault="00354863" w:rsidP="004946DD">
      <w:pPr>
        <w:rPr>
          <w:sz w:val="22"/>
          <w:szCs w:val="22"/>
        </w:rPr>
      </w:pPr>
      <w:r>
        <w:rPr>
          <w:sz w:val="22"/>
          <w:szCs w:val="22"/>
        </w:rPr>
        <w:t>&lt;%=</w:t>
      </w:r>
      <w:r w:rsidR="008B78F1">
        <w:rPr>
          <w:sz w:val="22"/>
          <w:szCs w:val="22"/>
        </w:rPr>
        <w:t>brokerOffice%&gt;</w:t>
      </w:r>
      <w:r w:rsidR="00F254EA">
        <w:rPr>
          <w:sz w:val="22"/>
          <w:szCs w:val="22"/>
        </w:rPr>
        <w:t xml:space="preserve"> (</w:t>
      </w:r>
      <w:r>
        <w:rPr>
          <w:sz w:val="22"/>
          <w:szCs w:val="22"/>
        </w:rPr>
        <w:t>&lt;%=</w:t>
      </w:r>
      <w:r w:rsidR="008B78F1">
        <w:rPr>
          <w:sz w:val="22"/>
          <w:szCs w:val="22"/>
        </w:rPr>
        <w:t>brokerOfficeShort%&gt;</w:t>
      </w:r>
      <w:r w:rsidR="000663D5">
        <w:rPr>
          <w:sz w:val="22"/>
          <w:szCs w:val="22"/>
        </w:rPr>
        <w:t>)</w:t>
      </w:r>
      <w:r w:rsidR="004946DD">
        <w:rPr>
          <w:sz w:val="22"/>
          <w:szCs w:val="22"/>
        </w:rPr>
        <w:t xml:space="preserve"> </w:t>
      </w:r>
      <w:r w:rsidR="004946DD" w:rsidRPr="006E0394">
        <w:rPr>
          <w:sz w:val="22"/>
          <w:szCs w:val="22"/>
        </w:rPr>
        <w:t xml:space="preserve">is pleased to present to </w:t>
      </w:r>
      <w:r>
        <w:rPr>
          <w:sz w:val="22"/>
          <w:szCs w:val="22"/>
        </w:rPr>
        <w:t>&lt;%=</w:t>
      </w:r>
      <w:r w:rsidR="008B78F1">
        <w:rPr>
          <w:sz w:val="22"/>
          <w:szCs w:val="22"/>
        </w:rPr>
        <w:t>company%&gt;</w:t>
      </w:r>
      <w:r w:rsidR="004946DD">
        <w:rPr>
          <w:sz w:val="22"/>
          <w:szCs w:val="22"/>
        </w:rPr>
        <w:t xml:space="preserve"> </w:t>
      </w:r>
      <w:r w:rsidR="004946DD"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 xml:space="preserve">he opportunity to work with </w:t>
      </w:r>
      <w:r w:rsidR="00354863">
        <w:rPr>
          <w:sz w:val="22"/>
          <w:szCs w:val="22"/>
        </w:rPr>
        <w:t>&lt;%=</w:t>
      </w:r>
      <w:r w:rsidR="008B78F1">
        <w:rPr>
          <w:sz w:val="22"/>
          <w:szCs w:val="22"/>
        </w:rPr>
        <w:t>company%&gt;</w:t>
      </w:r>
      <w:r w:rsidR="005126B2">
        <w:rPr>
          <w:sz w:val="22"/>
          <w:szCs w:val="22"/>
        </w:rPr>
        <w:t xml:space="preserve"> (</w:t>
      </w:r>
      <w:r w:rsidR="00354863">
        <w:rPr>
          <w:sz w:val="22"/>
          <w:szCs w:val="22"/>
        </w:rPr>
        <w:t>&lt;%=</w:t>
      </w:r>
      <w:r w:rsidR="008B78F1">
        <w:rPr>
          <w:sz w:val="22"/>
          <w:szCs w:val="22"/>
        </w:rPr>
        <w:t>companyShort%&gt;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354863">
        <w:rPr>
          <w:sz w:val="22"/>
          <w:szCs w:val="22"/>
        </w:rPr>
        <w:t>&lt;%=</w:t>
      </w:r>
      <w:r w:rsidR="008B78F1">
        <w:rPr>
          <w:sz w:val="22"/>
          <w:szCs w:val="22"/>
        </w:rPr>
        <w:t>brokerOfficeShort%&gt;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4946DD">
      <w:pPr>
        <w:pStyle w:val="NormalWeb"/>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w:t>
      </w:r>
      <w:r w:rsidR="0053208A">
        <w:rPr>
          <w:rFonts w:ascii="Arial" w:hAnsi="Arial" w:cs="Arial"/>
          <w:sz w:val="22"/>
          <w:szCs w:val="22"/>
        </w:rPr>
        <w:t xml:space="preserve">&lt;%= brokerClients &amp;&amp; "over #{brokerClients}" || </w:t>
      </w:r>
      <w:r w:rsidR="0053208A" w:rsidRPr="0053208A">
        <w:rPr>
          <w:rFonts w:ascii="Arial" w:hAnsi="Arial" w:cs="Arial"/>
          <w:sz w:val="22"/>
          <w:szCs w:val="22"/>
        </w:rPr>
        <w:t>'</w:t>
      </w:r>
      <w:r w:rsidR="0053208A">
        <w:rPr>
          <w:rFonts w:ascii="Arial" w:hAnsi="Arial" w:cs="Arial"/>
          <w:sz w:val="22"/>
          <w:szCs w:val="22"/>
        </w:rPr>
        <w:t>many</w:t>
      </w:r>
      <w:r w:rsidR="0053208A" w:rsidRPr="0053208A">
        <w:rPr>
          <w:rFonts w:ascii="Arial" w:hAnsi="Arial" w:cs="Arial"/>
          <w:sz w:val="22"/>
          <w:szCs w:val="22"/>
        </w:rPr>
        <w:t>'</w:t>
      </w:r>
      <w:r w:rsidR="0053208A">
        <w:rPr>
          <w:rFonts w:ascii="Arial" w:hAnsi="Arial" w:cs="Arial"/>
          <w:sz w:val="22"/>
          <w:szCs w:val="22"/>
        </w:rPr>
        <w:t xml:space="preserve">%&gt; </w:t>
      </w:r>
      <w:r>
        <w:rPr>
          <w:rFonts w:ascii="Arial" w:hAnsi="Arial" w:cs="Arial"/>
          <w:sz w:val="22"/>
          <w:szCs w:val="22"/>
        </w:rPr>
        <w:t>clients including some of the largest trucking firms in Ontario.</w:t>
      </w:r>
      <w:r w:rsidRPr="006E0394">
        <w:rPr>
          <w:rFonts w:ascii="Arial" w:hAnsi="Arial" w:cs="Arial"/>
          <w:sz w:val="22"/>
          <w:szCs w:val="22"/>
        </w:rPr>
        <w:t xml:space="preserve"> </w:t>
      </w:r>
      <w:r w:rsidR="007D69A0">
        <w:rPr>
          <w:rFonts w:ascii="Arial" w:hAnsi="Arial" w:cs="Arial"/>
          <w:sz w:val="22"/>
          <w:szCs w:val="22"/>
        </w:rPr>
        <w:t>&lt;%= brokerEmployees &amp;&amp; "</w:t>
      </w:r>
      <w:r w:rsidRPr="006E0394">
        <w:rPr>
          <w:rFonts w:ascii="Arial" w:hAnsi="Arial" w:cs="Arial"/>
          <w:sz w:val="22"/>
          <w:szCs w:val="22"/>
        </w:rPr>
        <w:t>We</w:t>
      </w:r>
      <w:r>
        <w:rPr>
          <w:rFonts w:ascii="Arial" w:hAnsi="Arial" w:cs="Arial"/>
          <w:sz w:val="22"/>
          <w:szCs w:val="22"/>
        </w:rPr>
        <w:t xml:space="preserve"> are</w:t>
      </w:r>
      <w:r w:rsidR="007D69A0">
        <w:rPr>
          <w:rFonts w:ascii="Arial" w:hAnsi="Arial" w:cs="Arial"/>
          <w:sz w:val="22"/>
          <w:szCs w:val="22"/>
        </w:rPr>
        <w:t xml:space="preserve"> #{brokerEmployees}</w:t>
      </w:r>
      <w:r>
        <w:rPr>
          <w:rFonts w:ascii="Arial" w:hAnsi="Arial" w:cs="Arial"/>
          <w:sz w:val="22"/>
          <w:szCs w:val="22"/>
        </w:rPr>
        <w:t xml:space="preserve"> employees</w:t>
      </w:r>
      <w:r w:rsidRPr="006E0394">
        <w:rPr>
          <w:rFonts w:ascii="Arial" w:hAnsi="Arial" w:cs="Arial"/>
          <w:sz w:val="22"/>
          <w:szCs w:val="22"/>
        </w:rPr>
        <w:t xml:space="preserve"> strong with offices in </w:t>
      </w:r>
      <w:r>
        <w:rPr>
          <w:rFonts w:ascii="Arial" w:hAnsi="Arial" w:cs="Arial"/>
          <w:sz w:val="22"/>
          <w:szCs w:val="22"/>
        </w:rPr>
        <w:t>London and Mississauga.</w:t>
      </w:r>
      <w:r w:rsidR="007D69A0">
        <w:rPr>
          <w:rFonts w:ascii="Arial" w:hAnsi="Arial" w:cs="Arial"/>
          <w:sz w:val="22"/>
          <w:szCs w:val="22"/>
        </w:rPr>
        <w:t>"</w:t>
      </w:r>
      <w:r w:rsidR="003B58B5">
        <w:rPr>
          <w:rFonts w:ascii="Arial" w:hAnsi="Arial" w:cs="Arial"/>
          <w:sz w:val="22"/>
          <w:szCs w:val="22"/>
        </w:rPr>
        <w:t xml:space="preserve"> || </w:t>
      </w:r>
      <w:r w:rsidR="003B58B5" w:rsidRPr="003B58B5">
        <w:rPr>
          <w:rFonts w:ascii="Arial" w:hAnsi="Arial" w:cs="Arial"/>
          <w:sz w:val="22"/>
          <w:szCs w:val="22"/>
        </w:rPr>
        <w:t>''</w:t>
      </w:r>
      <w:r w:rsidR="007D69A0">
        <w:rPr>
          <w:rFonts w:ascii="Arial" w:hAnsi="Arial" w:cs="Arial"/>
          <w:sz w:val="22"/>
          <w:szCs w:val="22"/>
        </w:rPr>
        <w:t>%&gt;</w:t>
      </w:r>
    </w:p>
    <w:p w:rsidR="004946DD" w:rsidRDefault="004946DD" w:rsidP="004946DD">
      <w:pPr>
        <w:rPr>
          <w:sz w:val="22"/>
          <w:szCs w:val="22"/>
        </w:rPr>
      </w:pPr>
      <w:r w:rsidRPr="006E0394">
        <w:rPr>
          <w:sz w:val="22"/>
          <w:szCs w:val="22"/>
        </w:rPr>
        <w:t xml:space="preserve">Our proposal is a combination of the good work done by </w:t>
      </w:r>
      <w:r w:rsidR="00354863">
        <w:rPr>
          <w:sz w:val="22"/>
          <w:szCs w:val="22"/>
        </w:rPr>
        <w:t>&lt;%=</w:t>
      </w:r>
      <w:r w:rsidR="008B78F1">
        <w:rPr>
          <w:sz w:val="22"/>
          <w:szCs w:val="22"/>
        </w:rPr>
        <w:t>primaryBroker%&gt;</w:t>
      </w:r>
      <w:r w:rsidR="00951312">
        <w:rPr>
          <w:sz w:val="22"/>
          <w:szCs w:val="22"/>
        </w:rPr>
        <w:t xml:space="preserve"> on behalf of </w:t>
      </w:r>
      <w:r w:rsidR="00354863">
        <w:rPr>
          <w:sz w:val="22"/>
          <w:szCs w:val="22"/>
        </w:rPr>
        <w:t>&lt;%=</w:t>
      </w:r>
      <w:r w:rsidR="008B78F1">
        <w:rPr>
          <w:sz w:val="22"/>
          <w:szCs w:val="22"/>
        </w:rPr>
        <w:t>companyShort%&gt;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 xml:space="preserve">is more about completely understanding the </w:t>
      </w:r>
      <w:r w:rsidR="00354863">
        <w:rPr>
          <w:sz w:val="22"/>
          <w:szCs w:val="22"/>
        </w:rPr>
        <w:t>&lt;%=</w:t>
      </w:r>
      <w:r w:rsidR="008B78F1">
        <w:rPr>
          <w:sz w:val="22"/>
          <w:szCs w:val="22"/>
        </w:rPr>
        <w:t>companyShort%&gt;</w:t>
      </w:r>
      <w:r>
        <w:rPr>
          <w:sz w:val="22"/>
          <w:szCs w:val="22"/>
        </w:rPr>
        <w:t xml:space="preserve"> business model and educating 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0C2A95" w:rsidRDefault="004946DD" w:rsidP="000C2A95">
      <w:r>
        <w:rPr>
          <w:sz w:val="22"/>
          <w:szCs w:val="22"/>
        </w:rPr>
        <w:t>B</w:t>
      </w:r>
      <w:r w:rsidRPr="006E0394">
        <w:rPr>
          <w:sz w:val="22"/>
          <w:szCs w:val="22"/>
        </w:rPr>
        <w:t xml:space="preserve">usinesses that </w:t>
      </w:r>
      <w:r>
        <w:rPr>
          <w:sz w:val="22"/>
          <w:szCs w:val="22"/>
        </w:rPr>
        <w:t xml:space="preserve">are the size of </w:t>
      </w:r>
      <w:r w:rsidR="00354863">
        <w:rPr>
          <w:sz w:val="22"/>
          <w:szCs w:val="22"/>
        </w:rPr>
        <w:t>&lt;%=</w:t>
      </w:r>
      <w:r w:rsidR="008B78F1">
        <w:rPr>
          <w:sz w:val="22"/>
          <w:szCs w:val="22"/>
        </w:rPr>
        <w:t>companyShort%&gt;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w:t>
      </w:r>
      <w:r w:rsidR="00354863">
        <w:rPr>
          <w:sz w:val="22"/>
          <w:szCs w:val="22"/>
        </w:rPr>
        <w:t>&lt;%=</w:t>
      </w:r>
      <w:r w:rsidR="008B78F1">
        <w:rPr>
          <w:sz w:val="22"/>
          <w:szCs w:val="22"/>
        </w:rPr>
        <w:t>companyShort%&gt;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 xml:space="preserve">We commit to </w:t>
      </w:r>
      <w:r w:rsidR="00354863">
        <w:rPr>
          <w:b/>
          <w:color w:val="C00000"/>
          <w:sz w:val="32"/>
          <w:szCs w:val="32"/>
        </w:rPr>
        <w:t>&lt;%=</w:t>
      </w:r>
      <w:r w:rsidR="008B78F1">
        <w:rPr>
          <w:b/>
          <w:color w:val="C00000"/>
          <w:sz w:val="32"/>
          <w:szCs w:val="32"/>
        </w:rPr>
        <w:t>company%&gt;</w:t>
      </w:r>
      <w:r w:rsidR="009A3A14">
        <w:rPr>
          <w:b/>
          <w:color w:val="C00000"/>
          <w:sz w:val="32"/>
          <w:szCs w:val="32"/>
        </w:rPr>
        <w: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r w:rsidR="00764193">
        <w:rPr>
          <w:b/>
          <w:color w:val="auto"/>
          <w:sz w:val="22"/>
          <w:szCs w:val="22"/>
          <w:u w:val="single"/>
        </w:rPr>
        <w:t xml:space="preserve">append </w:t>
      </w:r>
      <w:r w:rsidR="008B78F1" w:rsidRPr="00813ACB">
        <w:rPr>
          <w:b/>
          <w:color w:val="auto"/>
          <w:sz w:val="22"/>
          <w:szCs w:val="22"/>
          <w:u w:val="single"/>
        </w:rPr>
        <w:t>brokerContacts</w:t>
      </w:r>
      <w:r w:rsidR="00AD540D">
        <w:rPr>
          <w:b/>
          <w:color w:val="auto"/>
          <w:sz w:val="22"/>
          <w:szCs w:val="22"/>
          <w:u w:val="single"/>
        </w:rPr>
        <w:t>[2]</w:t>
      </w:r>
      <w:r w:rsidR="00764193">
        <w:rPr>
          <w:b/>
          <w:color w:val="auto"/>
          <w:sz w:val="22"/>
          <w:szCs w:val="22"/>
          <w:u w:val="single"/>
        </w:rPr>
        <w:t xml:space="preserve">.title, </w:t>
      </w:r>
      <w:r w:rsidR="00764193" w:rsidRPr="00764193">
        <w:rPr>
          <w:b/>
          <w:color w:val="auto"/>
          <w:sz w:val="22"/>
          <w:szCs w:val="22"/>
          <w:u w:val="single"/>
        </w:rPr>
        <w:t>'</w:t>
      </w:r>
      <w:r w:rsidR="00764193">
        <w:rPr>
          <w:b/>
          <w:color w:val="auto"/>
          <w:sz w:val="22"/>
          <w:szCs w:val="22"/>
          <w:u w:val="single"/>
        </w:rPr>
        <w:t xml:space="preserve"> </w:t>
      </w:r>
      <w:r w:rsidR="00764193" w:rsidRPr="00764193">
        <w:rPr>
          <w:b/>
          <w:color w:val="auto"/>
          <w:sz w:val="22"/>
          <w:szCs w:val="22"/>
          <w:u w:val="single"/>
        </w:rPr>
        <w:t>'</w:t>
      </w:r>
      <w:r w:rsidR="008B78F1">
        <w:rPr>
          <w:b/>
          <w:color w:val="auto"/>
          <w:sz w:val="22"/>
          <w:szCs w:val="22"/>
          <w:u w:val="single"/>
        </w:rPr>
        <w:t>%&gt;</w:t>
      </w:r>
      <w:r w:rsidR="00354863">
        <w:rPr>
          <w:b/>
          <w:color w:val="auto"/>
          <w:sz w:val="22"/>
          <w:szCs w:val="22"/>
          <w:u w:val="single"/>
        </w:rPr>
        <w:t>&lt;%=</w:t>
      </w:r>
      <w:r w:rsidR="008B78F1" w:rsidRPr="00813ACB">
        <w:rPr>
          <w:b/>
          <w:color w:val="auto"/>
          <w:sz w:val="22"/>
          <w:szCs w:val="22"/>
          <w:u w:val="single"/>
        </w:rPr>
        <w:t>brokerContacts</w:t>
      </w:r>
      <w:r w:rsidR="00AD540D">
        <w:rPr>
          <w:b/>
          <w:color w:val="auto"/>
          <w:sz w:val="22"/>
          <w:szCs w:val="22"/>
          <w:u w:val="single"/>
        </w:rPr>
        <w:t>[2]</w:t>
      </w:r>
      <w:r w:rsidR="008B78F1" w:rsidRPr="00813ACB">
        <w:rPr>
          <w:b/>
          <w:color w:val="auto"/>
          <w:sz w:val="22"/>
          <w:szCs w:val="22"/>
          <w:u w:val="single"/>
        </w:rPr>
        <w:t>.name</w:t>
      </w:r>
      <w:r w:rsidR="008B78F1">
        <w:rPr>
          <w:b/>
          <w:color w:val="auto"/>
          <w:sz w:val="22"/>
          <w:szCs w:val="22"/>
          <w:u w:val="single"/>
        </w:rPr>
        <w:t>%&gt;</w:t>
      </w:r>
    </w:p>
    <w:p w:rsidR="004946DD" w:rsidRPr="00813ACB" w:rsidRDefault="00354863" w:rsidP="00813ACB">
      <w:pPr>
        <w:pStyle w:val="ListBullet2"/>
        <w:numPr>
          <w:ilvl w:val="0"/>
          <w:numId w:val="0"/>
        </w:numPr>
        <w:ind w:left="660"/>
        <w:rPr>
          <w:sz w:val="22"/>
          <w:szCs w:val="22"/>
        </w:rPr>
      </w:pPr>
      <w:bookmarkStart w:id="3" w:name="_GoBack"/>
      <w:bookmarkEnd w:id="3"/>
      <w:r>
        <w:rPr>
          <w:color w:val="auto"/>
          <w:sz w:val="22"/>
          <w:szCs w:val="22"/>
        </w:rPr>
        <w:t>&lt;%=</w:t>
      </w:r>
      <w:r w:rsidR="009C50F4">
        <w:rPr>
          <w:color w:val="auto"/>
          <w:sz w:val="22"/>
          <w:szCs w:val="22"/>
        </w:rPr>
        <w:t xml:space="preserve">selfif </w:t>
      </w:r>
      <w:r w:rsidR="00AD540D">
        <w:rPr>
          <w:color w:val="auto"/>
          <w:sz w:val="22"/>
          <w:szCs w:val="22"/>
        </w:rPr>
        <w:t>brokerContacts[2]</w:t>
      </w:r>
      <w:r w:rsidR="008B78F1">
        <w:rPr>
          <w:color w:val="auto"/>
          <w:sz w:val="22"/>
          <w:szCs w:val="22"/>
        </w:rPr>
        <w:t>.description%&gt;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354863">
        <w:rPr>
          <w:color w:val="auto"/>
          <w:sz w:val="22"/>
          <w:szCs w:val="22"/>
        </w:rPr>
        <w:t>&lt;%=</w:t>
      </w:r>
      <w:r w:rsidR="008B78F1">
        <w:rPr>
          <w:color w:val="auto"/>
          <w:sz w:val="22"/>
          <w:szCs w:val="22"/>
        </w:rPr>
        <w:t>brokerOfficeShort%&gt;</w:t>
      </w:r>
      <w:r w:rsidRPr="002A1EEB">
        <w:rPr>
          <w:color w:val="auto"/>
          <w:sz w:val="22"/>
          <w:szCs w:val="22"/>
        </w:rPr>
        <w:t xml:space="preserve"> network to help </w:t>
      </w:r>
      <w:r w:rsidR="00354863">
        <w:rPr>
          <w:color w:val="auto"/>
          <w:sz w:val="22"/>
          <w:szCs w:val="22"/>
        </w:rPr>
        <w:t>&lt;%=</w:t>
      </w:r>
      <w:r w:rsidR="008B78F1">
        <w:rPr>
          <w:color w:val="auto"/>
          <w:sz w:val="22"/>
          <w:szCs w:val="22"/>
        </w:rPr>
        <w:t>companyShort%&gt;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354863">
        <w:rPr>
          <w:color w:val="auto"/>
          <w:sz w:val="22"/>
          <w:szCs w:val="22"/>
        </w:rPr>
        <w:t>&lt;%=</w:t>
      </w:r>
      <w:r w:rsidR="008B78F1">
        <w:rPr>
          <w:color w:val="auto"/>
          <w:sz w:val="22"/>
          <w:szCs w:val="22"/>
        </w:rPr>
        <w:t>company%&gt;</w:t>
      </w:r>
      <w:r w:rsidR="000812FE">
        <w:rPr>
          <w:color w:val="auto"/>
          <w:sz w:val="22"/>
          <w:szCs w:val="22"/>
        </w:rPr>
        <w:t xml:space="preserve">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354863">
        <w:rPr>
          <w:color w:val="auto"/>
          <w:sz w:val="22"/>
          <w:szCs w:val="22"/>
        </w:rPr>
        <w:t>&lt;%=</w:t>
      </w:r>
      <w:r w:rsidR="008B78F1">
        <w:rPr>
          <w:color w:val="auto"/>
          <w:sz w:val="22"/>
          <w:szCs w:val="22"/>
        </w:rPr>
        <w:t>company%&gt;</w:t>
      </w:r>
      <w:r w:rsidR="009D3445">
        <w:rPr>
          <w:color w:val="auto"/>
          <w:sz w:val="22"/>
          <w:szCs w:val="22"/>
        </w:rPr>
        <w:t xml:space="preserve">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r w:rsidR="00597193">
        <w:rPr>
          <w:color w:val="auto"/>
          <w:sz w:val="22"/>
          <w:szCs w:val="22"/>
        </w:rPr>
        <w:t>brokerContacts[3]</w:t>
      </w:r>
      <w:r w:rsidR="008B78F1">
        <w:rPr>
          <w:color w:val="auto"/>
          <w:sz w:val="22"/>
          <w:szCs w:val="22"/>
        </w:rPr>
        <w:t>.title%&gt;</w:t>
      </w:r>
      <w:r w:rsidR="007C6C08">
        <w:rPr>
          <w:color w:val="auto"/>
          <w:sz w:val="22"/>
          <w:szCs w:val="22"/>
        </w:rPr>
        <w:t xml:space="preserve"> </w:t>
      </w:r>
      <w:r>
        <w:rPr>
          <w:color w:val="auto"/>
          <w:sz w:val="22"/>
          <w:szCs w:val="22"/>
        </w:rPr>
        <w:t>&lt;%=</w:t>
      </w:r>
      <w:r w:rsidR="00597193">
        <w:rPr>
          <w:color w:val="auto"/>
          <w:sz w:val="22"/>
          <w:szCs w:val="22"/>
        </w:rPr>
        <w:t>brokerContacts[3]</w:t>
      </w:r>
      <w:r w:rsidR="008B78F1">
        <w:rPr>
          <w:color w:val="auto"/>
          <w:sz w:val="22"/>
          <w:szCs w:val="22"/>
        </w:rPr>
        <w:t>.name%&gt;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r w:rsidR="008B78F1">
        <w:rPr>
          <w:color w:val="auto"/>
          <w:sz w:val="22"/>
          <w:szCs w:val="22"/>
        </w:rPr>
        <w:t>brokerOffice%&gt;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4946DD" w:rsidRPr="007A30A6" w:rsidRDefault="004946DD" w:rsidP="004946DD">
      <w:pPr>
        <w:pStyle w:val="Heading3"/>
        <w:jc w:val="center"/>
        <w:rPr>
          <w:rFonts w:ascii="Arial Black" w:hAnsi="Arial Black"/>
          <w:i w:val="0"/>
          <w:szCs w:val="28"/>
        </w:rPr>
      </w:pPr>
      <w:r w:rsidRPr="007A30A6">
        <w:rPr>
          <w:rFonts w:ascii="Arial Black" w:hAnsi="Arial Black"/>
          <w:i w:val="0"/>
          <w:szCs w:val="28"/>
        </w:rPr>
        <w: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r w:rsidR="008B78F1">
        <w:rPr>
          <w:sz w:val="22"/>
          <w:szCs w:val="22"/>
        </w:rPr>
        <w:t>brokerOffice%&gt;</w:t>
      </w:r>
      <w:r w:rsidR="00D21E73">
        <w:rPr>
          <w:sz w:val="22"/>
          <w:szCs w:val="22"/>
        </w:rPr>
        <w:t xml:space="preserve"> (</w:t>
      </w:r>
      <w:r>
        <w:rPr>
          <w:sz w:val="22"/>
          <w:szCs w:val="22"/>
        </w:rPr>
        <w:t>&lt;%=</w:t>
      </w:r>
      <w:r w:rsidR="008B78F1">
        <w:rPr>
          <w:sz w:val="22"/>
          <w:szCs w:val="22"/>
        </w:rPr>
        <w:t>brokerOfficeShort</w:t>
      </w:r>
      <w:r w:rsidR="00107143">
        <w:rPr>
          <w:sz w:val="22"/>
          <w:szCs w:val="22"/>
        </w:rPr>
        <w:t>%&gt;</w:t>
      </w:r>
      <w:r w:rsidR="008B78F1">
        <w:rPr>
          <w:sz w:val="22"/>
          <w:szCs w:val="22"/>
        </w:rPr>
        <w:t>)</w:t>
      </w:r>
      <w:r w:rsidR="008B78F1" w:rsidRPr="007A30A6">
        <w:rPr>
          <w:sz w:val="22"/>
          <w:szCs w:val="22"/>
        </w:rPr>
        <w:t xml:space="preserve"> and </w:t>
      </w:r>
      <w:r w:rsidR="00107143">
        <w:rPr>
          <w:sz w:val="22"/>
          <w:szCs w:val="22"/>
        </w:rPr>
        <w:t>&lt;%=</w:t>
      </w:r>
      <w:r w:rsidR="00744552">
        <w:rPr>
          <w:sz w:val="22"/>
          <w:szCs w:val="22"/>
        </w:rPr>
        <w:t>$</w:t>
      </w:r>
      <w:r w:rsidR="00B86706">
        <w:rPr>
          <w:sz w:val="22"/>
          <w:szCs w:val="22"/>
        </w:rPr>
        <w:t>policy.prevInsurer</w:t>
      </w:r>
      <w:r w:rsidR="00107143">
        <w:rPr>
          <w:sz w:val="22"/>
          <w:szCs w:val="22"/>
        </w:rPr>
        <w:t>%&gt;</w:t>
      </w:r>
      <w:r w:rsidR="008B78F1" w:rsidRPr="007A30A6">
        <w:rPr>
          <w:sz w:val="22"/>
          <w:szCs w:val="22"/>
        </w:rPr>
        <w:t xml:space="preserve"> propose to inspect the first few projects with a view to familiarization with the </w:t>
      </w:r>
      <w:r w:rsidR="00107143">
        <w:rPr>
          <w:sz w:val="22"/>
          <w:szCs w:val="22"/>
        </w:rPr>
        <w:t>&lt;%=</w:t>
      </w:r>
      <w:r w:rsidR="00C43E15">
        <w:rPr>
          <w:sz w:val="22"/>
          <w:szCs w:val="22"/>
        </w:rPr>
        <w:t>company</w:t>
      </w:r>
      <w:r w:rsidR="00107143">
        <w:rPr>
          <w:sz w:val="22"/>
          <w:szCs w:val="22"/>
        </w:rPr>
        <w:t xml:space="preserve">%&gt; </w:t>
      </w:r>
      <w:r w:rsidR="008B78F1" w:rsidRPr="007A30A6">
        <w:rPr>
          <w:sz w:val="22"/>
          <w:szCs w:val="22"/>
        </w:rPr>
        <w:t xml:space="preserve">risk management practices. </w:t>
      </w:r>
      <w:r w:rsidR="00107143">
        <w:rPr>
          <w:sz w:val="22"/>
          <w:szCs w:val="22"/>
        </w:rPr>
        <w:t>&lt;%=</w:t>
      </w:r>
      <w:r w:rsidR="00C5309F">
        <w:rPr>
          <w:sz w:val="22"/>
          <w:szCs w:val="22"/>
        </w:rPr>
        <w:t>company</w:t>
      </w:r>
      <w:r w:rsidR="00107143">
        <w:rPr>
          <w:sz w:val="22"/>
          <w:szCs w:val="22"/>
        </w:rPr>
        <w:t>%&gt; (&lt;%=</w:t>
      </w:r>
      <w:r w:rsidR="008541D5">
        <w:rPr>
          <w:sz w:val="22"/>
          <w:szCs w:val="22"/>
        </w:rPr>
        <w:t>companyShort</w:t>
      </w:r>
      <w:r w:rsidR="00107143">
        <w:rPr>
          <w:sz w:val="22"/>
          <w:szCs w:val="22"/>
        </w:rPr>
        <w:t>%&gt;</w:t>
      </w:r>
      <w:r w:rsidR="008B78F1">
        <w:rPr>
          <w:sz w:val="22"/>
          <w:szCs w:val="22"/>
        </w:rPr>
        <w:t xml:space="preserve">) </w:t>
      </w:r>
      <w:r w:rsidR="008B78F1" w:rsidRPr="007A30A6">
        <w:rPr>
          <w:sz w:val="22"/>
          <w:szCs w:val="22"/>
        </w:rPr>
        <w:t>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lastRenderedPageBreak/>
        <w:t xml:space="preserve">Alterations to building structures, for example to provide load support, are not contemplated to be covered </w:t>
      </w:r>
      <w:r w:rsidR="004D1E9A">
        <w:rPr>
          <w:sz w:val="22"/>
          <w:szCs w:val="22"/>
        </w:rPr>
        <w:t>by &lt;%=</w:t>
      </w:r>
      <w:r w:rsidR="001A0500">
        <w:rPr>
          <w:sz w:val="22"/>
          <w:szCs w:val="22"/>
        </w:rPr>
        <w:t>policyInsurer</w:t>
      </w:r>
      <w:r w:rsidR="004D1E9A">
        <w:rPr>
          <w:sz w:val="22"/>
          <w:szCs w:val="22"/>
        </w:rPr>
        <w:t>%&gt;</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r w:rsidR="00BA1276">
        <w:rPr>
          <w:sz w:val="22"/>
          <w:szCs w:val="22"/>
        </w:rPr>
        <w:t>company</w:t>
      </w:r>
      <w:r w:rsidR="00E53930">
        <w:rPr>
          <w:sz w:val="22"/>
          <w:szCs w:val="22"/>
        </w:rPr>
        <w:t>Short</w:t>
      </w:r>
      <w:r w:rsidR="00BA1276">
        <w:rPr>
          <w:sz w:val="22"/>
          <w:szCs w:val="22"/>
        </w:rPr>
        <w:t>%</w:t>
      </w:r>
      <w:r>
        <w:rPr>
          <w:sz w:val="22"/>
          <w:szCs w:val="22"/>
        </w:rPr>
        <w:t>&gt;</w:t>
      </w:r>
      <w:r w:rsidR="00BA1276">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4946DD" w:rsidRPr="007B0269" w:rsidRDefault="004946DD" w:rsidP="004946DD">
      <w:pPr>
        <w:tabs>
          <w:tab w:val="left" w:pos="0"/>
        </w:tabs>
        <w:ind w:left="-90"/>
        <w:rPr>
          <w:b/>
          <w:sz w:val="20"/>
          <w:szCs w:val="20"/>
        </w:rPr>
      </w:pPr>
      <w:r w:rsidRPr="007B0269">
        <w:rPr>
          <w:b/>
          <w:sz w:val="20"/>
          <w:szCs w:val="20"/>
          <w:u w:val="single"/>
        </w:rPr>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r w:rsidR="008B78F1">
        <w:rPr>
          <w:color w:val="000000"/>
          <w:sz w:val="22"/>
          <w:szCs w:val="22"/>
        </w:rPr>
        <w:t>notes%&gt;</w:t>
      </w:r>
    </w:p>
    <w:p w:rsidR="004946DD" w:rsidRPr="00CE5C23" w:rsidRDefault="004946DD" w:rsidP="004946DD">
      <w:pPr>
        <w:pStyle w:val="SectionStart"/>
        <w:rPr>
          <w:rFonts w:ascii="Arial" w:hAnsi="Arial"/>
          <w:lang w:eastAsia="ko-KR"/>
        </w:rPr>
      </w:pPr>
      <w:bookmarkStart w:id="4" w:name="Start"/>
      <w:bookmarkEnd w:id="4"/>
    </w:p>
    <w:p w:rsidR="004946DD" w:rsidRPr="00CE5C23" w:rsidRDefault="00354863" w:rsidP="004946DD">
      <w:pPr>
        <w:pStyle w:val="Heading1"/>
        <w:rPr>
          <w:rFonts w:ascii="Arial" w:hAnsi="Arial"/>
          <w:kern w:val="32"/>
        </w:rPr>
      </w:pPr>
      <w:r>
        <w:rPr>
          <w:rFonts w:ascii="Arial" w:hAnsi="Arial"/>
        </w:rPr>
        <w:t>&lt;%=</w:t>
      </w:r>
      <w:r w:rsidR="008B78F1">
        <w:rPr>
          <w:rFonts w:ascii="Arial" w:hAnsi="Arial"/>
        </w:rPr>
        <w:t>brokerOfficeShort%&gt;</w:t>
      </w:r>
      <w:bookmarkStart w:id="5" w:name="_Toc196015415"/>
      <w:r w:rsidR="004A657E">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5"/>
      <w:r w:rsidR="004946DD" w:rsidRPr="00CE5C23">
        <w:rPr>
          <w:rFonts w:ascii="Arial" w:hAnsi="Arial"/>
          <w:kern w:val="32"/>
        </w:rPr>
        <w:t xml:space="preserve"> for </w:t>
      </w:r>
      <w:r>
        <w:rPr>
          <w:rFonts w:ascii="Arial" w:hAnsi="Arial"/>
          <w:kern w:val="32"/>
        </w:rPr>
        <w:t>&lt;%=</w:t>
      </w:r>
      <w:r w:rsidR="008B78F1">
        <w:rPr>
          <w:rFonts w:ascii="Arial" w:hAnsi="Arial"/>
          <w:kern w:val="32"/>
        </w:rPr>
        <w:t>companyShort%&gt;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354863">
        <w:rPr>
          <w:kern w:val="32"/>
          <w:sz w:val="22"/>
          <w:szCs w:val="22"/>
        </w:rPr>
        <w:t>&lt;%=</w:t>
      </w:r>
      <w:r w:rsidR="008B78F1">
        <w:rPr>
          <w:kern w:val="32"/>
          <w:sz w:val="22"/>
          <w:szCs w:val="22"/>
        </w:rPr>
        <w:t>brokerOffice%&gt;</w:t>
      </w:r>
      <w:r w:rsidR="00F113B9">
        <w:rPr>
          <w:kern w:val="32"/>
          <w:sz w:val="22"/>
          <w:szCs w:val="22"/>
        </w:rPr>
        <w:t xml:space="preserve"> (</w:t>
      </w:r>
      <w:r w:rsidR="00354863">
        <w:rPr>
          <w:kern w:val="32"/>
          <w:sz w:val="22"/>
          <w:szCs w:val="22"/>
        </w:rPr>
        <w:t>&lt;%=</w:t>
      </w:r>
      <w:r w:rsidR="008B78F1">
        <w:rPr>
          <w:kern w:val="32"/>
          <w:sz w:val="22"/>
          <w:szCs w:val="22"/>
        </w:rPr>
        <w:t>brokerOfficeShort%&gt;</w:t>
      </w:r>
      <w:r w:rsidR="00F113B9">
        <w:rPr>
          <w:kern w:val="32"/>
          <w:sz w:val="22"/>
          <w:szCs w:val="22"/>
        </w:rPr>
        <w: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354863">
        <w:rPr>
          <w:kern w:val="32"/>
          <w:sz w:val="22"/>
          <w:szCs w:val="22"/>
        </w:rPr>
        <w:t>&lt;%=</w:t>
      </w:r>
      <w:r w:rsidR="008B78F1">
        <w:rPr>
          <w:kern w:val="32"/>
          <w:sz w:val="22"/>
          <w:szCs w:val="22"/>
        </w:rPr>
        <w:t>company%&gt;</w:t>
      </w:r>
      <w:r w:rsidR="00076E4C">
        <w:rPr>
          <w:kern w:val="32"/>
          <w:sz w:val="22"/>
          <w:szCs w:val="22"/>
        </w:rPr>
        <w:t xml:space="preserve"> (</w:t>
      </w:r>
      <w:r w:rsidR="00354863">
        <w:rPr>
          <w:kern w:val="32"/>
          <w:sz w:val="22"/>
          <w:szCs w:val="22"/>
        </w:rPr>
        <w:t>&lt;%=</w:t>
      </w:r>
      <w:r w:rsidR="008B78F1">
        <w:rPr>
          <w:kern w:val="32"/>
          <w:sz w:val="22"/>
          <w:szCs w:val="22"/>
        </w:rPr>
        <w:t>companyShort%&gt;</w:t>
      </w:r>
      <w:r w:rsidR="00076E4C">
        <w:rPr>
          <w:kern w:val="32"/>
          <w:sz w:val="22"/>
          <w:szCs w:val="22"/>
        </w:rPr>
        <w: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354863">
        <w:rPr>
          <w:kern w:val="32"/>
          <w:sz w:val="22"/>
          <w:szCs w:val="22"/>
        </w:rPr>
        <w:t>&lt;%=</w:t>
      </w:r>
      <w:r w:rsidR="008B78F1">
        <w:rPr>
          <w:kern w:val="32"/>
          <w:sz w:val="22"/>
          <w:szCs w:val="22"/>
        </w:rPr>
        <w:t>companyShort%&gt;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6" w:name="_Toc196015416"/>
      <w:r w:rsidRPr="00CE5C23">
        <w:rPr>
          <w:rFonts w:ascii="Arial" w:hAnsi="Arial"/>
          <w:kern w:val="32"/>
        </w:rPr>
        <w:t xml:space="preserve">Core Services for </w:t>
      </w:r>
      <w:bookmarkEnd w:id="6"/>
      <w:r w:rsidR="00354863">
        <w:rPr>
          <w:rFonts w:ascii="Arial" w:hAnsi="Arial"/>
          <w:kern w:val="32"/>
        </w:rPr>
        <w:t>&lt;%=</w:t>
      </w:r>
      <w:r w:rsidR="008B78F1">
        <w:rPr>
          <w:rFonts w:ascii="Arial" w:hAnsi="Arial"/>
          <w:kern w:val="32"/>
        </w:rPr>
        <w:t>company%&gt;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 xml:space="preserve">bility of the broker to provide </w:t>
      </w:r>
      <w:r w:rsidR="00354863">
        <w:rPr>
          <w:sz w:val="22"/>
          <w:szCs w:val="22"/>
        </w:rPr>
        <w:t>&lt;%=</w:t>
      </w:r>
      <w:r w:rsidR="008B78F1">
        <w:rPr>
          <w:sz w:val="22"/>
          <w:szCs w:val="22"/>
        </w:rPr>
        <w:t>companyShort%&gt;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354863">
        <w:rPr>
          <w:sz w:val="22"/>
          <w:szCs w:val="22"/>
        </w:rPr>
        <w:t>&lt;%=</w:t>
      </w:r>
      <w:r w:rsidR="008B78F1">
        <w:rPr>
          <w:sz w:val="22"/>
          <w:szCs w:val="22"/>
        </w:rPr>
        <w:t>companyShort%&gt;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w:t>
      </w:r>
      <w:r>
        <w:rPr>
          <w:sz w:val="22"/>
          <w:szCs w:val="22"/>
        </w:rPr>
        <w:t xml:space="preserve"> AND third party contractual conditions</w:t>
      </w:r>
      <w:r w:rsidRPr="007B0269">
        <w:rPr>
          <w:sz w:val="22"/>
          <w:szCs w:val="22"/>
        </w:rPr>
        <w:t xml:space="preserve">.  We can 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lastRenderedPageBreak/>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354863">
        <w:rPr>
          <w:sz w:val="22"/>
          <w:szCs w:val="22"/>
        </w:rPr>
        <w:t>&lt;%=</w:t>
      </w:r>
      <w:r w:rsidR="008B78F1">
        <w:rPr>
          <w:sz w:val="22"/>
          <w:szCs w:val="22"/>
        </w:rPr>
        <w:t>companyShort%&gt;</w:t>
      </w:r>
      <w:r w:rsidR="00771DF8">
        <w:rPr>
          <w:sz w:val="22"/>
          <w:szCs w:val="22"/>
        </w:rPr>
        <w:t>.</w:t>
      </w:r>
      <w:r w:rsidRPr="00CE5C23">
        <w:rPr>
          <w:sz w:val="22"/>
          <w:szCs w:val="22"/>
        </w:rPr>
        <w:t xml:space="preserve"> </w:t>
      </w:r>
      <w:r>
        <w:rPr>
          <w:sz w:val="22"/>
          <w:szCs w:val="22"/>
        </w:rPr>
        <w:t xml:space="preserve">Producer </w:t>
      </w:r>
      <w:r w:rsidR="00354863">
        <w:rPr>
          <w:sz w:val="22"/>
          <w:szCs w:val="22"/>
        </w:rPr>
        <w:t>&lt;%=</w:t>
      </w:r>
      <w:r w:rsidR="008B78F1">
        <w:rPr>
          <w:sz w:val="22"/>
          <w:szCs w:val="22"/>
        </w:rPr>
        <w:t>primaryBrokerShort%&gt;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354863">
        <w:rPr>
          <w:sz w:val="22"/>
          <w:szCs w:val="22"/>
        </w:rPr>
        <w:t>&lt;%=</w:t>
      </w:r>
      <w:r w:rsidR="008B78F1">
        <w:rPr>
          <w:sz w:val="22"/>
          <w:szCs w:val="22"/>
        </w:rPr>
        <w:t>companyShort%&gt;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354863">
        <w:rPr>
          <w:sz w:val="22"/>
          <w:szCs w:val="22"/>
        </w:rPr>
        <w:t>&lt;%=</w:t>
      </w:r>
      <w:r w:rsidR="008B78F1">
        <w:rPr>
          <w:sz w:val="22"/>
          <w:szCs w:val="22"/>
        </w:rPr>
        <w:t>brokerOfficeShort%&gt;</w:t>
      </w:r>
      <w:r w:rsidRPr="00F93B5E">
        <w:rPr>
          <w:sz w:val="22"/>
          <w:szCs w:val="22"/>
        </w:rPr>
        <w:t xml:space="preserve"> specialty.  </w:t>
      </w:r>
      <w:r>
        <w:rPr>
          <w:sz w:val="22"/>
          <w:szCs w:val="22"/>
        </w:rPr>
        <w:t>Producer</w:t>
      </w:r>
      <w:r w:rsidR="0069448C">
        <w:rPr>
          <w:sz w:val="22"/>
          <w:szCs w:val="22"/>
        </w:rPr>
        <w:t xml:space="preserve"> </w:t>
      </w:r>
      <w:r w:rsidR="00354863">
        <w:rPr>
          <w:sz w:val="22"/>
          <w:szCs w:val="22"/>
        </w:rPr>
        <w:t>&lt;%=</w:t>
      </w:r>
      <w:r w:rsidR="008B78F1">
        <w:rPr>
          <w:sz w:val="22"/>
          <w:szCs w:val="22"/>
        </w:rPr>
        <w:t>primaryBroker%&gt;</w:t>
      </w:r>
      <w:r w:rsidR="0069448C">
        <w:rPr>
          <w:sz w:val="22"/>
          <w:szCs w:val="22"/>
        </w:rPr>
        <w:t xml:space="preserve">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354863">
        <w:rPr>
          <w:sz w:val="22"/>
          <w:szCs w:val="22"/>
        </w:rPr>
        <w:t>&lt;%=</w:t>
      </w:r>
      <w:r w:rsidR="008B78F1">
        <w:rPr>
          <w:sz w:val="22"/>
          <w:szCs w:val="22"/>
        </w:rPr>
        <w:t>brokerOfficeShort%&gt;</w:t>
      </w:r>
      <w:r w:rsidRPr="00CE5C23">
        <w:rPr>
          <w:sz w:val="22"/>
          <w:szCs w:val="22"/>
        </w:rPr>
        <w:t xml:space="preserve"> and </w:t>
      </w:r>
      <w:r w:rsidR="00354863">
        <w:rPr>
          <w:sz w:val="22"/>
          <w:szCs w:val="22"/>
        </w:rPr>
        <w:t>&lt;%=</w:t>
      </w:r>
      <w:r w:rsidR="008B78F1">
        <w:rPr>
          <w:sz w:val="22"/>
          <w:szCs w:val="22"/>
        </w:rPr>
        <w:t>companyShort%&gt;</w:t>
      </w:r>
      <w:r w:rsidR="001F36E5">
        <w:rPr>
          <w:sz w:val="22"/>
          <w:szCs w:val="22"/>
        </w:rPr>
        <w:t xml:space="preserve"> establishes</w:t>
      </w:r>
      <w:r w:rsidRPr="00CE5C23">
        <w:rPr>
          <w:sz w:val="22"/>
          <w:szCs w:val="22"/>
        </w:rPr>
        <w:t xml:space="preserve"> terms and conditions that meet </w:t>
      </w:r>
      <w:r w:rsidR="00354863">
        <w:rPr>
          <w:sz w:val="22"/>
          <w:szCs w:val="22"/>
        </w:rPr>
        <w:t>&lt;%=</w:t>
      </w:r>
      <w:r w:rsidR="008B78F1">
        <w:rPr>
          <w:sz w:val="22"/>
          <w:szCs w:val="22"/>
        </w:rPr>
        <w:t>companyShort%&gt;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r w:rsidR="008B78F1">
        <w:rPr>
          <w:sz w:val="22"/>
          <w:szCs w:val="22"/>
        </w:rPr>
        <w:t>brokerOfficeShort%&gt;</w:t>
      </w:r>
      <w:r w:rsidR="00B95779">
        <w:rPr>
          <w:sz w:val="22"/>
          <w:szCs w:val="22"/>
        </w:rPr>
        <w: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354863">
        <w:rPr>
          <w:sz w:val="22"/>
          <w:szCs w:val="22"/>
        </w:rPr>
        <w:t>&lt;%=</w:t>
      </w:r>
      <w:r w:rsidR="008B78F1">
        <w:rPr>
          <w:sz w:val="22"/>
          <w:szCs w:val="22"/>
        </w:rPr>
        <w:t>companyShort%&gt;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w:t>
      </w:r>
      <w:r w:rsidRPr="00CE5C23">
        <w:rPr>
          <w:sz w:val="22"/>
          <w:szCs w:val="22"/>
        </w:rPr>
        <w:lastRenderedPageBreak/>
        <w:t>monitoring the performance of your program closely, we will take prompt corrective action as needed.</w:t>
      </w:r>
    </w:p>
    <w:p w:rsidR="004946DD" w:rsidRPr="00CE5C23" w:rsidRDefault="004946DD" w:rsidP="004946DD">
      <w:pPr>
        <w:pStyle w:val="Heading3"/>
      </w:pPr>
    </w:p>
    <w:p w:rsidR="004946DD" w:rsidRPr="00CE5C23" w:rsidRDefault="004946DD" w:rsidP="004946DD">
      <w:pPr>
        <w:pStyle w:val="SectionStart"/>
        <w:rPr>
          <w:rFonts w:ascii="Arial" w:hAnsi="Arial"/>
        </w:rPr>
      </w:pP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354863">
        <w:rPr>
          <w:sz w:val="22"/>
          <w:szCs w:val="22"/>
        </w:rPr>
        <w:t>&lt;%=</w:t>
      </w:r>
      <w:r w:rsidR="008B78F1">
        <w:rPr>
          <w:sz w:val="22"/>
          <w:szCs w:val="22"/>
        </w:rPr>
        <w:t>primaryBroker%&gt;</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354863">
        <w:rPr>
          <w:sz w:val="22"/>
          <w:szCs w:val="22"/>
        </w:rPr>
        <w:t>&lt;%=</w:t>
      </w:r>
      <w:r w:rsidR="008B78F1">
        <w:rPr>
          <w:sz w:val="22"/>
          <w:szCs w:val="22"/>
        </w:rPr>
        <w:t>companyShort%&gt;</w:t>
      </w:r>
      <w:r w:rsidR="0017239F">
        <w:rPr>
          <w:sz w:val="22"/>
          <w:szCs w:val="22"/>
        </w:rPr>
        <w:t xml:space="preserve">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 xml:space="preserve">Coordination between </w:t>
      </w:r>
      <w:r w:rsidR="00354863">
        <w:rPr>
          <w:sz w:val="22"/>
          <w:szCs w:val="22"/>
        </w:rPr>
        <w:t>&lt;%=</w:t>
      </w:r>
      <w:r w:rsidR="008B78F1" w:rsidRPr="00D85757">
        <w:rPr>
          <w:sz w:val="22"/>
          <w:szCs w:val="22"/>
        </w:rPr>
        <w:t>companyShort</w:t>
      </w:r>
      <w:r w:rsidR="008B78F1">
        <w:rPr>
          <w:sz w:val="22"/>
          <w:szCs w:val="22"/>
        </w:rPr>
        <w:t>%&gt;</w:t>
      </w:r>
      <w:r w:rsidRPr="00D85757">
        <w:rPr>
          <w:sz w:val="22"/>
          <w:szCs w:val="22"/>
        </w:rPr>
        <w:t xml:space="preserve">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 xml:space="preserve">Provision of strong, dedicated advocacy services to ensure that </w:t>
      </w:r>
      <w:r w:rsidR="00354863">
        <w:rPr>
          <w:sz w:val="22"/>
          <w:szCs w:val="22"/>
        </w:rPr>
        <w:t>&lt;%=</w:t>
      </w:r>
      <w:r w:rsidR="008B78F1" w:rsidRPr="00D85757">
        <w:rPr>
          <w:sz w:val="22"/>
          <w:szCs w:val="22"/>
        </w:rPr>
        <w:t>companyShort</w:t>
      </w:r>
      <w:r w:rsidR="008B78F1">
        <w:rPr>
          <w:sz w:val="22"/>
          <w:szCs w:val="22"/>
        </w:rPr>
        <w:t>%&gt;</w:t>
      </w:r>
      <w:r w:rsidRPr="00D85757">
        <w:rPr>
          <w:sz w:val="22"/>
          <w:szCs w:val="22"/>
        </w:rPr>
        <w: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 xml:space="preserve">Monitoring of exclusion issues to preserve </w:t>
      </w:r>
      <w:r w:rsidR="00354863">
        <w:rPr>
          <w:sz w:val="22"/>
          <w:szCs w:val="22"/>
        </w:rPr>
        <w:t>&lt;%=</w:t>
      </w:r>
      <w:r w:rsidR="008B78F1" w:rsidRPr="00D85757">
        <w:rPr>
          <w:sz w:val="22"/>
          <w:szCs w:val="22"/>
        </w:rPr>
        <w:t>companyShort</w:t>
      </w:r>
      <w:r w:rsidR="008B78F1">
        <w:rPr>
          <w:sz w:val="22"/>
          <w:szCs w:val="22"/>
        </w:rPr>
        <w:t>%&gt;</w:t>
      </w:r>
      <w:r w:rsidRPr="00D85757">
        <w:rPr>
          <w:sz w:val="22"/>
          <w:szCs w:val="22"/>
        </w:rPr>
        <w: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4946DD" w:rsidP="004946DD">
      <w:pPr>
        <w:rPr>
          <w:lang w:val="en-US"/>
        </w:rPr>
      </w:pP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7" w:name="Check3"/>
      <w:r>
        <w:rPr>
          <w:sz w:val="20"/>
          <w:szCs w:val="18"/>
        </w:rPr>
        <w:instrText xml:space="preserve"> FORMCHECKBOX </w:instrText>
      </w:r>
      <w:r>
        <w:rPr>
          <w:sz w:val="20"/>
          <w:szCs w:val="18"/>
        </w:rPr>
      </w:r>
      <w:r>
        <w:rPr>
          <w:sz w:val="20"/>
          <w:szCs w:val="18"/>
        </w:rPr>
        <w:fldChar w:fldCharType="end"/>
      </w:r>
      <w:bookmarkEnd w:id="7"/>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8" w:name="Check1"/>
      <w:r>
        <w:rPr>
          <w:sz w:val="20"/>
          <w:szCs w:val="18"/>
        </w:rPr>
        <w:instrText xml:space="preserve"> FORMCHECKBOX </w:instrText>
      </w:r>
      <w:r>
        <w:rPr>
          <w:sz w:val="20"/>
          <w:szCs w:val="18"/>
        </w:rPr>
      </w:r>
      <w:r>
        <w:rPr>
          <w:sz w:val="20"/>
          <w:szCs w:val="18"/>
        </w:rPr>
        <w:fldChar w:fldCharType="end"/>
      </w:r>
      <w:bookmarkEnd w:id="8"/>
      <w:r>
        <w:rPr>
          <w:sz w:val="20"/>
          <w:szCs w:val="18"/>
        </w:rPr>
        <w:t xml:space="preserve">Yes  </w:t>
      </w:r>
      <w:r>
        <w:rPr>
          <w:sz w:val="20"/>
          <w:szCs w:val="18"/>
        </w:rPr>
        <w:fldChar w:fldCharType="begin">
          <w:ffData>
            <w:name w:val="Check2"/>
            <w:enabled/>
            <w:calcOnExit w:val="0"/>
            <w:checkBox>
              <w:sizeAuto/>
              <w:default w:val="0"/>
            </w:checkBox>
          </w:ffData>
        </w:fldChar>
      </w:r>
      <w:bookmarkStart w:id="9" w:name="Check2"/>
      <w:r>
        <w:rPr>
          <w:sz w:val="20"/>
          <w:szCs w:val="18"/>
        </w:rPr>
        <w:instrText xml:space="preserve"> FORMCHECKBOX </w:instrText>
      </w:r>
      <w:r>
        <w:rPr>
          <w:sz w:val="20"/>
          <w:szCs w:val="18"/>
        </w:rPr>
      </w:r>
      <w:r>
        <w:rPr>
          <w:sz w:val="20"/>
          <w:szCs w:val="18"/>
        </w:rPr>
        <w:fldChar w:fldCharType="end"/>
      </w:r>
      <w:bookmarkEnd w:id="9"/>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">
                <v:textbo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w:t>
      </w:r>
      <w:r w:rsidR="00354863">
        <w:rPr>
          <w:sz w:val="16"/>
        </w:rPr>
        <w:t>&lt;%=</w:t>
      </w:r>
      <w:r w:rsidR="008B78F1">
        <w:rPr>
          <w:sz w:val="16"/>
        </w:rPr>
        <w:t>policyInsurer%&gt;</w:t>
      </w:r>
      <w:r w:rsidR="0017239F">
        <w:rPr>
          <w:sz w:val="16"/>
        </w:rPr>
        <w:t xml:space="preserve">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E26E84"/>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84" w:rsidRDefault="00E26E84" w:rsidP="006E38B5">
      <w:pPr>
        <w:spacing w:line="240" w:lineRule="auto"/>
      </w:pPr>
      <w:r>
        <w:separator/>
      </w:r>
    </w:p>
  </w:endnote>
  <w:endnote w:type="continuationSeparator" w:id="0">
    <w:p w:rsidR="00E26E84" w:rsidRDefault="00E26E84"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E26E84"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3536E691" wp14:editId="163829A3">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03A20758" wp14:editId="7A00662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0" w:name="BICEndorsementBack"/>
    <w:r>
      <w:t xml:space="preserve">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1" w:name="LegalText"/>
          <w:r>
            <w:t> </w:t>
          </w:r>
          <w:bookmarkEnd w:id="11"/>
        </w:p>
      </w:tc>
    </w:tr>
  </w:tbl>
  <w:p w:rsidR="00155644" w:rsidRDefault="00E26E84"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84" w:rsidRDefault="00E26E84" w:rsidP="006E38B5">
      <w:pPr>
        <w:spacing w:line="240" w:lineRule="auto"/>
      </w:pPr>
      <w:r>
        <w:separator/>
      </w:r>
    </w:p>
  </w:footnote>
  <w:footnote w:type="continuationSeparator" w:id="0">
    <w:p w:rsidR="00E26E84" w:rsidRDefault="00E26E84"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E26E84"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40A8BE9C"/>
    <w:lvl w:ilvl="0">
      <w:start w:val="1"/>
      <w:numFmt w:val="decimal"/>
      <w:pStyle w:val="SectionStart"/>
      <w:lvlText w:val=" %1"/>
      <w:lvlJc w:val="left"/>
      <w:pPr>
        <w:tabs>
          <w:tab w:val="num" w:pos="630"/>
        </w:tabs>
        <w:ind w:left="443" w:hanging="173"/>
      </w:pPr>
      <w:rPr>
        <w:rFonts w:cs="Times New Roman" w:hint="default"/>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F78"/>
    <w:rsid w:val="000663D5"/>
    <w:rsid w:val="00076E4C"/>
    <w:rsid w:val="000812FE"/>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A0500"/>
    <w:rsid w:val="001B12C9"/>
    <w:rsid w:val="001F36E5"/>
    <w:rsid w:val="00204D48"/>
    <w:rsid w:val="00264F3C"/>
    <w:rsid w:val="002E4293"/>
    <w:rsid w:val="002F7E23"/>
    <w:rsid w:val="00354863"/>
    <w:rsid w:val="00365C85"/>
    <w:rsid w:val="0039028F"/>
    <w:rsid w:val="003B58B5"/>
    <w:rsid w:val="00452D4C"/>
    <w:rsid w:val="00454C68"/>
    <w:rsid w:val="00460D19"/>
    <w:rsid w:val="004946DD"/>
    <w:rsid w:val="004A657E"/>
    <w:rsid w:val="004B2B61"/>
    <w:rsid w:val="004B2DE1"/>
    <w:rsid w:val="004D1E9A"/>
    <w:rsid w:val="004D7B42"/>
    <w:rsid w:val="005126B2"/>
    <w:rsid w:val="0053208A"/>
    <w:rsid w:val="005359D1"/>
    <w:rsid w:val="0055080D"/>
    <w:rsid w:val="00557385"/>
    <w:rsid w:val="00561C15"/>
    <w:rsid w:val="00572C13"/>
    <w:rsid w:val="005912B0"/>
    <w:rsid w:val="00597193"/>
    <w:rsid w:val="005E608E"/>
    <w:rsid w:val="005F420D"/>
    <w:rsid w:val="00667F6C"/>
    <w:rsid w:val="00682726"/>
    <w:rsid w:val="0069448C"/>
    <w:rsid w:val="006A304A"/>
    <w:rsid w:val="006D3BB0"/>
    <w:rsid w:val="006E38B5"/>
    <w:rsid w:val="006E588E"/>
    <w:rsid w:val="006F0A1A"/>
    <w:rsid w:val="00732F71"/>
    <w:rsid w:val="00744552"/>
    <w:rsid w:val="00764193"/>
    <w:rsid w:val="00771DF8"/>
    <w:rsid w:val="007730C1"/>
    <w:rsid w:val="007875DB"/>
    <w:rsid w:val="007C6C08"/>
    <w:rsid w:val="007D69A0"/>
    <w:rsid w:val="007F7320"/>
    <w:rsid w:val="0081078D"/>
    <w:rsid w:val="00813ACB"/>
    <w:rsid w:val="008301CA"/>
    <w:rsid w:val="008415FA"/>
    <w:rsid w:val="008541D5"/>
    <w:rsid w:val="00872614"/>
    <w:rsid w:val="008A06BE"/>
    <w:rsid w:val="008A6F69"/>
    <w:rsid w:val="008B515D"/>
    <w:rsid w:val="008B78F1"/>
    <w:rsid w:val="008D29B3"/>
    <w:rsid w:val="008E2DD3"/>
    <w:rsid w:val="008E6B8B"/>
    <w:rsid w:val="00941613"/>
    <w:rsid w:val="00951312"/>
    <w:rsid w:val="009A3A14"/>
    <w:rsid w:val="009B41E5"/>
    <w:rsid w:val="009C50F4"/>
    <w:rsid w:val="009D3445"/>
    <w:rsid w:val="009E0C0A"/>
    <w:rsid w:val="00A16FD5"/>
    <w:rsid w:val="00A34523"/>
    <w:rsid w:val="00A72CCC"/>
    <w:rsid w:val="00AD540D"/>
    <w:rsid w:val="00B23946"/>
    <w:rsid w:val="00B33A1C"/>
    <w:rsid w:val="00B86706"/>
    <w:rsid w:val="00B95779"/>
    <w:rsid w:val="00BA1276"/>
    <w:rsid w:val="00BA59CB"/>
    <w:rsid w:val="00BE7BE2"/>
    <w:rsid w:val="00C20F92"/>
    <w:rsid w:val="00C22724"/>
    <w:rsid w:val="00C43E15"/>
    <w:rsid w:val="00C45923"/>
    <w:rsid w:val="00C5309F"/>
    <w:rsid w:val="00C8296D"/>
    <w:rsid w:val="00C91B50"/>
    <w:rsid w:val="00D01EB4"/>
    <w:rsid w:val="00D13569"/>
    <w:rsid w:val="00D203FB"/>
    <w:rsid w:val="00D21E19"/>
    <w:rsid w:val="00D21E73"/>
    <w:rsid w:val="00D33742"/>
    <w:rsid w:val="00D4261B"/>
    <w:rsid w:val="00D60D0D"/>
    <w:rsid w:val="00D6349B"/>
    <w:rsid w:val="00D85757"/>
    <w:rsid w:val="00DB2FA8"/>
    <w:rsid w:val="00DB7300"/>
    <w:rsid w:val="00DC6E7B"/>
    <w:rsid w:val="00E029D3"/>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03C71-8E28-4CA5-AB3E-22F58190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3636</Words>
  <Characters>20728</Characters>
  <Application>Microsoft Office Word</Application>
  <DocSecurity>0</DocSecurity>
  <Lines>172</Lines>
  <Paragraphs>48</Paragraphs>
  <ScaleCrop>false</ScaleCrop>
  <Company>Microsoft</Company>
  <LinksUpToDate>false</LinksUpToDate>
  <CharactersWithSpaces>24316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266</cp:revision>
  <dcterms:created xsi:type="dcterms:W3CDTF">2013-07-29T19:42:00Z</dcterms:created>
  <dcterms:modified xsi:type="dcterms:W3CDTF">2013-07-31T20:23:00Z</dcterms:modified>
</cp:coreProperties>
</file>