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Academic sources for the EDL grid-availability assumptions</w:t>
      </w:r>
    </w:p>
    <w:p>
      <w:pPr>
        <w:pStyle w:val="Flietextsub"/>
        <w:bidi w:val="0"/>
        <w:jc w:val="left"/>
        <w:rPr/>
      </w:pPr>
      <w:r>
        <w:rPr/>
        <w:t>Deir Kanoun al Naher (DKN) bilevel microgrid model · prepared 29 August 2026</w:t>
      </w:r>
    </w:p>
    <w:p>
      <w:pPr>
        <w:pStyle w:val="Heading2"/>
        <w:bidi w:val="0"/>
        <w:jc w:val="left"/>
        <w:rPr/>
      </w:pPr>
      <w:r>
        <w:rPr/>
        <w:t>1. Summary</w:t>
      </w:r>
    </w:p>
    <w:p>
      <w:pPr>
        <w:pStyle w:val="BodyText"/>
        <w:bidi w:val="0"/>
        <w:jc w:val="left"/>
        <w:rPr/>
      </w:pPr>
      <w:r>
        <w:rPr/>
        <w:t xml:space="preserve">There </w:t>
      </w:r>
      <w:r>
        <w:rPr>
          <w:i/>
        </w:rPr>
        <w:t>is</w:t>
      </w:r>
      <w:r>
        <w:rPr/>
        <w:t xml:space="preserve"> published work on Deir Kanoun al Naher, and it is the origin of most of the model's input data. However, </w:t>
      </w:r>
      <w:r>
        <w:rPr>
          <w:b/>
        </w:rPr>
        <w:t>none of it publishes EDL availability windows, hourly rationing schedules, or a grid capacity figure for the village.</w:t>
      </w:r>
      <w:r>
        <w:rPr/>
        <w:t xml:space="preserve"> That gap is real rather than a search failure: the seasonal availability assumptions in </w:t>
      </w:r>
      <w:r>
        <w:rPr>
          <w:rStyle w:val="Quelltext"/>
        </w:rPr>
        <w:t>scenarios.py</w:t>
      </w:r>
      <w:r>
        <w:rPr/>
        <w:t xml:space="preserve"> cannot currently be sourced from the DKN literature, and only their </w:t>
      </w:r>
      <w:r>
        <w:rPr>
          <w:i/>
        </w:rPr>
        <w:t>structure</w:t>
      </w:r>
      <w:r>
        <w:rPr/>
        <w:t xml:space="preserve"> and </w:t>
      </w:r>
      <w:r>
        <w:rPr>
          <w:i/>
        </w:rPr>
        <w:t>ordering</w:t>
      </w:r>
      <w:r>
        <w:rPr/>
        <w:t xml:space="preserve"> can be supported from national-level work.</w:t>
      </w:r>
    </w:p>
    <w:p>
      <w:pPr>
        <w:pStyle w:val="BodyText"/>
        <w:bidi w:val="0"/>
        <w:jc w:val="left"/>
        <w:rPr/>
      </w:pPr>
      <w:r>
        <w:rPr/>
        <w:t xml:space="preserve">The three assumptions in question, all flagged </w:t>
      </w:r>
      <w:r>
        <w:rPr>
          <w:rStyle w:val="Quelltext"/>
        </w:rPr>
        <w:t>[ASSUMPTION]</w:t>
      </w:r>
      <w:r>
        <w:rPr/>
        <w:t xml:space="preserve"> in the code: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2"/>
        <w:gridCol w:w="2523"/>
        <w:gridCol w:w="6034"/>
      </w:tblGrid>
      <w:tr>
        <w:trPr/>
        <w:tc>
          <w:tcPr>
            <w:tcW w:w="2782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Assumption</w:t>
            </w:r>
          </w:p>
        </w:tc>
        <w:tc>
          <w:tcPr>
            <w:tcW w:w="2523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Location</w:t>
            </w:r>
          </w:p>
        </w:tc>
        <w:tc>
          <w:tcPr>
            <w:tcW w:w="6034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Content</w:t>
            </w:r>
          </w:p>
        </w:tc>
      </w:tr>
      <w:tr>
        <w:trPr/>
        <w:tc>
          <w:tcPr>
            <w:tcW w:w="2782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Baseline capacity per season</w:t>
            </w:r>
          </w:p>
        </w:tc>
        <w:tc>
          <w:tcPr>
            <w:tcW w:w="2523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scenarios.py</w:t>
            </w:r>
            <w:r>
              <w:rPr/>
              <w:t>, lines 78–82</w:t>
            </w:r>
          </w:p>
        </w:tc>
        <w:tc>
          <w:tcPr>
            <w:tcW w:w="6034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winter 0.300 MW, fall/spring 0.275 MW, summer 0.250 MW</w:t>
            </w:r>
          </w:p>
        </w:tc>
      </w:tr>
      <w:tr>
        <w:trPr/>
        <w:tc>
          <w:tcPr>
            <w:tcW w:w="2782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Announced and delayed windows</w:t>
            </w:r>
          </w:p>
        </w:tc>
        <w:tc>
          <w:tcPr>
            <w:tcW w:w="2523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scenarios.py</w:t>
            </w:r>
            <w:r>
              <w:rPr/>
              <w:t>, lines 90–103</w:t>
            </w:r>
          </w:p>
        </w:tc>
        <w:tc>
          <w:tcPr>
            <w:tcW w:w="6034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 xml:space="preserve">winter 9 h, fall/spring 6 h, summer 4 h; </w:t>
            </w:r>
            <w:r>
              <w:rPr>
                <w:i/>
              </w:rPr>
              <w:t>delayed</w:t>
            </w:r>
            <w:r>
              <w:rPr/>
              <w:t xml:space="preserve"> = same window shifted 2 h later</w:t>
            </w:r>
          </w:p>
        </w:tc>
      </w:tr>
      <w:tr>
        <w:trPr/>
        <w:tc>
          <w:tcPr>
            <w:tcW w:w="2782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Scenario set and probabilities</w:t>
            </w:r>
          </w:p>
        </w:tc>
        <w:tc>
          <w:tcPr>
            <w:tcW w:w="2523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scenarios.py</w:t>
            </w:r>
            <w:r>
              <w:rPr/>
              <w:t>, lines 59–66</w:t>
            </w:r>
          </w:p>
        </w:tc>
        <w:tc>
          <w:tcPr>
            <w:tcW w:w="6034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 xml:space="preserve">six outcomes; </w:t>
            </w:r>
            <w:r>
              <w:rPr>
                <w:i/>
              </w:rPr>
              <w:t>bonus</w:t>
            </w:r>
            <w:r>
              <w:rPr/>
              <w:t xml:space="preserve"> and </w:t>
            </w:r>
            <w:r>
              <w:rPr>
                <w:i/>
              </w:rPr>
              <w:t>full</w:t>
            </w:r>
            <w:r>
              <w:rPr/>
              <w:t xml:space="preserve"> derived from the announced window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By contrast, the demand and PV capacity-factor data carry </w:t>
      </w:r>
      <w:r>
        <w:rPr>
          <w:rStyle w:val="Quelltext"/>
        </w:rPr>
        <w:t>source_file:</w:t>
      </w:r>
      <w:r>
        <w:rPr/>
        <w:t xml:space="preserve"> / </w:t>
      </w:r>
      <w:r>
        <w:rPr>
          <w:rStyle w:val="Quelltext"/>
        </w:rPr>
        <w:t>source_sheet:</w:t>
      </w:r>
      <w:r>
        <w:rPr/>
        <w:t xml:space="preserve"> headers pointing to </w:t>
      </w:r>
      <w:r>
        <w:rPr>
          <w:rStyle w:val="Quelltext"/>
        </w:rPr>
        <w:t>Seb_paper_inputs.xlsx</w:t>
      </w:r>
      <w:r>
        <w:rPr/>
        <w:t xml:space="preserve">, and the reference tariffs cite the </w:t>
      </w:r>
      <w:r>
        <w:rPr>
          <w:rStyle w:val="Quelltext"/>
        </w:rPr>
        <w:t>lebanese-microgrid</w:t>
      </w:r>
      <w:r>
        <w:rPr/>
        <w:t xml:space="preserve"> repository. The EDL availability assumptions are the gap in that chain.</w:t>
      </w:r>
    </w:p>
    <w:p>
      <w:pPr>
        <w:pStyle w:val="Heading2"/>
        <w:bidi w:val="0"/>
        <w:jc w:val="left"/>
        <w:rPr/>
      </w:pPr>
      <w:r>
        <w:rPr/>
        <w:t>2. Sources on the village itself</w:t>
      </w:r>
    </w:p>
    <w:p>
      <w:pPr>
        <w:pStyle w:val="Heading3"/>
        <w:bidi w:val="0"/>
        <w:jc w:val="left"/>
        <w:rPr/>
      </w:pPr>
      <w:r>
        <w:rPr/>
        <w:t>2.1 Zwickl-Bernhard et al. (2025) — the elasticity</w:t>
      </w:r>
    </w:p>
    <w:p>
      <w:pPr>
        <w:pStyle w:val="BodyText"/>
        <w:bidi w:val="0"/>
        <w:jc w:val="left"/>
        <w:rPr/>
      </w:pPr>
      <w:r>
        <w:rPr/>
        <w:t xml:space="preserve">Zwickl-Bernhard, S., Neumann, A. F., Olleik, M., &amp; Dbouk, H. (2025). </w:t>
      </w:r>
      <w:r>
        <w:rPr>
          <w:i/>
        </w:rPr>
        <w:t>Market Organization in Low-Income Countries' Microgrids: Insights From Electricity Demand Elasticity and Game-Theory Optimization. Case Study: Lebanon.</w:t>
      </w:r>
      <w:r>
        <w:rPr/>
        <w:t xml:space="preserve"> IEEE Transactions on Energy Markets, Policy and Regulation. </w:t>
      </w:r>
      <w:hyperlink r:id="rId2">
        <w:r>
          <w:rPr>
            <w:rStyle w:val="Hyperlink"/>
          </w:rPr>
          <w:t>ieeexplore.ieee.org/document/11074425</w:t>
        </w:r>
      </w:hyperlink>
    </w:p>
    <w:p>
      <w:pPr>
        <w:pStyle w:val="BodyText"/>
        <w:bidi w:val="0"/>
        <w:jc w:val="left"/>
        <w:rPr/>
      </w:pPr>
      <w:r>
        <w:rPr/>
        <w:t xml:space="preserve">This is the origin of </w:t>
      </w:r>
      <w:r>
        <w:rPr>
          <w:rStyle w:val="Quelltext"/>
        </w:rPr>
        <w:t>alpha_1</w:t>
      </w:r>
      <w:r>
        <w:rPr/>
        <w:t>. It estimates a selling-price elasticity of −</w:t>
      </w:r>
      <w:r>
        <w:rPr>
          <w:b/>
        </w:rPr>
        <w:t>0.48</w:t>
      </w:r>
      <w:r>
        <w:rPr/>
        <w:t xml:space="preserve"> from DKN metering data; </w:t>
      </w:r>
      <w:r>
        <w:rPr>
          <w:rStyle w:val="Quelltext"/>
        </w:rPr>
        <w:t>config.py</w:t>
      </w:r>
      <w:r>
        <w:rPr/>
        <w:t xml:space="preserve"> line 50 uses </w:t>
      </w:r>
      <w:r>
        <w:rPr>
          <w:rStyle w:val="Quelltext"/>
        </w:rPr>
        <w:t>alpha_1 = 0.4788</w:t>
      </w:r>
      <w:r>
        <w:rPr/>
        <w:t xml:space="preserve">, and the comment at line 57 derives an own-price elasticity of −0.92 from it. This is the citation for the demand response and for the </w:t>
      </w:r>
      <w:r>
        <w:rPr>
          <w:rStyle w:val="Quelltext"/>
        </w:rPr>
        <w:t>lebanese-microgrid</w:t>
      </w:r>
      <w:r>
        <w:rPr/>
        <w:t xml:space="preserve"> repository already referenced at </w:t>
      </w:r>
      <w:r>
        <w:rPr>
          <w:rStyle w:val="Quelltext"/>
        </w:rPr>
        <w:t>config.py</w:t>
      </w:r>
      <w:r>
        <w:rPr/>
        <w:t xml:space="preserve"> line 30.</w:t>
      </w:r>
    </w:p>
    <w:p>
      <w:pPr>
        <w:pStyle w:val="Heading3"/>
        <w:bidi w:val="0"/>
        <w:jc w:val="left"/>
        <w:rPr/>
      </w:pPr>
      <w:r>
        <w:rPr/>
        <w:t>2.2 Bou Gebrael, Olleik &amp; Zwickl-Bernhard (2026) — the physical setup</w:t>
      </w:r>
    </w:p>
    <w:p>
      <w:pPr>
        <w:pStyle w:val="BodyText"/>
        <w:bidi w:val="0"/>
        <w:jc w:val="left"/>
        <w:rPr/>
      </w:pPr>
      <w:r>
        <w:rPr/>
        <w:t xml:space="preserve">Bou Gebrael, E., Olleik, M., &amp; Zwickl-Bernhard, S. (2026). </w:t>
      </w:r>
      <w:r>
        <w:rPr>
          <w:i/>
        </w:rPr>
        <w:t>Market Power and Distributed Solar Integration in Microgrids under Limited Regulation.</w:t>
      </w:r>
      <w:r>
        <w:rPr/>
        <w:t xml:space="preserve"> arXiv:2603.16893. </w:t>
      </w:r>
      <w:hyperlink r:id="rId3">
        <w:r>
          <w:rPr>
            <w:rStyle w:val="Hyperlink"/>
          </w:rPr>
          <w:t>arxiv.org/html/2603.16893</w:t>
        </w:r>
      </w:hyperlink>
    </w:p>
    <w:p>
      <w:pPr>
        <w:pStyle w:val="BodyText"/>
        <w:bidi w:val="0"/>
        <w:jc w:val="left"/>
        <w:rPr/>
      </w:pPr>
      <w:r>
        <w:rPr/>
        <w:t>Same village, and it documents the physical setup almost line for line:</w:t>
      </w:r>
    </w:p>
    <w:tbl>
      <w:tblPr>
        <w:tblW w:w="105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81"/>
        <w:gridCol w:w="4966"/>
      </w:tblGrid>
      <w:tr>
        <w:trPr/>
        <w:tc>
          <w:tcPr>
            <w:tcW w:w="5581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Paper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Model parameter</w:t>
            </w:r>
          </w:p>
        </w:tc>
      </w:tr>
      <w:tr>
        <w:trPr/>
        <w:tc>
          <w:tcPr>
            <w:tcW w:w="558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400 kW diesel generator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CAP["DG"] = 400</w:t>
            </w:r>
          </w:p>
        </w:tc>
      </w:tr>
      <w:tr>
        <w:trPr/>
        <w:tc>
          <w:tcPr>
            <w:tcW w:w="558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650 households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n_Households_nonPV + n_Households_PV = 650</w:t>
            </w:r>
          </w:p>
        </w:tc>
      </w:tr>
      <w:tr>
        <w:trPr/>
        <w:tc>
          <w:tcPr>
            <w:tcW w:w="558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4 kWp per PV owner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cap_PV_per_HH = 4</w:t>
            </w:r>
          </w:p>
        </w:tc>
      </w:tr>
      <w:tr>
        <w:trPr/>
        <w:tc>
          <w:tcPr>
            <w:tcW w:w="558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Representative days for summer, winter, spring/fall (k-means)</w:t>
            </w:r>
          </w:p>
        </w:tc>
        <w:tc>
          <w:tcPr>
            <w:tcW w:w="496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>
                <w:rStyle w:val="Quelltext"/>
              </w:rPr>
              <w:t>SEASONS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Load data came from </w:t>
      </w:r>
      <w:r>
        <w:rPr>
          <w:b/>
        </w:rPr>
        <w:t>loggers in three households, August 2024 – April 2025</w:t>
      </w:r>
      <w:r>
        <w:rPr/>
        <w:t>; irradiance from renewables.ninja. On EDL the paper says only that the utility is "highly intermittent," with regional outages "of up to 20 hours per day" — no windows, no capacity.</w:t>
      </w:r>
    </w:p>
    <w:p>
      <w:pPr>
        <w:pStyle w:val="Flietextnote"/>
        <w:bidi w:val="0"/>
        <w:jc w:val="left"/>
        <w:rPr/>
      </w:pPr>
      <w:r>
        <w:rPr>
          <w:b/>
        </w:rPr>
        <w:t>To verify:</w:t>
      </w:r>
      <w:r>
        <w:rPr/>
        <w:t xml:space="preserve"> one summary of this paper reads the household split as 400 PV-owner / 250 non-PV, the inverse of </w:t>
      </w:r>
      <w:r>
        <w:rPr>
          <w:rStyle w:val="Quelltext"/>
        </w:rPr>
        <w:t>config.py</w:t>
      </w:r>
      <w:r>
        <w:rPr/>
        <w:t xml:space="preserve"> lines 59–60. A separate description of the same microgrid states "around 40% of households are PV-owners", which matches the 250/650 in the configuration. Worth checking directly against the PDF.</w:t>
      </w:r>
    </w:p>
    <w:p>
      <w:pPr>
        <w:pStyle w:val="Heading3"/>
        <w:bidi w:val="0"/>
        <w:jc w:val="left"/>
        <w:rPr/>
      </w:pPr>
      <w:r>
        <w:rPr/>
        <w:t>2.3 Svolba (2025) — the closest precedent</w:t>
      </w:r>
    </w:p>
    <w:p>
      <w:pPr>
        <w:pStyle w:val="BodyText"/>
        <w:bidi w:val="0"/>
        <w:jc w:val="left"/>
        <w:rPr/>
      </w:pPr>
      <w:r>
        <w:rPr/>
        <w:t xml:space="preserve">Svolba, J. (2025). </w:t>
      </w:r>
      <w:r>
        <w:rPr>
          <w:i/>
        </w:rPr>
        <w:t>Optimization-based insights on renewable integration in [a Lebanese microgrid].</w:t>
      </w:r>
      <w:r>
        <w:rPr/>
        <w:t xml:space="preserve"> Master's thesis, TU Wien. </w:t>
      </w:r>
      <w:hyperlink r:id="rId4">
        <w:r>
          <w:rPr>
            <w:rStyle w:val="Hyperlink"/>
          </w:rPr>
          <w:t>repositum.tuwien.at</w:t>
        </w:r>
      </w:hyperlink>
    </w:p>
    <w:p>
      <w:pPr>
        <w:pStyle w:val="BodyText"/>
        <w:bidi w:val="0"/>
        <w:jc w:val="left"/>
        <w:rPr/>
      </w:pPr>
      <w:r>
        <w:rPr/>
        <w:t xml:space="preserve">Same site, same abbreviation "DKN", 15-year investment horizon. It records that the conflict caused the </w:t>
      </w:r>
      <w:r>
        <w:rPr>
          <w:b/>
        </w:rPr>
        <w:t>evacuation of Deir Kanoun al Naher and that the loggers stopped</w:t>
      </w:r>
      <w:r>
        <w:rPr/>
        <w:t>, so it fell back to literature demand profiles for 1150 households. This is the closest precedent to the present work and likely shares a supervisor — worth reading for how it justified its own grid assumptions.</w:t>
      </w:r>
    </w:p>
    <w:p>
      <w:pPr>
        <w:pStyle w:val="Heading2"/>
        <w:bidi w:val="0"/>
        <w:jc w:val="left"/>
        <w:rPr/>
      </w:pPr>
      <w:r>
        <w:rPr/>
        <w:t>3. Sources for the EDL availability assumption</w:t>
      </w:r>
    </w:p>
    <w:p>
      <w:pPr>
        <w:pStyle w:val="BodyText"/>
        <w:bidi w:val="0"/>
        <w:jc w:val="left"/>
        <w:rPr/>
      </w:pPr>
      <w:r>
        <w:rPr/>
        <w:t xml:space="preserve">No paper gives an hourly rationing schedule for Tyre district. The following support the </w:t>
      </w:r>
      <w:r>
        <w:rPr>
          <w:i/>
        </w:rPr>
        <w:t>structure</w:t>
      </w:r>
      <w:r>
        <w:rPr/>
        <w:t xml:space="preserve"> and the </w:t>
      </w:r>
      <w:r>
        <w:rPr>
          <w:i/>
        </w:rPr>
        <w:t>ordering</w:t>
      </w:r>
      <w:r>
        <w:rPr/>
        <w:t xml:space="preserve"> of the assumption, not the numbers.</w:t>
      </w:r>
    </w:p>
    <w:p>
      <w:pPr>
        <w:pStyle w:val="Heading3"/>
        <w:bidi w:val="0"/>
        <w:jc w:val="left"/>
        <w:rPr/>
      </w:pPr>
      <w:r>
        <w:rPr/>
        <w:t>3.1 Abi Ghanem (2018) — the block structure</w:t>
      </w:r>
    </w:p>
    <w:p>
      <w:pPr>
        <w:pStyle w:val="BodyText"/>
        <w:bidi w:val="0"/>
        <w:jc w:val="left"/>
        <w:rPr/>
      </w:pPr>
      <w:r>
        <w:rPr/>
        <w:t xml:space="preserve">Abi Ghanem, D. (2018). </w:t>
      </w:r>
      <w:r>
        <w:rPr>
          <w:i/>
        </w:rPr>
        <w:t>Energy, the city and everyday life: Living with power outages in post-war Lebanon.</w:t>
      </w:r>
      <w:r>
        <w:rPr/>
        <w:t xml:space="preserve"> Energy Research &amp; Social Science. </w:t>
      </w:r>
      <w:hyperlink r:id="rId5">
        <w:r>
          <w:rPr>
            <w:rStyle w:val="Hyperlink"/>
          </w:rPr>
          <w:t>open PDF (Teesside repository)</w:t>
        </w:r>
      </w:hyperlink>
    </w:p>
    <w:p>
      <w:pPr>
        <w:pStyle w:val="BodyText"/>
        <w:bidi w:val="0"/>
        <w:jc w:val="left"/>
        <w:rPr/>
      </w:pPr>
      <w:r>
        <w:rPr/>
        <w:t xml:space="preserve">The citation for the </w:t>
      </w:r>
      <w:r>
        <w:rPr>
          <w:i/>
        </w:rPr>
        <w:t>block</w:t>
      </w:r>
      <w:r>
        <w:rPr/>
        <w:t xml:space="preserve"> structure itself: outages run in </w:t>
      </w:r>
      <w:r>
        <w:rPr>
          <w:b/>
        </w:rPr>
        <w:t>daily 3-hour blocks in Beirut, 8 hours or longer outside Beirut</w:t>
      </w:r>
      <w:r>
        <w:rPr/>
        <w:t>, and are "exacerbated at times when there is additional demand, such as during the heat of summer." That is precisely the summer-tightest ordering the model assumes.</w:t>
      </w:r>
    </w:p>
    <w:p>
      <w:pPr>
        <w:pStyle w:val="Heading3"/>
        <w:bidi w:val="0"/>
        <w:jc w:val="left"/>
        <w:rPr/>
      </w:pPr>
      <w:r>
        <w:rPr/>
        <w:t>3.2 Human Rights Watch (2023) — quantified supply hours</w:t>
      </w:r>
    </w:p>
    <w:p>
      <w:pPr>
        <w:pStyle w:val="BodyText"/>
        <w:bidi w:val="0"/>
        <w:jc w:val="left"/>
        <w:rPr/>
      </w:pPr>
      <w:r>
        <w:rPr/>
        <w:t xml:space="preserve">Human Rights Watch (2023). </w:t>
      </w:r>
      <w:r>
        <w:rPr>
          <w:i/>
        </w:rPr>
        <w:t>"Cut Off From Life Itself": Lebanon's Failure on the Right to Electricity.</w:t>
      </w:r>
      <w:r>
        <w:rPr/>
        <w:t xml:space="preserve"> </w:t>
      </w:r>
      <w:hyperlink r:id="rId6">
        <w:r>
          <w:rPr>
            <w:rStyle w:val="Hyperlink"/>
          </w:rPr>
          <w:t>hrw.org</w:t>
        </w:r>
      </w:hyperlink>
    </w:p>
    <w:p>
      <w:pPr>
        <w:pStyle w:val="BodyText"/>
        <w:bidi w:val="0"/>
        <w:jc w:val="left"/>
        <w:rPr/>
      </w:pPr>
      <w:r>
        <w:rPr/>
        <w:t xml:space="preserve">Not peer-reviewed, but methodologically explicit (representative household survey, n = 1,209, November 2021 – January 2022) and widely cited. Key figures: median household </w:t>
      </w:r>
      <w:r>
        <w:rPr>
          <w:b/>
        </w:rPr>
        <w:t>2 h/day</w:t>
      </w:r>
      <w:r>
        <w:rPr/>
        <w:t xml:space="preserve">; </w:t>
      </w:r>
      <w:r>
        <w:rPr>
          <w:b/>
        </w:rPr>
        <w:t>~12 h/day before 2019</w:t>
      </w:r>
      <w:r>
        <w:rPr/>
        <w:t xml:space="preserve">; </w:t>
      </w:r>
      <w:r>
        <w:rPr>
          <w:b/>
        </w:rPr>
        <w:t>12–21 h/day until 2021 depending on region</w:t>
      </w:r>
      <w:r>
        <w:rPr/>
        <w:t xml:space="preserve">. Usefully for this model, </w:t>
      </w:r>
      <w:r>
        <w:rPr>
          <w:b/>
        </w:rPr>
        <w:t>South Lebanon had the lowest shortfall</w:t>
      </w:r>
      <w:r>
        <w:rPr/>
        <w:t xml:space="preserve"> — 7 h/day without power, against 11 h in Beirut and Mount Lebanon.</w:t>
      </w:r>
    </w:p>
    <w:p>
      <w:pPr>
        <w:pStyle w:val="Heading3"/>
        <w:bidi w:val="0"/>
        <w:jc w:val="left"/>
        <w:rPr/>
      </w:pPr>
      <w:r>
        <w:rPr/>
        <w:t>3.3 Olleik et al. (2026) — national survey context</w:t>
      </w:r>
    </w:p>
    <w:p>
      <w:pPr>
        <w:pStyle w:val="BodyText"/>
        <w:bidi w:val="0"/>
        <w:jc w:val="left"/>
        <w:rPr/>
      </w:pPr>
      <w:r>
        <w:rPr/>
        <w:t xml:space="preserve">Olleik, M., Dbouk, H. M., Neumann, A., Bou Gebrael, E., &amp; Zwickl-Bernhard, S. (2026). </w:t>
      </w:r>
      <w:r>
        <w:rPr>
          <w:i/>
        </w:rPr>
        <w:t>Household coping mechanisms under grid failure: Evidence from a high electrification context in Lebanon.</w:t>
      </w:r>
      <w:r>
        <w:rPr/>
        <w:t xml:space="preserve"> arXiv:2606.17807. </w:t>
      </w:r>
      <w:hyperlink r:id="rId7">
        <w:r>
          <w:rPr>
            <w:rStyle w:val="Hyperlink"/>
          </w:rPr>
          <w:t>arxiv.org/html/2606.17807</w:t>
        </w:r>
      </w:hyperlink>
    </w:p>
    <w:p>
      <w:pPr>
        <w:pStyle w:val="BodyText"/>
        <w:bidi w:val="0"/>
        <w:jc w:val="left"/>
        <w:rPr/>
      </w:pPr>
      <w:r>
        <w:rPr/>
        <w:t xml:space="preserve">Survey of 984 households, March – July 2025; 58% have PV, 73% have generator access. Cites historical scheduled outages of </w:t>
      </w:r>
      <w:r>
        <w:rPr>
          <w:b/>
        </w:rPr>
        <w:t>up to 8 h/day</w:t>
      </w:r>
      <w:r>
        <w:rPr/>
        <w:t xml:space="preserve"> and post-2019 availability of </w:t>
      </w:r>
      <w:r>
        <w:rPr>
          <w:b/>
        </w:rPr>
        <w:t>as little as 2 h/day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3.4 Ahmad et al. (2021) — the ishtirak system</w:t>
      </w:r>
    </w:p>
    <w:p>
      <w:pPr>
        <w:pStyle w:val="BodyText"/>
        <w:bidi w:val="0"/>
        <w:jc w:val="left"/>
        <w:rPr/>
      </w:pPr>
      <w:r>
        <w:rPr/>
        <w:t xml:space="preserve">Ahmad, A. et al. (2021). </w:t>
      </w:r>
      <w:r>
        <w:rPr>
          <w:i/>
        </w:rPr>
        <w:t>From dysfunctional to functional corruption: the politics of decentralized electricity provision in Lebanon.</w:t>
      </w:r>
      <w:r>
        <w:rPr/>
        <w:t xml:space="preserve"> Energy Research &amp; Social Science. </w:t>
      </w:r>
      <w:hyperlink r:id="rId8">
        <w:r>
          <w:rPr>
            <w:rStyle w:val="Hyperlink"/>
          </w:rPr>
          <w:t>sciencedirect.com</w:t>
        </w:r>
      </w:hyperlink>
    </w:p>
    <w:p>
      <w:pPr>
        <w:pStyle w:val="BodyText"/>
        <w:bidi w:val="0"/>
        <w:jc w:val="left"/>
        <w:rPr/>
      </w:pPr>
      <w:r>
        <w:rPr/>
        <w:t>Background on the generator-subscription system (</w:t>
      </w:r>
      <w:r>
        <w:rPr>
          <w:i/>
        </w:rPr>
        <w:t>ishtirak</w:t>
      </w:r>
      <w:r>
        <w:rPr/>
        <w:t>) that the model's leader represents.</w:t>
      </w:r>
    </w:p>
    <w:p>
      <w:pPr>
        <w:pStyle w:val="Heading2"/>
        <w:bidi w:val="0"/>
        <w:jc w:val="left"/>
        <w:rPr/>
      </w:pPr>
      <w:r>
        <w:rPr/>
        <w:t>4. What this means for the assumption</w:t>
      </w:r>
    </w:p>
    <w:p>
      <w:pPr>
        <w:pStyle w:val="BodyText"/>
        <w:bidi w:val="0"/>
        <w:jc w:val="left"/>
        <w:rPr/>
      </w:pPr>
      <w:r>
        <w:rPr/>
        <w:t xml:space="preserve">The window lengths are more defensible than they first appear, but only against a specific period. Post-2019 supply was 1–4 h/day; by </w:t>
      </w:r>
      <w:r>
        <w:rPr>
          <w:b/>
        </w:rPr>
        <w:t>late February 2025 it had recovered to roughly 6–8 h/day nationwide</w:t>
      </w:r>
      <w:r>
        <w:rPr/>
        <w:t xml:space="preserve"> (L'Orient Today, </w:t>
      </w:r>
      <w:hyperlink r:id="rId9">
        <w:r>
          <w:rPr>
            <w:rStyle w:val="Hyperlink"/>
          </w:rPr>
          <w:t>"EDL announces return to 'normal' electricity supply"</w:t>
        </w:r>
      </w:hyperlink>
      <w:r>
        <w:rPr/>
        <w:t>). The assumed 9 h winter / 6 h fall-spring / 4 h summer straddles that band — and February 2025 sits inside the August 2024 – April 2025 logging window the demand data comes from. Framing the windows as "the 2024/25 recovery-period supply level" ties them to the same period as the rest of the instance, which is the strongest defence available.</w:t>
      </w:r>
    </w:p>
    <w:p>
      <w:pPr>
        <w:pStyle w:val="BodyText"/>
        <w:bidi w:val="0"/>
        <w:jc w:val="left"/>
        <w:rPr/>
      </w:pPr>
      <w:r>
        <w:rPr/>
        <w:t>Three points remain unsupported by any source: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The seasonal capacity split</w:t>
      </w:r>
      <w:r>
        <w:rPr/>
        <w:t xml:space="preserve"> (0.300 / 0.275 / 0.250 MW) has no support anywhere. It also compounds with the window length, so the effective seasonal spread is 63% → 14% of daily demand — far sharper than the MW figures alone suggest. Consider holding capacity constant across seasons and placing the seasonality only in the window length: one assumption instead of two.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HRW finds South Lebanon less rationed than Beirut.</w:t>
      </w:r>
      <w:r>
        <w:rPr/>
        <w:t xml:space="preserve"> If the regional evidence is cited at all, it argues for generous windows at DKN, not tight ones.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2024/25 war</w:t>
      </w:r>
      <w:r>
        <w:rPr/>
        <w:t xml:space="preserve"> evacuated the village (recorded in Svolba 2025). Any assumption about EDL supply there during that period needs a sentence acknowledging it. </w:t>
      </w:r>
    </w:p>
    <w:p>
      <w:pPr>
        <w:pStyle w:val="BodyText"/>
        <w:bidi w:val="0"/>
        <w:jc w:val="left"/>
        <w:rPr/>
      </w:pPr>
      <w:r>
        <w:rPr/>
        <w:t xml:space="preserve">Since none of this pins the numbers down, the defensible course is to keep the six scenarios as declared assumptions and to lean on </w:t>
      </w:r>
      <w:r>
        <w:rPr>
          <w:rStyle w:val="Quelltext"/>
        </w:rPr>
        <w:t>availability_analysis.py</w:t>
      </w:r>
      <w:r>
        <w:rPr/>
        <w:t>, which already sweeps availability as a share of demand — making the result independent of the window guess rather than conditional on it.</w:t>
      </w:r>
    </w:p>
    <w:p>
      <w:pPr>
        <w:pStyle w:val="Heading3"/>
        <w:bidi w:val="0"/>
        <w:jc w:val="left"/>
        <w:rPr/>
      </w:pPr>
      <w:r>
        <w:rPr/>
        <w:t>Effective availability implied by the current assumptions</w:t>
      </w:r>
    </w:p>
    <w:tbl>
      <w:tblPr>
        <w:tblW w:w="95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6"/>
        <w:gridCol w:w="1996"/>
        <w:gridCol w:w="1891"/>
        <w:gridCol w:w="2206"/>
        <w:gridCol w:w="231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Season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Announced window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Announced energy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Share of daily demand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ellenberschrift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Full supply vs. demand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Winter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9 h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2700 kWh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63%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169%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Fall / spring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6 h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1650 kWh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43%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171%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Summer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4 h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1000 kWh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14%</w:t>
            </w:r>
          </w:p>
        </w:tc>
        <w:tc>
          <w:tcPr>
            <w:tcW w:w="2311" w:type="dxa"/>
            <w:tcBorders/>
            <w:vAlign w:val="center"/>
          </w:tcPr>
          <w:p>
            <w:pPr>
              <w:pStyle w:val="Tabelleninhalt"/>
              <w:bidi w:val="0"/>
              <w:spacing w:before="0" w:after="283"/>
              <w:jc w:val="left"/>
              <w:rPr/>
            </w:pPr>
            <w:r>
              <w:rPr/>
              <w:t>86%</w:t>
            </w:r>
          </w:p>
        </w:tc>
      </w:tr>
    </w:tbl>
    <w:p>
      <w:pPr>
        <w:pStyle w:val="Flietextnote"/>
        <w:bidi w:val="0"/>
        <w:jc w:val="left"/>
        <w:rPr/>
      </w:pPr>
      <w:r>
        <w:rPr/>
        <w:t xml:space="preserve">In winter and fall/spring the </w:t>
      </w:r>
      <w:r>
        <w:rPr>
          <w:i/>
        </w:rPr>
        <w:t>full supply</w:t>
      </w:r>
      <w:r>
        <w:rPr/>
        <w:t xml:space="preserve"> scenario places EDL at roughly 170% of demand, so the cap is slack and the microgrid sells nothing — which is exactly the degenerate P(full supply) = 1 point that drops out of the belief sweep.</w:t>
      </w:r>
    </w:p>
    <w:p>
      <w:pPr>
        <w:pStyle w:val="Heading2"/>
        <w:bidi w:val="0"/>
        <w:jc w:val="left"/>
        <w:rPr/>
      </w:pPr>
      <w:r>
        <w:rPr/>
        <w:t>5. Reference list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Abi Ghanem, D. (2018). Energy, the city and everyday life: Living with power outages in post-war Lebanon. </w:t>
      </w:r>
      <w:r>
        <w:rPr>
          <w:i/>
        </w:rPr>
        <w:t>Energy Research &amp; Social Science</w:t>
      </w:r>
      <w:r>
        <w:rPr/>
        <w:t xml:space="preserve">. </w:t>
      </w:r>
      <w:hyperlink r:id="rId10">
        <w:r>
          <w:rPr>
            <w:rStyle w:val="Hyperlink"/>
          </w:rPr>
          <w:t>https://research.tees.ac.uk/ws/files/8745518/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Ahmad, A. et al. (2021). From dysfunctional to functional corruption: the politics of decentralized electricity provision in Lebanon. </w:t>
      </w:r>
      <w:r>
        <w:rPr>
          <w:i/>
        </w:rPr>
        <w:t>Energy Research &amp; Social Science</w:t>
      </w:r>
      <w:r>
        <w:rPr/>
        <w:t xml:space="preserve">. </w:t>
      </w:r>
      <w:hyperlink r:id="rId11">
        <w:r>
          <w:rPr>
            <w:rStyle w:val="Hyperlink"/>
          </w:rPr>
          <w:t>https://www.sciencedirect.com/science/article/pii/S2214629621004862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Bou Gebrael, E., Olleik, M., &amp; Zwickl-Bernhard, S. (2026). Market Power and Distributed Solar Integration in Microgrids under Limited Regulation. </w:t>
      </w:r>
      <w:r>
        <w:rPr>
          <w:i/>
        </w:rPr>
        <w:t>arXiv:2603.16893</w:t>
      </w:r>
      <w:r>
        <w:rPr/>
        <w:t xml:space="preserve">. </w:t>
      </w:r>
      <w:hyperlink r:id="rId12">
        <w:r>
          <w:rPr>
            <w:rStyle w:val="Hyperlink"/>
          </w:rPr>
          <w:t>https://arxiv.org/html/2603.16893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Human Rights Watch (2023). "Cut Off From Life Itself": Lebanon's Failure on the Right to Electricity. </w:t>
      </w:r>
      <w:hyperlink r:id="rId13">
        <w:r>
          <w:rPr>
            <w:rStyle w:val="Hyperlink"/>
          </w:rPr>
          <w:t>https://www.hrw.org/report/2023/03/09/cut-life-itself/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L'Orient Today (2025). EDL announces return to "normal" electricity supply. </w:t>
      </w:r>
      <w:hyperlink r:id="rId14">
        <w:r>
          <w:rPr>
            <w:rStyle w:val="Hyperlink"/>
          </w:rPr>
          <w:t>https://today.lorientlejour.com/article/1449643/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Olleik, M., Dbouk, H. M., Neumann, A., Bou Gebrael, E., &amp; Zwickl-Bernhard, S. (2026). Household coping mechanisms under grid failure: Evidence from a high electrification context in Lebanon. </w:t>
      </w:r>
      <w:r>
        <w:rPr>
          <w:i/>
        </w:rPr>
        <w:t>arXiv:2606.17807</w:t>
      </w:r>
      <w:r>
        <w:rPr/>
        <w:t xml:space="preserve">. </w:t>
      </w:r>
      <w:hyperlink r:id="rId15">
        <w:r>
          <w:rPr>
            <w:rStyle w:val="Hyperlink"/>
          </w:rPr>
          <w:t>https://arxiv.org/html/2606.17807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Svolba, J. (2025). Optimization-based insights on renewable integration in [a Lebanese microgrid]. Master's thesis, TU Wien. </w:t>
      </w:r>
      <w:hyperlink r:id="rId16">
        <w:r>
          <w:rPr>
            <w:rStyle w:val="Hyperlink"/>
          </w:rPr>
          <w:t>https://repositum.tuwien.at/bitstream/20.500.12708/213802/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Zwickl-Bernhard, S., Neumann, A. F., Olleik, M., &amp; Dbouk, H. (2025). Market Organization in Low-Income Countries' Microgrids: Insights From Electricity Demand Elasticity and Game-Theory Optimization. Case Study: Lebanon. </w:t>
      </w:r>
      <w:r>
        <w:rPr>
          <w:i/>
        </w:rPr>
        <w:t>IEEE Transactions on Energy Markets, Policy and Regulation</w:t>
      </w:r>
      <w:r>
        <w:rPr/>
        <w:t xml:space="preserve">. </w:t>
      </w:r>
      <w:hyperlink r:id="rId17">
        <w:r>
          <w:rPr>
            <w:rStyle w:val="Hyperlink"/>
          </w:rPr>
          <w:t>https://ieeexplore.ieee.org/document/11074425/</w:t>
        </w:r>
      </w:hyperlink>
      <w:r>
        <w:rPr/>
        <w:t xml:space="preserve">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A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de-AT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40"/>
    </w:pPr>
    <w:rPr>
      <w:rFonts w:ascii="Noto Sans" w:hAnsi="Noto Sans"/>
      <w:b/>
      <w:bCs/>
      <w:sz w:val="34"/>
      <w:szCs w:val="34"/>
    </w:rPr>
  </w:style>
  <w:style w:type="paragraph" w:styleId="Heading2">
    <w:name w:val="Heading 2"/>
    <w:basedOn w:val="berschrift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berschrift"/>
    <w:next w:val="BodyText"/>
    <w:qFormat/>
    <w:pPr>
      <w:spacing w:before="280" w:after="8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character" w:styleId="Endnotenzeichen">
    <w:name w:val="Endnotenzeichen"/>
    <w:qFormat/>
    <w:rPr/>
  </w:style>
  <w:style w:type="character" w:styleId="Funotenzeichen">
    <w:name w:val="Fußnotenzeichen"/>
    <w:qFormat/>
    <w:rPr/>
  </w:style>
  <w:style w:type="character" w:styleId="Hyperlink">
    <w:name w:val="Hyperlink"/>
    <w:rPr>
      <w:color w:val="000080"/>
      <w:u w:val="single"/>
    </w:rPr>
  </w:style>
  <w:style w:type="character" w:styleId="Quelltext">
    <w:name w:val="Quelltext"/>
    <w:qFormat/>
    <w:rPr>
      <w:rFonts w:ascii="Liberation Mono;Consolas;monospace" w:hAnsi="Liberation Mono;Consolas;monospace" w:eastAsia="Liberation Mono;Consolas;monospace" w:cs="Liberation Mono;Consolas;monospace"/>
      <w:sz w:val="20"/>
      <w:szCs w:val="20"/>
    </w:rPr>
  </w:style>
  <w:style w:type="character" w:styleId="Nummerierungszeichen">
    <w:name w:val="Nummerierungszeichen"/>
    <w:qFormat/>
    <w:rPr/>
  </w:style>
  <w:style w:type="paragraph" w:styleId="HorizontaleLinie">
    <w:name w:val="Horizontale Lini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elleninhalt">
    <w:name w:val="Tabelleninhalt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Kopf-Fuzeile">
    <w:name w:val="Kopf-/Fußzeil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Flietextsub">
    <w:name w:val="Fließtext.sub"/>
    <w:basedOn w:val="BodyText"/>
    <w:qFormat/>
    <w:pPr/>
    <w:rPr>
      <w:color w:val="555555"/>
      <w:sz w:val="20"/>
      <w:szCs w:val="20"/>
    </w:rPr>
  </w:style>
  <w:style w:type="paragraph" w:styleId="Tabellenberschrift">
    <w:name w:val="Tabellenüberschrift"/>
    <w:basedOn w:val="Tabelleninhalt"/>
    <w:qFormat/>
    <w:pPr>
      <w:suppressLineNumbers/>
      <w:shd w:fill="EEEEEE" w:val="clear"/>
      <w:jc w:val="left"/>
    </w:pPr>
    <w:rPr>
      <w:b/>
      <w:bCs/>
    </w:rPr>
  </w:style>
  <w:style w:type="paragraph" w:styleId="Flietextnote">
    <w:name w:val="Fließtext.note"/>
    <w:basedOn w:val="BodyText"/>
    <w:qFormat/>
    <w:pPr/>
    <w:rPr>
      <w:color w:val="555555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eeexplore.ieee.org/document/11074425/" TargetMode="External"/><Relationship Id="rId3" Type="http://schemas.openxmlformats.org/officeDocument/2006/relationships/hyperlink" Target="https://arxiv.org/html/2603.16893" TargetMode="External"/><Relationship Id="rId4" Type="http://schemas.openxmlformats.org/officeDocument/2006/relationships/hyperlink" Target="https://repositum.tuwien.at/bitstream/20.500.12708/213802/1/Svolba%20Jakob%20-%202025%20-%20Optimization-based%20insights%20on%20renewable%20integration%20in...pdf" TargetMode="External"/><Relationship Id="rId5" Type="http://schemas.openxmlformats.org/officeDocument/2006/relationships/hyperlink" Target="https://research.tees.ac.uk/ws/files/8745518/Energy_the_city_and_everyday_life_Living_with_power_outages_in_post_war_Lebanon.pdf" TargetMode="External"/><Relationship Id="rId6" Type="http://schemas.openxmlformats.org/officeDocument/2006/relationships/hyperlink" Target="https://www.hrw.org/report/2023/03/09/cut-life-itself/lebanons-failure-right-electricity" TargetMode="External"/><Relationship Id="rId7" Type="http://schemas.openxmlformats.org/officeDocument/2006/relationships/hyperlink" Target="https://arxiv.org/html/2606.17807" TargetMode="External"/><Relationship Id="rId8" Type="http://schemas.openxmlformats.org/officeDocument/2006/relationships/hyperlink" Target="https://www.sciencedirect.com/science/article/pii/S2214629621004862" TargetMode="External"/><Relationship Id="rId9" Type="http://schemas.openxmlformats.org/officeDocument/2006/relationships/hyperlink" Target="https://today.lorientlejour.com/article/1449643/edl-announces-return-to-normal-electricity-supply.html" TargetMode="External"/><Relationship Id="rId10" Type="http://schemas.openxmlformats.org/officeDocument/2006/relationships/hyperlink" Target="https://research.tees.ac.uk/ws/files/8745518/Energy_the_city_and_everyday_life_Living_with_power_outages_in_post_war_Lebanon.pdf" TargetMode="External"/><Relationship Id="rId11" Type="http://schemas.openxmlformats.org/officeDocument/2006/relationships/hyperlink" Target="https://www.sciencedirect.com/science/article/pii/S2214629621004862" TargetMode="External"/><Relationship Id="rId12" Type="http://schemas.openxmlformats.org/officeDocument/2006/relationships/hyperlink" Target="https://arxiv.org/html/2603.16893" TargetMode="External"/><Relationship Id="rId13" Type="http://schemas.openxmlformats.org/officeDocument/2006/relationships/hyperlink" Target="https://www.hrw.org/report/2023/03/09/cut-life-itself/lebanons-failure-right-electricity" TargetMode="External"/><Relationship Id="rId14" Type="http://schemas.openxmlformats.org/officeDocument/2006/relationships/hyperlink" Target="https://today.lorientlejour.com/article/1449643/edl-announces-return-to-normal-electricity-supply.html" TargetMode="External"/><Relationship Id="rId15" Type="http://schemas.openxmlformats.org/officeDocument/2006/relationships/hyperlink" Target="https://arxiv.org/html/2606.17807" TargetMode="External"/><Relationship Id="rId16" Type="http://schemas.openxmlformats.org/officeDocument/2006/relationships/hyperlink" Target="https://repositum.tuwien.at/bitstream/20.500.12708/213802/1/Svolba%20Jakob%20-%202025%20-%20Optimization-based%20insights%20on%20renewable%20integration%20in...pdf" TargetMode="External"/><Relationship Id="rId17" Type="http://schemas.openxmlformats.org/officeDocument/2006/relationships/hyperlink" Target="https://ieeexplore.ieee.org/document/11074425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de-AT</dc:language>
  <cp:lastModifiedBy/>
  <cp:revision>0</cp:revision>
  <dc:subject/>
  <dc:title>Academic sources for the EDL grid-availability assumptions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