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B3A6B"/>
          <w:sz w:val="36"/>
          <w:szCs w:val="36"/>
        </w:rPr>
        <w:t xml:space="preserve">INFORME DE INCIDENTE DE SEGURIDAD</w:t>
      </w:r>
    </w:p>
    <w:p>
      <w:pPr>
        <w:spacing w:after="60"/>
        <w:jc w:val="center"/>
      </w:pPr>
      <w:r>
        <w:rPr>
          <w:rFonts w:ascii="Arial" w:cs="Arial" w:eastAsia="Arial" w:hAnsi="Arial"/>
          <w:i/>
          <w:iCs/>
          <w:color w:val="2E75B6"/>
          <w:sz w:val="22"/>
          <w:szCs w:val="22"/>
        </w:rPr>
        <w:t xml:space="preserve">Marco NIST SP 800-61r2 | Laboratorio SOC con ELK Stack</w:t>
      </w:r>
    </w:p>
    <w:p>
      <w:pPr>
        <w:pBdr>
          <w:bottom w:val="single" w:color="2E75B6" w:sz="12" w:space="4"/>
        </w:pBdr>
        <w:spacing w:after="280"/>
        <w:jc w:val="center"/>
      </w:pPr>
      <w:r>
        <w:rPr>
          <w:rFonts w:ascii="Arial" w:cs="Arial" w:eastAsia="Arial" w:hAnsi="Arial"/>
          <w:color w:val="666666"/>
          <w:sz w:val="18"/>
          <w:szCs w:val="18"/>
        </w:rPr>
        <w:t xml:space="preserve">IPLACEX · Ingeniería en Ciberseguridad · Mayo 2026</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ID del Incidente</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INC-2026-001</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Clasificación</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MEDIO — Reconocimiento de Red</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Estado</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CERRADO</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Analista SOC</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Hans Soto González</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Fecha de detección</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19/05/2026 15:57</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Fecha de contención</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19/05/2026 16:05</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Fecha de cierre</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19/05/2026 16:30</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Sistema afectado</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ubuntu-victima (192.168.196.134)</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SIEM utilizado</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ELK Stack 8.19.15 (Elasticsearch + Logstash + Kibana)</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Agente de logs</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Filebeat 8.19.15</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Fase NIST</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Completado — Lecciones Aprendidas</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Táctica MITRE ATT&amp;CK</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T1046 — Network Service Discovery</w:t>
            </w:r>
          </w:p>
        </w:tc>
      </w:tr>
    </w:tbl>
    <w:p>
      <w:pPr>
        <w:spacing w:after="240"/>
      </w:pPr>
      <w:r>
        <w:t xml:space="preserve"/>
      </w:r>
    </w:p>
    <w:p>
      <w:pPr>
        <w:pBdr>
          <w:bottom w:val="single" w:color="2E75B6" w:sz="8" w:space="1"/>
        </w:pBdr>
        <w:spacing w:after="60" w:before="320"/>
      </w:pPr>
      <w:r>
        <w:rPr>
          <w:rFonts w:ascii="Arial" w:cs="Arial" w:eastAsia="Arial" w:hAnsi="Arial"/>
          <w:b/>
          <w:bCs/>
          <w:color w:val="1B3A6B"/>
          <w:sz w:val="26"/>
          <w:szCs w:val="26"/>
        </w:rPr>
        <w:t xml:space="preserve">1. DESCRIPCIÓN DEL INCIDENTE</w:t>
      </w:r>
    </w:p>
    <w:p>
      <w:pPr>
        <w:spacing w:after="100"/>
      </w:pPr>
      <w:r>
        <w:t xml:space="preserve"/>
      </w:r>
    </w:p>
    <w:p>
      <w:pPr>
        <w:spacing w:after="80" w:before="180"/>
      </w:pPr>
      <w:r>
        <w:rPr>
          <w:rFonts w:ascii="Arial" w:cs="Arial" w:eastAsia="Arial" w:hAnsi="Arial"/>
          <w:b/>
          <w:bCs/>
          <w:color w:val="2E75B6"/>
          <w:sz w:val="22"/>
          <w:szCs w:val="22"/>
        </w:rPr>
        <w:t xml:space="preserve">1.1 Resumen Ejecutivo</w:t>
      </w:r>
    </w:p>
    <w:p>
      <w:pPr>
        <w:spacing w:after="80"/>
      </w:pPr>
      <w:r>
        <w:rPr>
          <w:rFonts w:ascii="Arial" w:cs="Arial" w:eastAsia="Arial" w:hAnsi="Arial"/>
          <w:color w:val="2D2D2D"/>
          <w:sz w:val="20"/>
          <w:szCs w:val="20"/>
        </w:rPr>
        <w:t xml:space="preserve">El 19 de mayo de 2026 a las 15:57, el SIEM ELK Stack detectó un spike anómalo de aproximadamente 100 eventos en un minuto provenientes del host ubuntu-victima (192.168.196.134). El análisis posterior confirmó que el origen fue un escaneo de puertos ejecutado con Nmap desde el host atacante Kali Linux (192.168.196.132). Se identificaron 3 puertos abiertos: 21 (FTP), 22 (SSH) y 80 (HTTP). No se detectó exfiltración de datos ni acceso no autorizado. Clasificado como Verdadero Positivo — actividad de reconocimiento de red.</w:t>
      </w:r>
    </w:p>
    <w:p>
      <w:pPr>
        <w:spacing w:after="100"/>
      </w:pPr>
      <w:r>
        <w:t xml:space="preserve"/>
      </w:r>
    </w:p>
    <w:p>
      <w:pPr>
        <w:spacing w:after="80" w:before="180"/>
      </w:pPr>
      <w:r>
        <w:rPr>
          <w:rFonts w:ascii="Arial" w:cs="Arial" w:eastAsia="Arial" w:hAnsi="Arial"/>
          <w:b/>
          <w:bCs/>
          <w:color w:val="2E75B6"/>
          <w:sz w:val="22"/>
          <w:szCs w:val="22"/>
        </w:rPr>
        <w:t xml:space="preserve">1.2 Tipo de Incidente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Categoría NIST</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Reconocimiento — Escaneo de Red</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Vector de ataque</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Red interna — Host-only (192.168.196.0/24)</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Táctica MITRE</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T1046 — Network Service Discovery</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Herramienta del atacante</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Nmap 7.99 con flags -sV -sC -O -p- --open -T4</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Clasificación VP/FP</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VERDADERO POSITIVO — Actividad maliciosa real detectada</w:t>
            </w:r>
          </w:p>
        </w:tc>
      </w:tr>
    </w:tbl>
    <w:p>
      <w:pPr>
        <w:spacing w:after="200"/>
      </w:pPr>
      <w:r>
        <w:t xml:space="preserve"/>
      </w:r>
    </w:p>
    <w:p>
      <w:pPr>
        <w:pBdr>
          <w:bottom w:val="single" w:color="2E75B6" w:sz="8" w:space="1"/>
        </w:pBdr>
        <w:spacing w:after="60" w:before="320"/>
      </w:pPr>
      <w:r>
        <w:rPr>
          <w:rFonts w:ascii="Arial" w:cs="Arial" w:eastAsia="Arial" w:hAnsi="Arial"/>
          <w:b/>
          <w:bCs/>
          <w:color w:val="1B3A6B"/>
          <w:sz w:val="26"/>
          <w:szCs w:val="26"/>
        </w:rPr>
        <w:t xml:space="preserve">2. DETECCIÓN Y ANÁLISIS (NIST FASE 2)</w:t>
      </w:r>
    </w:p>
    <w:p>
      <w:pPr>
        <w:spacing w:after="100"/>
      </w:pPr>
      <w:r>
        <w:t xml:space="preserve"/>
      </w:r>
    </w:p>
    <w:p>
      <w:pPr>
        <w:spacing w:after="80" w:before="180"/>
      </w:pPr>
      <w:r>
        <w:rPr>
          <w:rFonts w:ascii="Arial" w:cs="Arial" w:eastAsia="Arial" w:hAnsi="Arial"/>
          <w:b/>
          <w:bCs/>
          <w:color w:val="2E75B6"/>
          <w:sz w:val="22"/>
          <w:szCs w:val="22"/>
        </w:rPr>
        <w:t xml:space="preserve">2.1 Fuente de Detección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Herramienta / Fuente</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Kibana Discover — Data View: Filebeat Ubuntu Víctima</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Pipeline de ingesta</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Filebeat 8.19.15 → Logstash 5044 → Elasticsearch → Kibana 5601</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Índice Elasticsearch</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filebeat-8.19.15-2026.05.19</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Indicador de alerta</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Spike de ~100 eventos/minuto a las 15:57 (normal: 1-15 eventos/min)</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Regla de detección</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Deteccion Port Scan - Nmap (Elasticsearch Query Rule &gt; 50 eventos/min)</w:t>
            </w:r>
          </w:p>
        </w:tc>
      </w:tr>
    </w:tbl>
    <w:p>
      <w:pPr>
        <w:spacing w:after="120"/>
      </w:pPr>
      <w:r>
        <w:t xml:space="preserve"/>
      </w:r>
    </w:p>
    <w:p>
      <w:pPr>
        <w:spacing w:after="80" w:before="180"/>
      </w:pPr>
      <w:r>
        <w:rPr>
          <w:rFonts w:ascii="Arial" w:cs="Arial" w:eastAsia="Arial" w:hAnsi="Arial"/>
          <w:b/>
          <w:bCs/>
          <w:color w:val="2E75B6"/>
          <w:sz w:val="22"/>
          <w:szCs w:val="22"/>
        </w:rPr>
        <w:t xml:space="preserve">2.2 Evidencia Recopilada</w:t>
      </w:r>
    </w:p>
    <w:p>
      <w:pPr>
        <w:spacing w:after="80"/>
      </w:pPr>
      <w:r>
        <w:rPr>
          <w:rFonts w:ascii="Arial" w:cs="Arial" w:eastAsia="Arial" w:hAnsi="Arial"/>
          <w:color w:val="2D2D2D"/>
          <w:sz w:val="20"/>
          <w:szCs w:val="20"/>
        </w:rPr>
        <w:t xml:space="preserve">Se recopilaron los siguientes artefactos como evidencia del incidente:</w:t>
      </w:r>
    </w:p>
    <w:p>
      <w:pPr>
        <w:pStyle w:val="ListParagraph"/>
        <w:numPr>
          <w:ilvl w:val="0"/>
          <w:numId w:val="2"/>
        </w:numPr>
      </w:pPr>
      <w:r>
        <w:rPr>
          <w:rFonts w:ascii="Arial" w:cs="Arial" w:eastAsia="Arial" w:hAnsi="Arial"/>
          <w:color w:val="2D2D2D"/>
          <w:sz w:val="20"/>
          <w:szCs w:val="20"/>
        </w:rPr>
        <w:t xml:space="preserve">Resultado completo del escaneo Nmap guardado en lab01_victima_scan2.nmap</w:t>
      </w:r>
    </w:p>
    <w:p>
      <w:pPr>
        <w:pStyle w:val="ListParagraph"/>
        <w:numPr>
          <w:ilvl w:val="0"/>
          <w:numId w:val="2"/>
        </w:numPr>
      </w:pPr>
      <w:r>
        <w:rPr>
          <w:rFonts w:ascii="Arial" w:cs="Arial" w:eastAsia="Arial" w:hAnsi="Arial"/>
          <w:color w:val="2D2D2D"/>
          <w:sz w:val="20"/>
          <w:szCs w:val="20"/>
        </w:rPr>
        <w:t xml:space="preserve">Captura de tráfico de red en Wireshark mostrando paquetes SYN masivos desde 192.168.196.132</w:t>
      </w:r>
    </w:p>
    <w:p>
      <w:pPr>
        <w:pStyle w:val="ListParagraph"/>
        <w:numPr>
          <w:ilvl w:val="0"/>
          <w:numId w:val="2"/>
        </w:numPr>
      </w:pPr>
      <w:r>
        <w:rPr>
          <w:rFonts w:ascii="Arial" w:cs="Arial" w:eastAsia="Arial" w:hAnsi="Arial"/>
          <w:color w:val="2D2D2D"/>
          <w:sz w:val="20"/>
          <w:szCs w:val="20"/>
        </w:rPr>
        <w:t xml:space="preserve">Logs de Filebeat indexados en Elasticsearch (índice filebeat-8.19.15-2026.05.19)</w:t>
      </w:r>
    </w:p>
    <w:p>
      <w:pPr>
        <w:pStyle w:val="ListParagraph"/>
        <w:numPr>
          <w:ilvl w:val="0"/>
          <w:numId w:val="2"/>
        </w:numPr>
      </w:pPr>
      <w:r>
        <w:rPr>
          <w:rFonts w:ascii="Arial" w:cs="Arial" w:eastAsia="Arial" w:hAnsi="Arial"/>
          <w:color w:val="2D2D2D"/>
          <w:sz w:val="20"/>
          <w:szCs w:val="20"/>
        </w:rPr>
        <w:t xml:space="preserve">Visualización de pico de tráfico en Kibana Analytics (captura 11-kibana-visualizacion-ataque.png)</w:t>
      </w:r>
    </w:p>
    <w:p>
      <w:pPr>
        <w:pStyle w:val="ListParagraph"/>
        <w:numPr>
          <w:ilvl w:val="0"/>
          <w:numId w:val="2"/>
        </w:numPr>
      </w:pPr>
      <w:r>
        <w:rPr>
          <w:rFonts w:ascii="Arial" w:cs="Arial" w:eastAsia="Arial" w:hAnsi="Arial"/>
          <w:color w:val="2D2D2D"/>
          <w:sz w:val="20"/>
          <w:szCs w:val="20"/>
        </w:rPr>
        <w:t xml:space="preserve">Regla de alerta configurada en Kibana Stack Management</w:t>
      </w:r>
    </w:p>
    <w:p>
      <w:pPr>
        <w:spacing w:after="120"/>
      </w:pPr>
      <w:r>
        <w:t xml:space="preserve"/>
      </w:r>
    </w:p>
    <w:p>
      <w:pPr>
        <w:spacing w:after="80" w:before="180"/>
      </w:pPr>
      <w:r>
        <w:rPr>
          <w:rFonts w:ascii="Arial" w:cs="Arial" w:eastAsia="Arial" w:hAnsi="Arial"/>
          <w:b/>
          <w:bCs/>
          <w:color w:val="2E75B6"/>
          <w:sz w:val="22"/>
          <w:szCs w:val="22"/>
        </w:rPr>
        <w:t xml:space="preserve">2.3 Puertos e Indicadores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60"/>
      </w:tblGrid>
      <w:tr>
        <w:tc>
          <w:tcPr>
            <w:tcW w:type="dxa" w:w="1800"/>
            <w:tcBorders>
              <w:top w:val="single" w:color="BBCFDD" w:sz="1"/>
              <w:left w:val="single" w:color="BBCFDD" w:sz="1"/>
              <w:bottom w:val="single" w:color="BBCFDD" w:sz="1"/>
              <w:right w:val="single" w:color="BBCFDD" w:sz="1"/>
            </w:tcBorders>
            <w:shd w:fill="2E75B6" w:val="clear"/>
            <w:tcMar>
              <w:top w:type="dxa" w:w="100"/>
              <w:left w:type="dxa" w:w="140"/>
              <w:bottom w:type="dxa" w:w="100"/>
              <w:right w:type="dxa" w:w="140"/>
            </w:tcMar>
            <w:vAlign w:val="center"/>
          </w:tcPr>
          <w:p>
            <w:r>
              <w:rPr>
                <w:rFonts w:ascii="Arial" w:cs="Arial" w:eastAsia="Arial" w:hAnsi="Arial"/>
                <w:b/>
                <w:bCs/>
                <w:color w:val="FFFFFF"/>
                <w:sz w:val="20"/>
                <w:szCs w:val="20"/>
              </w:rPr>
              <w:t xml:space="preserve">Puerto</w:t>
            </w:r>
          </w:p>
        </w:tc>
        <w:tc>
          <w:tcPr>
            <w:tcW w:type="dxa" w:w="1800"/>
            <w:tcBorders>
              <w:top w:val="single" w:color="BBCFDD" w:sz="1"/>
              <w:left w:val="single" w:color="BBCFDD" w:sz="1"/>
              <w:bottom w:val="single" w:color="BBCFDD" w:sz="1"/>
              <w:right w:val="single" w:color="BBCFDD" w:sz="1"/>
            </w:tcBorders>
            <w:shd w:fill="2E75B6" w:val="clear"/>
            <w:tcMar>
              <w:top w:type="dxa" w:w="100"/>
              <w:left w:type="dxa" w:w="140"/>
              <w:bottom w:type="dxa" w:w="100"/>
              <w:right w:type="dxa" w:w="140"/>
            </w:tcMar>
            <w:vAlign w:val="center"/>
          </w:tcPr>
          <w:p>
            <w:r>
              <w:rPr>
                <w:rFonts w:ascii="Arial" w:cs="Arial" w:eastAsia="Arial" w:hAnsi="Arial"/>
                <w:b/>
                <w:bCs/>
                <w:color w:val="FFFFFF"/>
                <w:sz w:val="20"/>
                <w:szCs w:val="20"/>
              </w:rPr>
              <w:t xml:space="preserve">Servicio</w:t>
            </w:r>
          </w:p>
        </w:tc>
        <w:tc>
          <w:tcPr>
            <w:tcW w:type="dxa" w:w="2200"/>
            <w:tcBorders>
              <w:top w:val="single" w:color="BBCFDD" w:sz="1"/>
              <w:left w:val="single" w:color="BBCFDD" w:sz="1"/>
              <w:bottom w:val="single" w:color="BBCFDD" w:sz="1"/>
              <w:right w:val="single" w:color="BBCFDD" w:sz="1"/>
            </w:tcBorders>
            <w:shd w:fill="2E75B6"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Versión</w:t>
            </w:r>
          </w:p>
        </w:tc>
        <w:tc>
          <w:tcPr>
            <w:tcW w:type="dxa" w:w="3560"/>
            <w:tcBorders>
              <w:top w:val="single" w:color="BBCFDD" w:sz="1"/>
              <w:left w:val="single" w:color="BBCFDD" w:sz="1"/>
              <w:bottom w:val="single" w:color="BBCFDD" w:sz="1"/>
              <w:right w:val="single" w:color="BBCFDD" w:sz="1"/>
            </w:tcBorders>
            <w:shd w:fill="2E75B6" w:val="clear"/>
            <w:tcMar>
              <w:top w:type="dxa" w:w="100"/>
              <w:left w:type="dxa" w:w="140"/>
              <w:bottom w:type="dxa" w:w="100"/>
              <w:right w:type="dxa" w:w="140"/>
            </w:tcMar>
            <w:vAlign w:val="center"/>
          </w:tcPr>
          <w:p>
            <w:r>
              <w:rPr>
                <w:rFonts w:ascii="Arial" w:cs="Arial" w:eastAsia="Arial" w:hAnsi="Arial"/>
                <w:b/>
                <w:bCs/>
                <w:color w:val="FFFFFF"/>
                <w:sz w:val="20"/>
                <w:szCs w:val="20"/>
              </w:rPr>
              <w:t xml:space="preserve">Riesgo</w:t>
            </w:r>
          </w:p>
        </w:tc>
      </w:tr>
      <w:tr>
        <w:tc>
          <w:tcPr>
            <w:tcW w:type="dxa" w:w="18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2D2D2D"/>
                <w:sz w:val="20"/>
                <w:szCs w:val="20"/>
              </w:rPr>
              <w:t xml:space="preserve">21/tcp</w:t>
            </w:r>
          </w:p>
        </w:tc>
        <w:tc>
          <w:tcPr>
            <w:tcW w:type="dxa" w:w="18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2D2D2D"/>
                <w:sz w:val="20"/>
                <w:szCs w:val="20"/>
              </w:rPr>
              <w:t xml:space="preserve">FTP</w:t>
            </w:r>
          </w:p>
        </w:tc>
        <w:tc>
          <w:tcPr>
            <w:tcW w:type="dxa" w:w="22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2D2D2D"/>
                <w:sz w:val="20"/>
                <w:szCs w:val="20"/>
              </w:rPr>
              <w:t xml:space="preserve">vsftpd</w:t>
            </w:r>
          </w:p>
        </w:tc>
        <w:tc>
          <w:tcPr>
            <w:tcW w:type="dxa" w:w="35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BF8F00"/>
                <w:sz w:val="20"/>
                <w:szCs w:val="20"/>
              </w:rPr>
              <w:t xml:space="preserve">Protocolo sin cifrado — credenciales expuestas</w:t>
            </w:r>
          </w:p>
        </w:tc>
      </w:tr>
      <w:tr>
        <w:tc>
          <w:tcPr>
            <w:tcW w:type="dxa" w:w="18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22/tcp</w:t>
            </w:r>
          </w:p>
        </w:tc>
        <w:tc>
          <w:tcPr>
            <w:tcW w:type="dxa" w:w="18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SSH</w:t>
            </w:r>
          </w:p>
        </w:tc>
        <w:tc>
          <w:tcPr>
            <w:tcW w:type="dxa" w:w="22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OpenSSH 10.2p1</w:t>
            </w:r>
          </w:p>
        </w:tc>
        <w:tc>
          <w:tcPr>
            <w:tcW w:type="dxa" w:w="35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Acceso remoto — verificar autenticación</w:t>
            </w:r>
          </w:p>
        </w:tc>
      </w:tr>
      <w:tr>
        <w:tc>
          <w:tcPr>
            <w:tcW w:type="dxa" w:w="18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2D2D2D"/>
                <w:sz w:val="20"/>
                <w:szCs w:val="20"/>
              </w:rPr>
              <w:t xml:space="preserve">80/tcp</w:t>
            </w:r>
          </w:p>
        </w:tc>
        <w:tc>
          <w:tcPr>
            <w:tcW w:type="dxa" w:w="18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2D2D2D"/>
                <w:sz w:val="20"/>
                <w:szCs w:val="20"/>
              </w:rPr>
              <w:t xml:space="preserve">HTTP</w:t>
            </w:r>
          </w:p>
        </w:tc>
        <w:tc>
          <w:tcPr>
            <w:tcW w:type="dxa" w:w="22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2D2D2D"/>
                <w:sz w:val="20"/>
                <w:szCs w:val="20"/>
              </w:rPr>
              <w:t xml:space="preserve">Apache httpd</w:t>
            </w:r>
          </w:p>
        </w:tc>
        <w:tc>
          <w:tcPr>
            <w:tcW w:type="dxa" w:w="35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BF8F00"/>
                <w:sz w:val="20"/>
                <w:szCs w:val="20"/>
              </w:rPr>
              <w:t xml:space="preserve">Servicio web sin cifrado (sin HTTPS)</w:t>
            </w:r>
          </w:p>
        </w:tc>
      </w:tr>
    </w:tbl>
    <w:p>
      <w:pPr>
        <w:spacing w:after="120"/>
      </w:pPr>
      <w:r>
        <w:t xml:space="preserve"/>
      </w:r>
    </w:p>
    <w:p>
      <w:pPr>
        <w:spacing w:after="80" w:before="180"/>
      </w:pPr>
      <w:r>
        <w:rPr>
          <w:rFonts w:ascii="Arial" w:cs="Arial" w:eastAsia="Arial" w:hAnsi="Arial"/>
          <w:b/>
          <w:bCs/>
          <w:color w:val="2E75B6"/>
          <w:sz w:val="22"/>
          <w:szCs w:val="22"/>
        </w:rPr>
        <w:t xml:space="preserve">2.4 Análisis de Severidad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Severidad asignada</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MEDIO</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Impacto en datos</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Sin exposición — solo reconocimiento pasivo</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Sistemas afectados</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1 host (ubuntu-victima 192.168.196.134)</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Disponibilidad</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Sin degradación de servicios</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Propagación</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Contenida — red interna aislada</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Justificación</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El escaneo es actividad de reconocimiento previa a un ataque. No hubo acceso pero revela superficie de ataque real con servicios sin cifrado.</w:t>
            </w:r>
          </w:p>
        </w:tc>
      </w:tr>
    </w:tbl>
    <w:p>
      <w:pPr>
        <w:spacing w:after="200"/>
      </w:pPr>
      <w:r>
        <w:t xml:space="preserve"/>
      </w:r>
    </w:p>
    <w:p>
      <w:pPr>
        <w:pBdr>
          <w:bottom w:val="single" w:color="2E75B6" w:sz="8" w:space="1"/>
        </w:pBdr>
        <w:spacing w:after="60" w:before="320"/>
      </w:pPr>
      <w:r>
        <w:rPr>
          <w:rFonts w:ascii="Arial" w:cs="Arial" w:eastAsia="Arial" w:hAnsi="Arial"/>
          <w:b/>
          <w:bCs/>
          <w:color w:val="1B3A6B"/>
          <w:sz w:val="26"/>
          <w:szCs w:val="26"/>
        </w:rPr>
        <w:t xml:space="preserve">3. CONTENCIÓN (NIST FASE 3)</w:t>
      </w:r>
    </w:p>
    <w:p>
      <w:pPr>
        <w:spacing w:after="100"/>
      </w:pPr>
      <w:r>
        <w:t xml:space="preserve"/>
      </w:r>
    </w:p>
    <w:p>
      <w:pPr>
        <w:spacing w:after="80" w:before="180"/>
      </w:pPr>
      <w:r>
        <w:rPr>
          <w:rFonts w:ascii="Arial" w:cs="Arial" w:eastAsia="Arial" w:hAnsi="Arial"/>
          <w:b/>
          <w:bCs/>
          <w:color w:val="2E75B6"/>
          <w:sz w:val="22"/>
          <w:szCs w:val="22"/>
        </w:rPr>
        <w:t xml:space="preserve">3.1 Acciones de Contención</w:t>
      </w:r>
    </w:p>
    <w:p>
      <w:pPr>
        <w:spacing w:after="80"/>
      </w:pPr>
      <w:r>
        <w:rPr>
          <w:rFonts w:ascii="Arial" w:cs="Arial" w:eastAsia="Arial" w:hAnsi="Arial"/>
          <w:color w:val="2D2D2D"/>
          <w:sz w:val="20"/>
          <w:szCs w:val="20"/>
        </w:rPr>
        <w:t xml:space="preserve">Al tratarse de un entorno de laboratorio controlado, las acciones de contención fueron documentales. En un entorno productivo real se habrían ejecutado las siguientes medidas:</w:t>
      </w:r>
    </w:p>
    <w:p>
      <w:pPr>
        <w:pStyle w:val="ListParagraph"/>
        <w:numPr>
          <w:ilvl w:val="0"/>
          <w:numId w:val="2"/>
        </w:numPr>
      </w:pPr>
      <w:r>
        <w:rPr>
          <w:rFonts w:ascii="Arial" w:cs="Arial" w:eastAsia="Arial" w:hAnsi="Arial"/>
          <w:color w:val="2D2D2D"/>
          <w:sz w:val="20"/>
          <w:szCs w:val="20"/>
        </w:rPr>
        <w:t xml:space="preserve">Bloqueo de IP de origen (192.168.196.132) en el firewall perimetral mediante regla de denegación</w:t>
      </w:r>
    </w:p>
    <w:p>
      <w:pPr>
        <w:pStyle w:val="ListParagraph"/>
        <w:numPr>
          <w:ilvl w:val="0"/>
          <w:numId w:val="2"/>
        </w:numPr>
      </w:pPr>
      <w:r>
        <w:rPr>
          <w:rFonts w:ascii="Arial" w:cs="Arial" w:eastAsia="Arial" w:hAnsi="Arial"/>
          <w:color w:val="2D2D2D"/>
          <w:sz w:val="20"/>
          <w:szCs w:val="20"/>
        </w:rPr>
        <w:t xml:space="preserve">Aislamiento del host víctima de la red hasta verificar integridad</w:t>
      </w:r>
    </w:p>
    <w:p>
      <w:pPr>
        <w:pStyle w:val="ListParagraph"/>
        <w:numPr>
          <w:ilvl w:val="0"/>
          <w:numId w:val="2"/>
        </w:numPr>
      </w:pPr>
      <w:r>
        <w:rPr>
          <w:rFonts w:ascii="Arial" w:cs="Arial" w:eastAsia="Arial" w:hAnsi="Arial"/>
          <w:color w:val="2D2D2D"/>
          <w:sz w:val="20"/>
          <w:szCs w:val="20"/>
        </w:rPr>
        <w:t xml:space="preserve">Notificación al equipo de respuesta a incidentes (CSIRT)</w:t>
      </w:r>
    </w:p>
    <w:p>
      <w:pPr>
        <w:pStyle w:val="ListParagraph"/>
        <w:numPr>
          <w:ilvl w:val="0"/>
          <w:numId w:val="2"/>
        </w:numPr>
      </w:pPr>
      <w:r>
        <w:rPr>
          <w:rFonts w:ascii="Arial" w:cs="Arial" w:eastAsia="Arial" w:hAnsi="Arial"/>
          <w:color w:val="2D2D2D"/>
          <w:sz w:val="20"/>
          <w:szCs w:val="20"/>
        </w:rPr>
        <w:t xml:space="preserve">Preservación de logs en Elasticsearch para análisis forense</w:t>
      </w:r>
    </w:p>
    <w:p>
      <w:pPr>
        <w:spacing w:after="100"/>
      </w:pPr>
      <w:r>
        <w:t xml:space="preserve"/>
      </w:r>
    </w:p>
    <w:p>
      <w:pPr>
        <w:spacing w:after="80" w:before="180"/>
      </w:pPr>
      <w:r>
        <w:rPr>
          <w:rFonts w:ascii="Arial" w:cs="Arial" w:eastAsia="Arial" w:hAnsi="Arial"/>
          <w:b/>
          <w:bCs/>
          <w:color w:val="2E75B6"/>
          <w:sz w:val="22"/>
          <w:szCs w:val="22"/>
        </w:rPr>
        <w:t xml:space="preserve">3.2 Medidas Aplicadas en el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Acción 1</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Activación de regla de alerta automática en Kibana para detección futura</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Acción 2</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Documentación del evento en índice syslog-metasploitable del SIEM</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Acción 3</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Análisis de tráfico con Wireshark para identificar patrón de ataque</w:t>
            </w:r>
          </w:p>
        </w:tc>
      </w:tr>
    </w:tbl>
    <w:p>
      <w:pPr>
        <w:spacing w:after="200"/>
      </w:pPr>
      <w:r>
        <w:t xml:space="preserve"/>
      </w:r>
    </w:p>
    <w:p>
      <w:pPr>
        <w:pBdr>
          <w:bottom w:val="single" w:color="2E75B6" w:sz="8" w:space="1"/>
        </w:pBdr>
        <w:spacing w:after="60" w:before="320"/>
      </w:pPr>
      <w:r>
        <w:rPr>
          <w:rFonts w:ascii="Arial" w:cs="Arial" w:eastAsia="Arial" w:hAnsi="Arial"/>
          <w:b/>
          <w:bCs/>
          <w:color w:val="1B3A6B"/>
          <w:sz w:val="26"/>
          <w:szCs w:val="26"/>
        </w:rPr>
        <w:t xml:space="preserve">4. ERRADICACIÓN (NIST FASE 4)</w:t>
      </w:r>
    </w:p>
    <w:p>
      <w:pPr>
        <w:spacing w:after="100"/>
      </w:pPr>
      <w:r>
        <w:t xml:space="preserve"/>
      </w:r>
    </w:p>
    <w:p>
      <w:pPr>
        <w:spacing w:after="80" w:before="180"/>
      </w:pPr>
      <w:r>
        <w:rPr>
          <w:rFonts w:ascii="Arial" w:cs="Arial" w:eastAsia="Arial" w:hAnsi="Arial"/>
          <w:b/>
          <w:bCs/>
          <w:color w:val="2E75B6"/>
          <w:sz w:val="22"/>
          <w:szCs w:val="22"/>
        </w:rPr>
        <w:t xml:space="preserve">4.1 Causa Raíz</w:t>
      </w:r>
    </w:p>
    <w:p>
      <w:pPr>
        <w:spacing w:after="80"/>
      </w:pPr>
      <w:r>
        <w:rPr>
          <w:rFonts w:ascii="Arial" w:cs="Arial" w:eastAsia="Arial" w:hAnsi="Arial"/>
          <w:color w:val="2D2D2D"/>
          <w:sz w:val="20"/>
          <w:szCs w:val="20"/>
        </w:rPr>
        <w:t xml:space="preserve">La causa raíz del incidente fue la exposición de servicios sin cifrado (FTP puerto 21, HTTP puerto 80) en un host de la red interna, combinado con la ausencia de reglas de firewall que limiten el acceso a puertos de administración desde hosts no autorizados.</w:t>
      </w:r>
    </w:p>
    <w:p>
      <w:pPr>
        <w:spacing w:after="100"/>
      </w:pPr>
      <w:r>
        <w:t xml:space="preserve"/>
      </w:r>
    </w:p>
    <w:p>
      <w:pPr>
        <w:spacing w:after="80" w:before="180"/>
      </w:pPr>
      <w:r>
        <w:rPr>
          <w:rFonts w:ascii="Arial" w:cs="Arial" w:eastAsia="Arial" w:hAnsi="Arial"/>
          <w:b/>
          <w:bCs/>
          <w:color w:val="2E75B6"/>
          <w:sz w:val="22"/>
          <w:szCs w:val="22"/>
        </w:rPr>
        <w:t xml:space="preserve">4.2 Acciones de Erradicación</w:t>
      </w:r>
    </w:p>
    <w:p>
      <w:pPr>
        <w:pStyle w:val="ListParagraph"/>
        <w:numPr>
          <w:ilvl w:val="0"/>
          <w:numId w:val="2"/>
        </w:numPr>
      </w:pPr>
      <w:r>
        <w:rPr>
          <w:rFonts w:ascii="Arial" w:cs="Arial" w:eastAsia="Arial" w:hAnsi="Arial"/>
          <w:color w:val="2D2D2D"/>
          <w:sz w:val="20"/>
          <w:szCs w:val="20"/>
        </w:rPr>
        <w:t xml:space="preserve">Deshabilitar servicio FTP (vsftpd) — reemplazar por SFTP sobre SSH</w:t>
      </w:r>
    </w:p>
    <w:p>
      <w:pPr>
        <w:pStyle w:val="ListParagraph"/>
        <w:numPr>
          <w:ilvl w:val="0"/>
          <w:numId w:val="2"/>
        </w:numPr>
      </w:pPr>
      <w:r>
        <w:rPr>
          <w:rFonts w:ascii="Arial" w:cs="Arial" w:eastAsia="Arial" w:hAnsi="Arial"/>
          <w:color w:val="2D2D2D"/>
          <w:sz w:val="20"/>
          <w:szCs w:val="20"/>
        </w:rPr>
        <w:t xml:space="preserve">Implementar HTTPS en el servidor Apache (puerto 443) y redirigir tráfico HTTP</w:t>
      </w:r>
    </w:p>
    <w:p>
      <w:pPr>
        <w:pStyle w:val="ListParagraph"/>
        <w:numPr>
          <w:ilvl w:val="0"/>
          <w:numId w:val="2"/>
        </w:numPr>
      </w:pPr>
      <w:r>
        <w:rPr>
          <w:rFonts w:ascii="Arial" w:cs="Arial" w:eastAsia="Arial" w:hAnsi="Arial"/>
          <w:color w:val="2D2D2D"/>
          <w:sz w:val="20"/>
          <w:szCs w:val="20"/>
        </w:rPr>
        <w:t xml:space="preserve">Configurar firewall UFW para limitar acceso SSH solo desde IPs autorizadas</w:t>
      </w:r>
    </w:p>
    <w:p>
      <w:pPr>
        <w:pStyle w:val="ListParagraph"/>
        <w:numPr>
          <w:ilvl w:val="0"/>
          <w:numId w:val="2"/>
        </w:numPr>
      </w:pPr>
      <w:r>
        <w:rPr>
          <w:rFonts w:ascii="Arial" w:cs="Arial" w:eastAsia="Arial" w:hAnsi="Arial"/>
          <w:color w:val="2D2D2D"/>
          <w:sz w:val="20"/>
          <w:szCs w:val="20"/>
        </w:rPr>
        <w:t xml:space="preserve">Aplicar reglas de ACL en el switch para segmentar la red interna</w:t>
      </w:r>
    </w:p>
    <w:p>
      <w:pPr>
        <w:spacing w:after="200"/>
      </w:pPr>
      <w:r>
        <w:t xml:space="preserve"/>
      </w:r>
    </w:p>
    <w:p>
      <w:pPr>
        <w:pBdr>
          <w:bottom w:val="single" w:color="2E75B6" w:sz="8" w:space="1"/>
        </w:pBdr>
        <w:spacing w:after="60" w:before="320"/>
      </w:pPr>
      <w:r>
        <w:rPr>
          <w:rFonts w:ascii="Arial" w:cs="Arial" w:eastAsia="Arial" w:hAnsi="Arial"/>
          <w:b/>
          <w:bCs/>
          <w:color w:val="1B3A6B"/>
          <w:sz w:val="26"/>
          <w:szCs w:val="26"/>
        </w:rPr>
        <w:t xml:space="preserve">5. RECUPERACIÓN (NIST FASE 5)</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Estado del sistema</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Operativo — no hubo daño real al tratarse de un lab</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Monitoreo post-incidente</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Filebeat activo enviando logs a ELK en tiempo real</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Período de monitoreo</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Continuo — regla de alerta activa en Kibana</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Verificación</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Confirmado mediante Kibana Discover — flujo de logs normal</w:t>
            </w:r>
          </w:p>
        </w:tc>
      </w:tr>
    </w:tbl>
    <w:p>
      <w:pPr>
        <w:spacing w:after="200"/>
      </w:pPr>
      <w:r>
        <w:t xml:space="preserve"/>
      </w:r>
    </w:p>
    <w:p>
      <w:pPr>
        <w:pBdr>
          <w:bottom w:val="single" w:color="2E75B6" w:sz="8" w:space="1"/>
        </w:pBdr>
        <w:spacing w:after="60" w:before="320"/>
      </w:pPr>
      <w:r>
        <w:rPr>
          <w:rFonts w:ascii="Arial" w:cs="Arial" w:eastAsia="Arial" w:hAnsi="Arial"/>
          <w:b/>
          <w:bCs/>
          <w:color w:val="1B3A6B"/>
          <w:sz w:val="26"/>
          <w:szCs w:val="26"/>
        </w:rPr>
        <w:t xml:space="preserve">6. LÍNEA DE TIEMPO DEL INCIDENTE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BBCFDD" w:sz="1"/>
              <w:left w:val="single" w:color="BBCFDD" w:sz="1"/>
              <w:bottom w:val="single" w:color="BBCFDD" w:sz="1"/>
              <w:right w:val="single" w:color="BBCFDD" w:sz="1"/>
            </w:tcBorders>
            <w:shd w:fill="2E75B6" w:val="clear"/>
            <w:tcMar>
              <w:top w:type="dxa" w:w="100"/>
              <w:left w:type="dxa" w:w="140"/>
              <w:bottom w:type="dxa" w:w="100"/>
              <w:right w:type="dxa" w:w="140"/>
            </w:tcMar>
            <w:vAlign w:val="center"/>
          </w:tcPr>
          <w:p>
            <w:r>
              <w:rPr>
                <w:rFonts w:ascii="Arial" w:cs="Arial" w:eastAsia="Arial" w:hAnsi="Arial"/>
                <w:b/>
                <w:bCs/>
                <w:color w:val="FFFFFF"/>
                <w:sz w:val="20"/>
                <w:szCs w:val="20"/>
              </w:rPr>
              <w:t xml:space="preserve">Fecha/Hora</w:t>
            </w:r>
          </w:p>
        </w:tc>
        <w:tc>
          <w:tcPr>
            <w:tcW w:type="dxa" w:w="2400"/>
            <w:tcBorders>
              <w:top w:val="single" w:color="BBCFDD" w:sz="1"/>
              <w:left w:val="single" w:color="BBCFDD" w:sz="1"/>
              <w:bottom w:val="single" w:color="BBCFDD" w:sz="1"/>
              <w:right w:val="single" w:color="BBCFDD" w:sz="1"/>
            </w:tcBorders>
            <w:shd w:fill="2E75B6" w:val="clear"/>
            <w:tcMar>
              <w:top w:type="dxa" w:w="100"/>
              <w:left w:type="dxa" w:w="140"/>
              <w:bottom w:type="dxa" w:w="100"/>
              <w:right w:type="dxa" w:w="140"/>
            </w:tcMar>
            <w:vAlign w:val="center"/>
          </w:tcPr>
          <w:p>
            <w:r>
              <w:rPr>
                <w:rFonts w:ascii="Arial" w:cs="Arial" w:eastAsia="Arial" w:hAnsi="Arial"/>
                <w:b/>
                <w:bCs/>
                <w:color w:val="FFFFFF"/>
                <w:sz w:val="20"/>
                <w:szCs w:val="20"/>
              </w:rPr>
              <w:t xml:space="preserve">Fase NIST</w:t>
            </w:r>
          </w:p>
        </w:tc>
        <w:tc>
          <w:tcPr>
            <w:tcW w:type="dxa" w:w="4760"/>
            <w:tcBorders>
              <w:top w:val="single" w:color="BBCFDD" w:sz="1"/>
              <w:left w:val="single" w:color="BBCFDD" w:sz="1"/>
              <w:bottom w:val="single" w:color="BBCFDD" w:sz="1"/>
              <w:right w:val="single" w:color="BBCFDD" w:sz="1"/>
            </w:tcBorders>
            <w:shd w:fill="2E75B6"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Acción / Hallazgo</w:t>
            </w:r>
          </w:p>
        </w:tc>
      </w:tr>
      <w:tr>
        <w:tc>
          <w:tcPr>
            <w:tcW w:type="dxa" w:w="22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2D2D2D"/>
                <w:sz w:val="20"/>
                <w:szCs w:val="20"/>
              </w:rPr>
              <w:t xml:space="preserve">19/05/2026 14:00</w:t>
            </w:r>
          </w:p>
        </w:tc>
        <w:tc>
          <w:tcPr>
            <w:tcW w:type="dxa" w:w="24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2D2D2D"/>
                <w:sz w:val="20"/>
                <w:szCs w:val="20"/>
              </w:rPr>
              <w:t xml:space="preserve">Preparación</w:t>
            </w:r>
          </w:p>
        </w:tc>
        <w:tc>
          <w:tcPr>
            <w:tcW w:type="dxa" w:w="47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2D2D2D"/>
                <w:sz w:val="20"/>
                <w:szCs w:val="20"/>
              </w:rPr>
              <w:t xml:space="preserve">Despliegue de ELK Stack en Ubuntu Server 22.04 (192.168.196.131)</w:t>
            </w:r>
          </w:p>
        </w:tc>
      </w:tr>
      <w:tr>
        <w:tc>
          <w:tcPr>
            <w:tcW w:type="dxa" w:w="22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19/05/2026 15:00</w:t>
            </w:r>
          </w:p>
        </w:tc>
        <w:tc>
          <w:tcPr>
            <w:tcW w:type="dxa" w:w="24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Preparación</w:t>
            </w:r>
          </w:p>
        </w:tc>
        <w:tc>
          <w:tcPr>
            <w:tcW w:type="dxa" w:w="47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Instalación y configuración de Filebeat en ubuntu-victima (192.168.196.134)</w:t>
            </w:r>
          </w:p>
        </w:tc>
      </w:tr>
      <w:tr>
        <w:tc>
          <w:tcPr>
            <w:tcW w:type="dxa" w:w="22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2D2D2D"/>
                <w:sz w:val="20"/>
                <w:szCs w:val="20"/>
              </w:rPr>
              <w:t xml:space="preserve">19/05/2026 15:30</w:t>
            </w:r>
          </w:p>
        </w:tc>
        <w:tc>
          <w:tcPr>
            <w:tcW w:type="dxa" w:w="24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2D2D2D"/>
                <w:sz w:val="20"/>
                <w:szCs w:val="20"/>
              </w:rPr>
              <w:t xml:space="preserve">Preparación</w:t>
            </w:r>
          </w:p>
        </w:tc>
        <w:tc>
          <w:tcPr>
            <w:tcW w:type="dxa" w:w="47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2D2D2D"/>
                <w:sz w:val="20"/>
                <w:szCs w:val="20"/>
              </w:rPr>
              <w:t xml:space="preserve">Verificación de pipeline: Filebeat → Logstash:5044 → Elasticsearch → Kibana</w:t>
            </w:r>
          </w:p>
        </w:tc>
      </w:tr>
      <w:tr>
        <w:tc>
          <w:tcPr>
            <w:tcW w:type="dxa" w:w="22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19/05/2026 15:54</w:t>
            </w:r>
          </w:p>
        </w:tc>
        <w:tc>
          <w:tcPr>
            <w:tcW w:type="dxa" w:w="24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Detección</w:t>
            </w:r>
          </w:p>
        </w:tc>
        <w:tc>
          <w:tcPr>
            <w:tcW w:type="dxa" w:w="47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Lanzamiento de escaneo Nmap desde Kali (192.168.196.132) hacia víctima</w:t>
            </w:r>
          </w:p>
        </w:tc>
      </w:tr>
      <w:tr>
        <w:tc>
          <w:tcPr>
            <w:tcW w:type="dxa" w:w="22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2D2D2D"/>
                <w:sz w:val="20"/>
                <w:szCs w:val="20"/>
              </w:rPr>
              <w:t xml:space="preserve">19/05/2026 15:57</w:t>
            </w:r>
          </w:p>
        </w:tc>
        <w:tc>
          <w:tcPr>
            <w:tcW w:type="dxa" w:w="24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2D2D2D"/>
                <w:sz w:val="20"/>
                <w:szCs w:val="20"/>
              </w:rPr>
              <w:t xml:space="preserve">Detección</w:t>
            </w:r>
          </w:p>
        </w:tc>
        <w:tc>
          <w:tcPr>
            <w:tcW w:type="dxa" w:w="47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2D2D2D"/>
                <w:sz w:val="20"/>
                <w:szCs w:val="20"/>
              </w:rPr>
              <w:t xml:space="preserve">Spike de ~100 eventos/minuto detectado en Kibana Discover</w:t>
            </w:r>
          </w:p>
        </w:tc>
      </w:tr>
      <w:tr>
        <w:tc>
          <w:tcPr>
            <w:tcW w:type="dxa" w:w="22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19/05/2026 16:00</w:t>
            </w:r>
          </w:p>
        </w:tc>
        <w:tc>
          <w:tcPr>
            <w:tcW w:type="dxa" w:w="24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Análisis</w:t>
            </w:r>
          </w:p>
        </w:tc>
        <w:tc>
          <w:tcPr>
            <w:tcW w:type="dxa" w:w="47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Identificación de 3 puertos abiertos: 21 FTP, 22 SSH, 80 HTTP</w:t>
            </w:r>
          </w:p>
        </w:tc>
      </w:tr>
      <w:tr>
        <w:tc>
          <w:tcPr>
            <w:tcW w:type="dxa" w:w="22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2D2D2D"/>
                <w:sz w:val="20"/>
                <w:szCs w:val="20"/>
              </w:rPr>
              <w:t xml:space="preserve">19/05/2026 16:05</w:t>
            </w:r>
          </w:p>
        </w:tc>
        <w:tc>
          <w:tcPr>
            <w:tcW w:type="dxa" w:w="24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2D2D2D"/>
                <w:sz w:val="20"/>
                <w:szCs w:val="20"/>
              </w:rPr>
              <w:t xml:space="preserve">Contención</w:t>
            </w:r>
          </w:p>
        </w:tc>
        <w:tc>
          <w:tcPr>
            <w:tcW w:type="dxa" w:w="47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2D2D2D"/>
                <w:sz w:val="20"/>
                <w:szCs w:val="20"/>
              </w:rPr>
              <w:t xml:space="preserve">Documentación del evento y activación de regla de alerta en Kibana</w:t>
            </w:r>
          </w:p>
        </w:tc>
      </w:tr>
      <w:tr>
        <w:tc>
          <w:tcPr>
            <w:tcW w:type="dxa" w:w="22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19/05/2026 16:20</w:t>
            </w:r>
          </w:p>
        </w:tc>
        <w:tc>
          <w:tcPr>
            <w:tcW w:type="dxa" w:w="240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Erradicación</w:t>
            </w:r>
          </w:p>
        </w:tc>
        <w:tc>
          <w:tcPr>
            <w:tcW w:type="dxa" w:w="47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Identificación de causa raíz: servicios sin cifrado expuestos</w:t>
            </w:r>
          </w:p>
        </w:tc>
      </w:tr>
      <w:tr>
        <w:tc>
          <w:tcPr>
            <w:tcW w:type="dxa" w:w="22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2D2D2D"/>
                <w:sz w:val="20"/>
                <w:szCs w:val="20"/>
              </w:rPr>
              <w:t xml:space="preserve">19/05/2026 16:30</w:t>
            </w:r>
          </w:p>
        </w:tc>
        <w:tc>
          <w:tcPr>
            <w:tcW w:type="dxa" w:w="240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2D2D2D"/>
                <w:sz w:val="20"/>
                <w:szCs w:val="20"/>
              </w:rPr>
              <w:t xml:space="preserve">Lecciones</w:t>
            </w:r>
          </w:p>
        </w:tc>
        <w:tc>
          <w:tcPr>
            <w:tcW w:type="dxa" w:w="476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2D2D2D"/>
                <w:sz w:val="20"/>
                <w:szCs w:val="20"/>
              </w:rPr>
              <w:t xml:space="preserve">Generación de informe NIST y publicación en portafolio GitHub</w:t>
            </w:r>
          </w:p>
        </w:tc>
      </w:tr>
    </w:tbl>
    <w:p>
      <w:pPr>
        <w:spacing w:after="200"/>
      </w:pPr>
      <w:r>
        <w:t xml:space="preserve"/>
      </w:r>
    </w:p>
    <w:p>
      <w:pPr>
        <w:pBdr>
          <w:bottom w:val="single" w:color="2E75B6" w:sz="8" w:space="1"/>
        </w:pBdr>
        <w:spacing w:after="60" w:before="320"/>
      </w:pPr>
      <w:r>
        <w:rPr>
          <w:rFonts w:ascii="Arial" w:cs="Arial" w:eastAsia="Arial" w:hAnsi="Arial"/>
          <w:b/>
          <w:bCs/>
          <w:color w:val="1B3A6B"/>
          <w:sz w:val="26"/>
          <w:szCs w:val="26"/>
        </w:rPr>
        <w:t xml:space="preserve">7. LECCIONES APRENDIDAS (NIST FASE 6)</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CFDD" w:sz="1"/>
              <w:left w:val="single" w:color="BBCFDD" w:sz="1"/>
              <w:bottom w:val="single" w:color="BBCFDD" w:sz="1"/>
              <w:right w:val="single" w:color="BBCFDD" w:sz="1"/>
            </w:tcBorders>
            <w:shd w:fill="2E75B6" w:val="clear"/>
            <w:tcMar>
              <w:top w:type="dxa" w:w="100"/>
              <w:left w:type="dxa" w:w="140"/>
              <w:bottom w:type="dxa" w:w="100"/>
              <w:right w:type="dxa" w:w="140"/>
            </w:tcMar>
            <w:vAlign w:val="center"/>
          </w:tcPr>
          <w:p>
            <w:r>
              <w:rPr>
                <w:rFonts w:ascii="Arial" w:cs="Arial" w:eastAsia="Arial" w:hAnsi="Arial"/>
                <w:b/>
                <w:bCs/>
                <w:color w:val="FFFFFF"/>
                <w:sz w:val="20"/>
                <w:szCs w:val="20"/>
              </w:rPr>
              <w:t xml:space="preserve">Hallazgo</w:t>
            </w:r>
          </w:p>
        </w:tc>
        <w:tc>
          <w:tcPr>
            <w:tcW w:type="dxa" w:w="3120"/>
            <w:tcBorders>
              <w:top w:val="single" w:color="BBCFDD" w:sz="1"/>
              <w:left w:val="single" w:color="BBCFDD" w:sz="1"/>
              <w:bottom w:val="single" w:color="BBCFDD" w:sz="1"/>
              <w:right w:val="single" w:color="BBCFDD" w:sz="1"/>
            </w:tcBorders>
            <w:shd w:fill="2E75B6"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Acción Correctiva</w:t>
            </w:r>
          </w:p>
        </w:tc>
        <w:tc>
          <w:tcPr>
            <w:tcW w:type="dxa" w:w="3120"/>
            <w:tcBorders>
              <w:top w:val="single" w:color="BBCFDD" w:sz="1"/>
              <w:left w:val="single" w:color="BBCFDD" w:sz="1"/>
              <w:bottom w:val="single" w:color="BBCFDD" w:sz="1"/>
              <w:right w:val="single" w:color="BBCFDD" w:sz="1"/>
            </w:tcBorders>
            <w:shd w:fill="2E75B6"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Prioridad</w:t>
            </w:r>
          </w:p>
        </w:tc>
      </w:tr>
      <w:tr>
        <w:tc>
          <w:tcPr>
            <w:tcW w:type="dxa" w:w="312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2D2D2D"/>
                <w:sz w:val="20"/>
                <w:szCs w:val="20"/>
              </w:rPr>
              <w:t xml:space="preserve">FTP expuesto sin cifrado</w:t>
            </w:r>
          </w:p>
        </w:tc>
        <w:tc>
          <w:tcPr>
            <w:tcW w:type="dxa" w:w="312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2D2D2D"/>
                <w:sz w:val="20"/>
                <w:szCs w:val="20"/>
              </w:rPr>
              <w:t xml:space="preserve">Reemplazar vsftpd por SFTP. Deshabilitar puerto 21.</w:t>
            </w:r>
          </w:p>
        </w:tc>
        <w:tc>
          <w:tcPr>
            <w:tcW w:type="dxa" w:w="312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C00000"/>
                <w:sz w:val="20"/>
                <w:szCs w:val="20"/>
              </w:rPr>
              <w:t xml:space="preserve">ALTA</w:t>
            </w:r>
          </w:p>
        </w:tc>
      </w:tr>
      <w:tr>
        <w:tc>
          <w:tcPr>
            <w:tcW w:type="dxa" w:w="312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HTTP sin HTTPS</w:t>
            </w:r>
          </w:p>
        </w:tc>
        <w:tc>
          <w:tcPr>
            <w:tcW w:type="dxa" w:w="312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Instalar certificado SSL en Apache. Redirigir puerto 80 → 443.</w:t>
            </w:r>
          </w:p>
        </w:tc>
        <w:tc>
          <w:tcPr>
            <w:tcW w:type="dxa" w:w="312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C00000"/>
                <w:sz w:val="20"/>
                <w:szCs w:val="20"/>
              </w:rPr>
              <w:t xml:space="preserve">ALTA</w:t>
            </w:r>
          </w:p>
        </w:tc>
      </w:tr>
      <w:tr>
        <w:tc>
          <w:tcPr>
            <w:tcW w:type="dxa" w:w="312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2D2D2D"/>
                <w:sz w:val="20"/>
                <w:szCs w:val="20"/>
              </w:rPr>
              <w:t xml:space="preserve">Sin reglas de firewall</w:t>
            </w:r>
          </w:p>
        </w:tc>
        <w:tc>
          <w:tcPr>
            <w:tcW w:type="dxa" w:w="312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2D2D2D"/>
                <w:sz w:val="20"/>
                <w:szCs w:val="20"/>
              </w:rPr>
              <w:t xml:space="preserve">Implementar UFW con política de denegación por defecto.</w:t>
            </w:r>
          </w:p>
        </w:tc>
        <w:tc>
          <w:tcPr>
            <w:tcW w:type="dxa" w:w="312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C00000"/>
                <w:sz w:val="20"/>
                <w:szCs w:val="20"/>
              </w:rPr>
              <w:t xml:space="preserve">ALTA</w:t>
            </w:r>
          </w:p>
        </w:tc>
      </w:tr>
      <w:tr>
        <w:tc>
          <w:tcPr>
            <w:tcW w:type="dxa" w:w="312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Sin alertas automáticas</w:t>
            </w:r>
          </w:p>
        </w:tc>
        <w:tc>
          <w:tcPr>
            <w:tcW w:type="dxa" w:w="312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Regla de detección de port scan creada en Kibana.</w:t>
            </w:r>
          </w:p>
        </w:tc>
        <w:tc>
          <w:tcPr>
            <w:tcW w:type="dxa" w:w="312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MEDIA — COMPLETADO</w:t>
            </w:r>
          </w:p>
        </w:tc>
      </w:tr>
      <w:tr>
        <w:tc>
          <w:tcPr>
            <w:tcW w:type="dxa" w:w="312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2D2D2D"/>
                <w:sz w:val="20"/>
                <w:szCs w:val="20"/>
              </w:rPr>
              <w:t xml:space="preserve">Logs sin centralizar</w:t>
            </w:r>
          </w:p>
        </w:tc>
        <w:tc>
          <w:tcPr>
            <w:tcW w:type="dxa" w:w="312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2D2D2D"/>
                <w:sz w:val="20"/>
                <w:szCs w:val="20"/>
              </w:rPr>
              <w:t xml:space="preserve">Filebeat + ELK implementado para centralización de logs.</w:t>
            </w:r>
          </w:p>
        </w:tc>
        <w:tc>
          <w:tcPr>
            <w:tcW w:type="dxa" w:w="3120"/>
            <w:tcBorders>
              <w:top w:val="single" w:color="BBCFDD" w:sz="1"/>
              <w:left w:val="single" w:color="BBCFDD" w:sz="1"/>
              <w:bottom w:val="single" w:color="BBCFDD" w:sz="1"/>
              <w:right w:val="single" w:color="BBCFDD" w:sz="1"/>
            </w:tcBorders>
            <w:shd w:fill="EEF5FB" w:val="clear"/>
            <w:tcMar>
              <w:top w:type="dxa" w:w="90"/>
              <w:left w:type="dxa" w:w="140"/>
              <w:bottom w:type="dxa" w:w="90"/>
              <w:right w:type="dxa" w:w="140"/>
            </w:tcMar>
          </w:tcPr>
          <w:p>
            <w:r>
              <w:rPr>
                <w:rFonts w:ascii="Arial" w:cs="Arial" w:eastAsia="Arial" w:hAnsi="Arial"/>
                <w:color w:val="2D2D2D"/>
                <w:sz w:val="20"/>
                <w:szCs w:val="20"/>
              </w:rPr>
              <w:t xml:space="preserve">MEDIA — COMPLETADO</w:t>
            </w:r>
          </w:p>
        </w:tc>
      </w:tr>
    </w:tbl>
    <w:p>
      <w:pPr>
        <w:spacing w:after="200"/>
      </w:pPr>
      <w:r>
        <w:t xml:space="preserve"/>
      </w:r>
    </w:p>
    <w:p>
      <w:pPr>
        <w:pBdr>
          <w:bottom w:val="single" w:color="2E75B6" w:sz="8" w:space="1"/>
        </w:pBdr>
        <w:spacing w:after="60" w:before="320"/>
      </w:pPr>
      <w:r>
        <w:rPr>
          <w:rFonts w:ascii="Arial" w:cs="Arial" w:eastAsia="Arial" w:hAnsi="Arial"/>
          <w:b/>
          <w:bCs/>
          <w:color w:val="1B3A6B"/>
          <w:sz w:val="26"/>
          <w:szCs w:val="26"/>
        </w:rPr>
        <w:t xml:space="preserve">8. REFERENCIAS Y FIRMA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Marco de referencia</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NIST SP 800-61r2 — Computer Security Incident Handling Guide</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MITRE ATT&amp;CK</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T1046 — Network Service Discovery</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SIEM</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ELK Stack 8.19.15 (Elasticsearch + Logstash + Kibana + Filebeat)</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Herramientas usadas</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Nmap 7.99, Wireshark, Kibana Analytics, Elasticsearch REST API</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Elaborado por</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Hans Soto González — Analista SOC L1 en Formación</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Institución</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IPLACEX — Ingeniería en Ciberseguridad</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Fecha del informe</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19/05/2026</w:t>
            </w:r>
          </w:p>
        </w:tc>
      </w:tr>
      <w:tr>
        <w:tc>
          <w:tcPr>
            <w:tcW w:type="dxa" w:w="3000"/>
            <w:tcBorders>
              <w:top w:val="single" w:color="BBCFDD" w:sz="1"/>
              <w:left w:val="single" w:color="BBCFDD" w:sz="1"/>
              <w:bottom w:val="single" w:color="BBCFDD" w:sz="1"/>
              <w:right w:val="single" w:color="BBCFDD" w:sz="1"/>
            </w:tcBorders>
            <w:shd w:fill="D6E4F0" w:val="clear"/>
            <w:tcMar>
              <w:top w:type="dxa" w:w="90"/>
              <w:left w:type="dxa" w:w="140"/>
              <w:bottom w:type="dxa" w:w="90"/>
              <w:right w:type="dxa" w:w="140"/>
            </w:tcMar>
          </w:tcPr>
          <w:p>
            <w:r>
              <w:rPr>
                <w:rFonts w:ascii="Arial" w:cs="Arial" w:eastAsia="Arial" w:hAnsi="Arial"/>
                <w:b/>
                <w:bCs/>
                <w:color w:val="1B3A6B"/>
                <w:sz w:val="20"/>
                <w:szCs w:val="20"/>
              </w:rPr>
              <w:t xml:space="preserve">Versión</w:t>
            </w:r>
          </w:p>
        </w:tc>
        <w:tc>
          <w:tcPr>
            <w:tcW w:type="dxa" w:w="6360"/>
            <w:tcBorders>
              <w:top w:val="single" w:color="BBCFDD" w:sz="1"/>
              <w:left w:val="single" w:color="BBCFDD" w:sz="1"/>
              <w:bottom w:val="single" w:color="BBCFDD" w:sz="1"/>
              <w:right w:val="single" w:color="BBCFDD" w:sz="1"/>
            </w:tcBorders>
            <w:shd w:fill="FFFFFF" w:val="clear"/>
            <w:tcMar>
              <w:top w:type="dxa" w:w="90"/>
              <w:left w:type="dxa" w:w="140"/>
              <w:bottom w:type="dxa" w:w="90"/>
              <w:right w:type="dxa" w:w="140"/>
            </w:tcMar>
          </w:tcPr>
          <w:p>
            <w:r>
              <w:rPr>
                <w:rFonts w:ascii="Arial" w:cs="Arial" w:eastAsia="Arial" w:hAnsi="Arial"/>
                <w:color w:val="2D2D2D"/>
                <w:sz w:val="20"/>
                <w:szCs w:val="20"/>
              </w:rPr>
              <w:t xml:space="preserve">v1.0 — Final</w:t>
            </w:r>
          </w:p>
        </w:tc>
      </w:tr>
    </w:tbl>
    <w:p>
      <w:pPr>
        <w:spacing w:after="200"/>
      </w:pPr>
      <w:r>
        <w:t xml:space="preserve"/>
      </w:r>
    </w:p>
    <w:p>
      <w:pPr>
        <w:pBdr>
          <w:top w:val="single" w:color="D6E4F0" w:sz="4" w:space="4"/>
        </w:pBdr>
        <w:spacing w:after="40" w:before="200"/>
        <w:jc w:val="center"/>
      </w:pPr>
      <w:r>
        <w:rPr>
          <w:rFonts w:ascii="Arial" w:cs="Arial" w:eastAsia="Arial" w:hAnsi="Arial"/>
          <w:b/>
          <w:bCs/>
          <w:color w:val="666666"/>
          <w:sz w:val="16"/>
          <w:szCs w:val="16"/>
        </w:rPr>
        <w:t xml:space="preserve">DOCUMENTO CONFIDENCIAL — USO ACADÉMICO INTERNO</w:t>
      </w:r>
    </w:p>
    <w:p>
      <w:pPr>
        <w:jc w:val="center"/>
      </w:pPr>
      <w:r>
        <w:rPr>
          <w:rFonts w:ascii="Arial" w:cs="Arial" w:eastAsia="Arial" w:hAnsi="Arial"/>
          <w:color w:val="666666"/>
          <w:sz w:val="16"/>
          <w:szCs w:val="16"/>
        </w:rPr>
        <w:t xml:space="preserve">Lab 01 — SIEM con ELK Stack · IPLACEX · Ingeniería en Ciberseguridad ·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Arial" w:cs="Arial" w:eastAsia="Arial" w:hAnsi="Arial"/>
        <w:color w:val="666666"/>
        <w:sz w:val="16"/>
        <w:szCs w:val="16"/>
      </w:rPr>
      <w:t xml:space="preserve">Hans Soto González | Analista SOC L1 | IPLACEX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jc w:val="right"/>
    </w:pPr>
    <w:r>
      <w:rPr>
        <w:rFonts w:ascii="Arial" w:cs="Arial" w:eastAsia="Arial" w:hAnsi="Arial"/>
        <w:color w:val="666666"/>
        <w:sz w:val="16"/>
        <w:szCs w:val="16"/>
      </w:rPr>
      <w:t xml:space="preserve">INFORME DE INCIDENTE SOC | CONFIDENCIAL | LAB-01-2026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2026-05-19T20:40:48.798Z</dcterms:created>
  <dcterms:modified xsi:type="dcterms:W3CDTF">2026-05-19T20:40:48.812Z</dcterms:modified>
</cp:coreProperties>
</file>

<file path=docProps/custom.xml><?xml version="1.0" encoding="utf-8"?>
<Properties xmlns="http://schemas.openxmlformats.org/officeDocument/2006/custom-properties" xmlns:vt="http://schemas.openxmlformats.org/officeDocument/2006/docPropsVTypes"/>
</file>