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jc w:val="center"/>
      </w:pPr>
      <w:r>
        <w:rPr>
          <w:rFonts w:ascii="宋体" w:hAnsi="宋体" w:eastAsia="宋体"/>
          <w:b w:val="0"/>
          <w:sz w:val="30"/>
        </w:rPr>
        <w:t>湖北大学 2025--2026 学年度第 2 学期课程考查试题纸</w:t>
      </w:r>
    </w:p>
    <w:p>
      <w:pPr>
        <w:spacing w:after="480"/>
        <w:jc w:val="center"/>
      </w:pPr>
      <w:r>
        <w:rPr>
          <w:rFonts w:ascii="宋体" w:hAnsi="宋体" w:eastAsia="宋体"/>
          <w:b w:val="0"/>
          <w:sz w:val="24"/>
        </w:rPr>
        <w:t>The paper of course exam</w:t>
      </w:r>
    </w:p>
    <w:tbl>
      <w:tblPr>
        <w:tblW w:type="auto" w:w="0"/>
        <w:jc w:val="center"/>
        <w:tblLayout w:type="autofit"/>
        <w:tblLook w:firstColumn="1" w:firstRow="1" w:lastColumn="0" w:lastRow="0" w:noHBand="0" w:noVBand="1" w:val="04A0"/>
      </w:tblPr>
      <w:tblGrid>
        <w:gridCol w:w="2239"/>
        <w:gridCol w:w="2239"/>
        <w:gridCol w:w="2239"/>
        <w:gridCol w:w="2239"/>
      </w:tblGrid>
      <w:tr>
        <w:tc>
          <w:tcPr>
            <w:tcW w:type="dxa" w:w="2239"/>
            <w:vAlign w:val="center"/>
          </w:tcPr>
          <w:p>
            <w:pPr>
              <w:spacing w:after="0"/>
              <w:jc w:val="left"/>
            </w:pPr>
            <w:r/>
            <w:r>
              <w:rPr>
                <w:rFonts w:ascii="宋体" w:hAnsi="宋体" w:eastAsia="宋体"/>
                <w:b/>
                <w:sz w:val="22"/>
              </w:rPr>
              <w:t>Name:</w:t>
            </w:r>
          </w:p>
        </w:tc>
        <w:tc>
          <w:tcPr>
            <w:tcW w:type="dxa" w:w="2239"/>
            <w:vAlign w:val="center"/>
          </w:tcPr>
          <w:p>
            <w:pPr>
              <w:spacing w:after="0"/>
              <w:jc w:val="left"/>
            </w:pPr>
            <w:r/>
            <w:r>
              <w:rPr>
                <w:rFonts w:ascii="宋体" w:hAnsi="宋体" w:eastAsia="宋体"/>
                <w:b w:val="0"/>
                <w:sz w:val="22"/>
              </w:rPr>
              <w:t>Big Data Analysis and Applications</w:t>
            </w:r>
          </w:p>
        </w:tc>
        <w:tc>
          <w:tcPr>
            <w:tcW w:type="dxa" w:w="2239"/>
            <w:vAlign w:val="center"/>
          </w:tcPr>
          <w:p>
            <w:pPr>
              <w:spacing w:after="0"/>
              <w:jc w:val="left"/>
            </w:pPr>
            <w:r/>
            <w:r>
              <w:rPr>
                <w:rFonts w:ascii="宋体" w:hAnsi="宋体" w:eastAsia="宋体"/>
                <w:b w:val="0"/>
                <w:sz w:val="22"/>
              </w:rPr>
            </w:r>
          </w:p>
        </w:tc>
        <w:tc>
          <w:tcPr>
            <w:tcW w:type="dxa" w:w="2239"/>
            <w:vAlign w:val="center"/>
          </w:tcPr>
          <w:p>
            <w:pPr>
              <w:spacing w:after="0"/>
              <w:jc w:val="left"/>
            </w:pPr>
            <w:r/>
            <w:r>
              <w:rPr>
                <w:rFonts w:ascii="宋体" w:hAnsi="宋体" w:eastAsia="宋体"/>
                <w:b w:val="0"/>
                <w:sz w:val="22"/>
              </w:rPr>
            </w:r>
          </w:p>
        </w:tc>
      </w:tr>
      <w:tr>
        <w:tc>
          <w:tcPr>
            <w:tcW w:type="dxa" w:w="2239"/>
            <w:vAlign w:val="center"/>
          </w:tcPr>
          <w:p>
            <w:pPr>
              <w:spacing w:after="0"/>
              <w:jc w:val="left"/>
            </w:pPr>
            <w:r/>
            <w:r>
              <w:rPr>
                <w:rFonts w:ascii="宋体" w:hAnsi="宋体" w:eastAsia="宋体"/>
                <w:b/>
                <w:sz w:val="22"/>
              </w:rPr>
              <w:t>Content:</w:t>
            </w:r>
          </w:p>
        </w:tc>
        <w:tc>
          <w:tcPr>
            <w:tcW w:type="dxa" w:w="2239"/>
            <w:vAlign w:val="center"/>
          </w:tcPr>
          <w:p>
            <w:pPr>
              <w:spacing w:after="0"/>
              <w:jc w:val="left"/>
            </w:pPr>
            <w:r/>
            <w:r>
              <w:rPr>
                <w:rFonts w:ascii="宋体" w:hAnsi="宋体" w:eastAsia="宋体"/>
                <w:b w:val="0"/>
                <w:sz w:val="22"/>
              </w:rPr>
              <w:t>Course Report</w:t>
            </w:r>
          </w:p>
        </w:tc>
        <w:tc>
          <w:tcPr>
            <w:tcW w:type="dxa" w:w="2239"/>
            <w:vAlign w:val="center"/>
          </w:tcPr>
          <w:p>
            <w:pPr>
              <w:spacing w:after="0"/>
              <w:jc w:val="left"/>
            </w:pPr>
            <w:r/>
            <w:r>
              <w:rPr>
                <w:rFonts w:ascii="宋体" w:hAnsi="宋体" w:eastAsia="宋体"/>
                <w:b w:val="0"/>
                <w:sz w:val="22"/>
              </w:rPr>
            </w:r>
          </w:p>
        </w:tc>
        <w:tc>
          <w:tcPr>
            <w:tcW w:type="dxa" w:w="2239"/>
            <w:vAlign w:val="center"/>
          </w:tcPr>
          <w:p>
            <w:pPr>
              <w:spacing w:after="0"/>
              <w:jc w:val="left"/>
            </w:pPr>
            <w:r/>
            <w:r>
              <w:rPr>
                <w:rFonts w:ascii="宋体" w:hAnsi="宋体" w:eastAsia="宋体"/>
                <w:b w:val="0"/>
                <w:sz w:val="22"/>
              </w:rPr>
            </w:r>
          </w:p>
        </w:tc>
      </w:tr>
      <w:tr>
        <w:tc>
          <w:tcPr>
            <w:tcW w:type="dxa" w:w="2239"/>
            <w:vAlign w:val="center"/>
          </w:tcPr>
          <w:p>
            <w:pPr>
              <w:spacing w:after="0"/>
              <w:jc w:val="left"/>
            </w:pPr>
            <w:r/>
            <w:r>
              <w:rPr>
                <w:rFonts w:ascii="宋体" w:hAnsi="宋体" w:eastAsia="宋体"/>
                <w:b/>
                <w:sz w:val="22"/>
              </w:rPr>
              <w:t>Institution:</w:t>
            </w:r>
          </w:p>
        </w:tc>
        <w:tc>
          <w:tcPr>
            <w:tcW w:type="dxa" w:w="2239"/>
            <w:vAlign w:val="center"/>
          </w:tcPr>
          <w:p>
            <w:pPr>
              <w:spacing w:after="0"/>
              <w:jc w:val="left"/>
            </w:pPr>
            <w:r/>
            <w:r>
              <w:rPr>
                <w:rFonts w:ascii="宋体" w:hAnsi="宋体" w:eastAsia="宋体"/>
                <w:b w:val="0"/>
                <w:sz w:val="22"/>
              </w:rPr>
              <w:t>________________</w:t>
            </w:r>
          </w:p>
        </w:tc>
        <w:tc>
          <w:tcPr>
            <w:tcW w:type="dxa" w:w="2239"/>
            <w:vAlign w:val="center"/>
          </w:tcPr>
          <w:p>
            <w:pPr>
              <w:spacing w:after="0"/>
              <w:jc w:val="left"/>
            </w:pPr>
            <w:r/>
            <w:r>
              <w:rPr>
                <w:rFonts w:ascii="宋体" w:hAnsi="宋体" w:eastAsia="宋体"/>
                <w:b/>
                <w:sz w:val="22"/>
              </w:rPr>
              <w:t>Teacher:</w:t>
            </w:r>
          </w:p>
        </w:tc>
        <w:tc>
          <w:tcPr>
            <w:tcW w:type="dxa" w:w="2239"/>
            <w:vAlign w:val="center"/>
          </w:tcPr>
          <w:p>
            <w:pPr>
              <w:spacing w:after="0"/>
              <w:jc w:val="left"/>
            </w:pPr>
            <w:r/>
            <w:r>
              <w:rPr>
                <w:rFonts w:ascii="宋体" w:hAnsi="宋体" w:eastAsia="宋体"/>
                <w:b w:val="0"/>
                <w:sz w:val="22"/>
              </w:rPr>
              <w:t>Li Jie</w:t>
            </w:r>
          </w:p>
        </w:tc>
      </w:tr>
      <w:tr>
        <w:tc>
          <w:tcPr>
            <w:tcW w:type="dxa" w:w="2239"/>
            <w:vAlign w:val="center"/>
          </w:tcPr>
          <w:p>
            <w:pPr>
              <w:spacing w:after="0"/>
              <w:jc w:val="left"/>
            </w:pPr>
            <w:r/>
            <w:r>
              <w:rPr>
                <w:rFonts w:ascii="宋体" w:hAnsi="宋体" w:eastAsia="宋体"/>
                <w:b/>
                <w:sz w:val="22"/>
              </w:rPr>
              <w:t>Grade and major:</w:t>
            </w:r>
          </w:p>
        </w:tc>
        <w:tc>
          <w:tcPr>
            <w:tcW w:type="dxa" w:w="2239"/>
            <w:vAlign w:val="center"/>
          </w:tcPr>
          <w:p>
            <w:pPr>
              <w:spacing w:after="0"/>
              <w:jc w:val="left"/>
            </w:pPr>
            <w:r/>
            <w:r>
              <w:rPr>
                <w:rFonts w:ascii="宋体" w:hAnsi="宋体" w:eastAsia="宋体"/>
                <w:b w:val="0"/>
                <w:sz w:val="22"/>
              </w:rPr>
              <w:t>________________</w:t>
            </w:r>
          </w:p>
        </w:tc>
        <w:tc>
          <w:tcPr>
            <w:tcW w:type="dxa" w:w="2239"/>
            <w:vAlign w:val="center"/>
          </w:tcPr>
          <w:p>
            <w:pPr>
              <w:spacing w:after="0"/>
              <w:jc w:val="left"/>
            </w:pPr>
            <w:r/>
            <w:r>
              <w:rPr>
                <w:rFonts w:ascii="宋体" w:hAnsi="宋体" w:eastAsia="宋体"/>
                <w:b w:val="0"/>
                <w:sz w:val="22"/>
              </w:rPr>
            </w:r>
          </w:p>
        </w:tc>
        <w:tc>
          <w:tcPr>
            <w:tcW w:type="dxa" w:w="2239"/>
            <w:vAlign w:val="center"/>
          </w:tcPr>
          <w:p>
            <w:pPr>
              <w:spacing w:after="0"/>
              <w:jc w:val="left"/>
            </w:pPr>
            <w:r/>
            <w:r>
              <w:rPr>
                <w:rFonts w:ascii="宋体" w:hAnsi="宋体" w:eastAsia="宋体"/>
                <w:b w:val="0"/>
                <w:sz w:val="22"/>
              </w:rPr>
            </w:r>
          </w:p>
        </w:tc>
      </w:tr>
    </w:tbl>
    <w:p/>
    <w:p>
      <w:pPr>
        <w:spacing w:after="240"/>
        <w:jc w:val="center"/>
      </w:pPr>
      <w:r>
        <w:rPr>
          <w:rFonts w:ascii="宋体" w:hAnsi="宋体" w:eastAsia="宋体"/>
          <w:b/>
          <w:sz w:val="32"/>
        </w:rPr>
        <w:t>课程报告题目</w:t>
      </w:r>
    </w:p>
    <w:p>
      <w:pPr>
        <w:spacing w:after="600"/>
        <w:jc w:val="center"/>
      </w:pPr>
      <w:r>
        <w:rPr>
          <w:rFonts w:ascii="宋体" w:hAnsi="宋体" w:eastAsia="宋体"/>
          <w:b/>
          <w:sz w:val="27"/>
        </w:rPr>
        <w:t>《数字生活方式下的高风险识别、数字依赖预测与用户画像分析——基于 2025 Digital Lifestyle Benchmark 数据集的分类、回归与聚类研究》</w:t>
      </w:r>
    </w:p>
    <w:tbl>
      <w:tblPr>
        <w:tblW w:type="auto" w:w="0"/>
        <w:jc w:val="center"/>
        <w:tblLook w:firstColumn="1" w:firstRow="1" w:lastColumn="0" w:lastRow="0" w:noHBand="0" w:noVBand="1" w:val="04A0"/>
      </w:tblPr>
      <w:tblGrid>
        <w:gridCol w:w="4479"/>
        <w:gridCol w:w="4479"/>
      </w:tblGrid>
      <w:tr>
        <w:tc>
          <w:tcPr>
            <w:tcW w:type="dxa" w:w="4479"/>
            <w:vAlign w:val="center"/>
          </w:tcPr>
          <w:p>
            <w:pPr>
              <w:spacing w:after="0"/>
              <w:jc w:val="left"/>
            </w:pPr>
            <w:r/>
            <w:r>
              <w:rPr>
                <w:rFonts w:ascii="宋体" w:hAnsi="宋体" w:eastAsia="宋体"/>
                <w:b/>
                <w:sz w:val="24"/>
              </w:rPr>
              <w:t>学号：</w:t>
            </w:r>
          </w:p>
        </w:tc>
        <w:tc>
          <w:tcPr>
            <w:tcW w:type="dxa" w:w="4479"/>
            <w:vAlign w:val="center"/>
          </w:tcPr>
          <w:p>
            <w:pPr>
              <w:spacing w:after="0"/>
              <w:jc w:val="left"/>
            </w:pPr>
            <w:r/>
            <w:r>
              <w:rPr>
                <w:rFonts w:ascii="宋体" w:hAnsi="宋体" w:eastAsia="宋体"/>
                <w:b w:val="0"/>
                <w:sz w:val="24"/>
              </w:rPr>
              <w:t>____________________________</w:t>
            </w:r>
          </w:p>
        </w:tc>
      </w:tr>
      <w:tr>
        <w:tc>
          <w:tcPr>
            <w:tcW w:type="dxa" w:w="4479"/>
            <w:vAlign w:val="center"/>
          </w:tcPr>
          <w:p>
            <w:pPr>
              <w:spacing w:after="0"/>
              <w:jc w:val="left"/>
            </w:pPr>
            <w:r/>
            <w:r>
              <w:rPr>
                <w:rFonts w:ascii="宋体" w:hAnsi="宋体" w:eastAsia="宋体"/>
                <w:b/>
                <w:sz w:val="24"/>
              </w:rPr>
              <w:t>姓名：</w:t>
            </w:r>
          </w:p>
        </w:tc>
        <w:tc>
          <w:tcPr>
            <w:tcW w:type="dxa" w:w="4479"/>
            <w:vAlign w:val="center"/>
          </w:tcPr>
          <w:p>
            <w:pPr>
              <w:spacing w:after="0"/>
              <w:jc w:val="left"/>
            </w:pPr>
            <w:r/>
            <w:r>
              <w:rPr>
                <w:rFonts w:ascii="宋体" w:hAnsi="宋体" w:eastAsia="宋体"/>
                <w:b w:val="0"/>
                <w:sz w:val="24"/>
              </w:rPr>
              <w:t>____________________________</w:t>
            </w:r>
          </w:p>
        </w:tc>
      </w:tr>
      <w:tr>
        <w:tc>
          <w:tcPr>
            <w:tcW w:type="dxa" w:w="4479"/>
            <w:vAlign w:val="center"/>
          </w:tcPr>
          <w:p>
            <w:pPr>
              <w:spacing w:after="0"/>
              <w:jc w:val="left"/>
            </w:pPr>
            <w:r/>
            <w:r>
              <w:rPr>
                <w:rFonts w:ascii="宋体" w:hAnsi="宋体" w:eastAsia="宋体"/>
                <w:b/>
                <w:sz w:val="24"/>
              </w:rPr>
              <w:t>学院：</w:t>
            </w:r>
          </w:p>
        </w:tc>
        <w:tc>
          <w:tcPr>
            <w:tcW w:type="dxa" w:w="4479"/>
            <w:vAlign w:val="center"/>
          </w:tcPr>
          <w:p>
            <w:pPr>
              <w:spacing w:after="0"/>
              <w:jc w:val="left"/>
            </w:pPr>
            <w:r/>
            <w:r>
              <w:rPr>
                <w:rFonts w:ascii="宋体" w:hAnsi="宋体" w:eastAsia="宋体"/>
                <w:b w:val="0"/>
                <w:sz w:val="24"/>
              </w:rPr>
              <w:t>____________________________</w:t>
            </w:r>
          </w:p>
        </w:tc>
      </w:tr>
      <w:tr>
        <w:tc>
          <w:tcPr>
            <w:tcW w:type="dxa" w:w="4479"/>
            <w:vAlign w:val="center"/>
          </w:tcPr>
          <w:p>
            <w:pPr>
              <w:spacing w:after="0"/>
              <w:jc w:val="left"/>
            </w:pPr>
            <w:r/>
            <w:r>
              <w:rPr>
                <w:rFonts w:ascii="宋体" w:hAnsi="宋体" w:eastAsia="宋体"/>
                <w:b/>
                <w:sz w:val="24"/>
              </w:rPr>
              <w:t>专业年级：</w:t>
            </w:r>
          </w:p>
        </w:tc>
        <w:tc>
          <w:tcPr>
            <w:tcW w:type="dxa" w:w="4479"/>
            <w:vAlign w:val="center"/>
          </w:tcPr>
          <w:p>
            <w:pPr>
              <w:spacing w:after="0"/>
              <w:jc w:val="left"/>
            </w:pPr>
            <w:r/>
            <w:r>
              <w:rPr>
                <w:rFonts w:ascii="宋体" w:hAnsi="宋体" w:eastAsia="宋体"/>
                <w:b w:val="0"/>
                <w:sz w:val="24"/>
              </w:rPr>
              <w:t>____________________________</w:t>
            </w:r>
          </w:p>
        </w:tc>
      </w:tr>
      <w:tr>
        <w:tc>
          <w:tcPr>
            <w:tcW w:type="dxa" w:w="4479"/>
            <w:vAlign w:val="center"/>
          </w:tcPr>
          <w:p>
            <w:pPr>
              <w:spacing w:after="0"/>
              <w:jc w:val="left"/>
            </w:pPr>
            <w:r/>
            <w:r>
              <w:rPr>
                <w:rFonts w:ascii="宋体" w:hAnsi="宋体" w:eastAsia="宋体"/>
                <w:b/>
                <w:sz w:val="24"/>
              </w:rPr>
              <w:t>Institution:</w:t>
            </w:r>
          </w:p>
        </w:tc>
        <w:tc>
          <w:tcPr>
            <w:tcW w:type="dxa" w:w="4479"/>
            <w:vAlign w:val="center"/>
          </w:tcPr>
          <w:p>
            <w:pPr>
              <w:spacing w:after="0"/>
              <w:jc w:val="left"/>
            </w:pPr>
            <w:r/>
            <w:r>
              <w:rPr>
                <w:rFonts w:ascii="宋体" w:hAnsi="宋体" w:eastAsia="宋体"/>
                <w:b w:val="0"/>
                <w:sz w:val="24"/>
              </w:rPr>
              <w:t>____________________________</w:t>
            </w:r>
          </w:p>
        </w:tc>
      </w:tr>
      <w:tr>
        <w:tc>
          <w:tcPr>
            <w:tcW w:type="dxa" w:w="4479"/>
            <w:vAlign w:val="center"/>
          </w:tcPr>
          <w:p>
            <w:pPr>
              <w:spacing w:after="0"/>
              <w:jc w:val="left"/>
            </w:pPr>
            <w:r/>
            <w:r>
              <w:rPr>
                <w:rFonts w:ascii="宋体" w:hAnsi="宋体" w:eastAsia="宋体"/>
                <w:b/>
                <w:sz w:val="24"/>
              </w:rPr>
              <w:t>Grade and major:</w:t>
            </w:r>
          </w:p>
        </w:tc>
        <w:tc>
          <w:tcPr>
            <w:tcW w:type="dxa" w:w="4479"/>
            <w:vAlign w:val="center"/>
          </w:tcPr>
          <w:p>
            <w:pPr>
              <w:spacing w:after="0"/>
              <w:jc w:val="left"/>
            </w:pPr>
            <w:r/>
            <w:r>
              <w:rPr>
                <w:rFonts w:ascii="宋体" w:hAnsi="宋体" w:eastAsia="宋体"/>
                <w:b w:val="0"/>
                <w:sz w:val="24"/>
              </w:rPr>
              <w:t>____________________________</w:t>
            </w:r>
          </w:p>
        </w:tc>
      </w:tr>
    </w:tbl>
    <w:p/>
    <w:tbl>
      <w:tblPr>
        <w:tblW w:type="auto" w:w="0"/>
        <w:jc w:val="center"/>
        <w:tblLook w:firstColumn="1" w:firstRow="1" w:lastColumn="0" w:lastRow="0" w:noHBand="0" w:noVBand="1" w:val="04A0"/>
      </w:tblPr>
      <w:tblGrid>
        <w:gridCol w:w="2986"/>
        <w:gridCol w:w="2986"/>
        <w:gridCol w:w="2986"/>
      </w:tblGrid>
      <w:tr>
        <w:tc>
          <w:tcPr>
            <w:tcW w:type="dxa" w:w="2986"/>
            <w:vAlign w:val="center"/>
            <w:shd w:fill="F2F2F2"/>
          </w:tcPr>
          <w:p>
            <w:pPr>
              <w:spacing w:after="0"/>
              <w:jc w:val="center"/>
            </w:pPr>
            <w:r/>
            <w:r>
              <w:rPr>
                <w:rFonts w:ascii="宋体" w:hAnsi="宋体" w:eastAsia="宋体"/>
                <w:b/>
                <w:sz w:val="22"/>
              </w:rPr>
              <w:t>Teacher's comments</w:t>
            </w:r>
          </w:p>
        </w:tc>
        <w:tc>
          <w:tcPr>
            <w:tcW w:type="dxa" w:w="2986"/>
            <w:vAlign w:val="center"/>
            <w:shd w:fill="F2F2F2"/>
          </w:tcPr>
          <w:p>
            <w:pPr>
              <w:spacing w:after="0"/>
              <w:jc w:val="center"/>
            </w:pPr>
            <w:r/>
            <w:r>
              <w:rPr>
                <w:rFonts w:ascii="宋体" w:hAnsi="宋体" w:eastAsia="宋体"/>
                <w:b/>
                <w:sz w:val="22"/>
              </w:rPr>
              <w:t>Total score</w:t>
            </w:r>
          </w:p>
        </w:tc>
        <w:tc>
          <w:tcPr>
            <w:tcW w:type="dxa" w:w="2986"/>
            <w:vAlign w:val="center"/>
            <w:shd w:fill="F2F2F2"/>
          </w:tcPr>
          <w:p>
            <w:pPr>
              <w:spacing w:after="0"/>
              <w:jc w:val="center"/>
            </w:pPr>
            <w:r/>
            <w:r>
              <w:rPr>
                <w:rFonts w:ascii="宋体" w:hAnsi="宋体" w:eastAsia="宋体"/>
                <w:b/>
                <w:sz w:val="22"/>
              </w:rPr>
              <w:t>Grading teacher</w:t>
            </w:r>
          </w:p>
        </w:tc>
      </w:tr>
      <w:tr>
        <w:tc>
          <w:tcPr>
            <w:tcW w:type="dxa" w:w="2986"/>
            <w:vAlign w:val="center"/>
          </w:tcPr>
          <w:p>
            <w:pPr>
              <w:spacing w:after="0"/>
              <w:jc w:val="center"/>
            </w:pPr>
            <w:r/>
            <w:r>
              <w:rPr>
                <w:rFonts w:ascii="宋体" w:hAnsi="宋体" w:eastAsia="宋体"/>
                <w:b w:val="0"/>
                <w:sz w:val="22"/>
              </w:rPr>
              <w:t>________________</w:t>
            </w:r>
          </w:p>
        </w:tc>
        <w:tc>
          <w:tcPr>
            <w:tcW w:type="dxa" w:w="2986"/>
            <w:vAlign w:val="center"/>
          </w:tcPr>
          <w:p>
            <w:pPr>
              <w:spacing w:after="0"/>
              <w:jc w:val="center"/>
            </w:pPr>
            <w:r/>
            <w:r>
              <w:rPr>
                <w:rFonts w:ascii="宋体" w:hAnsi="宋体" w:eastAsia="宋体"/>
                <w:b w:val="0"/>
                <w:sz w:val="22"/>
              </w:rPr>
              <w:t>________________</w:t>
            </w:r>
          </w:p>
        </w:tc>
        <w:tc>
          <w:tcPr>
            <w:tcW w:type="dxa" w:w="2986"/>
            <w:vAlign w:val="center"/>
          </w:tcPr>
          <w:p>
            <w:pPr>
              <w:spacing w:after="0"/>
              <w:jc w:val="center"/>
            </w:pPr>
            <w:r/>
            <w:r>
              <w:rPr>
                <w:rFonts w:ascii="宋体" w:hAnsi="宋体" w:eastAsia="宋体"/>
                <w:b w:val="0"/>
                <w:sz w:val="22"/>
              </w:rPr>
              <w:t>________________</w:t>
            </w:r>
          </w:p>
        </w:tc>
      </w:tr>
    </w:tbl>
    <w:p/>
    <w:p>
      <w:pPr>
        <w:spacing w:after="0"/>
        <w:jc w:val="center"/>
      </w:pPr>
      <w:r>
        <w:rPr>
          <w:rFonts w:ascii="宋体" w:hAnsi="宋体" w:eastAsia="宋体"/>
          <w:b w:val="0"/>
          <w:sz w:val="24"/>
        </w:rPr>
        <w:t>湖北大学</w:t>
      </w:r>
    </w:p>
    <w:p>
      <w:r>
        <w:br w:type="page"/>
      </w:r>
    </w:p>
    <w:p>
      <w:pPr>
        <w:spacing w:after="240"/>
        <w:jc w:val="center"/>
      </w:pPr>
      <w:r>
        <w:rPr>
          <w:rFonts w:ascii="宋体" w:hAnsi="宋体" w:eastAsia="宋体"/>
          <w:b/>
          <w:sz w:val="32"/>
        </w:rPr>
        <w:t>摘 要</w:t>
      </w:r>
    </w:p>
    <w:p>
      <w:pPr>
        <w:spacing w:line="300" w:lineRule="auto" w:after="80"/>
        <w:ind w:firstLine="420"/>
      </w:pPr>
      <w:r>
        <w:rPr>
          <w:rFonts w:ascii="宋体" w:hAnsi="宋体" w:eastAsia="宋体"/>
          <w:sz w:val="21"/>
        </w:rPr>
        <w:t>本文按照《大数据分析与应用》课程考查报告评分标准，围绕数据集自主选取、自主选题、数据预处理、探索性分析、机器学习建模、报告代码组织和结论反思七个方面展开。研究基于 2025 Digital Lifestyle Benchmark Dataset，数据集包含 3500 条记录和 24 个字段，为 CSV 结构化表格数据，来源于 Hugging Face，能够支持分类、回归和聚类任务。该数据为合成教学与 benchmark 数据，本文所有结论仅用于课程建模训练和数字生活方式行为分析，不用于医学诊断、个体健康判断或自动化干预。</w:t>
      </w:r>
    </w:p>
    <w:p>
      <w:pPr>
        <w:spacing w:line="300" w:lineRule="auto" w:after="80"/>
        <w:ind w:firstLine="420"/>
      </w:pPr>
      <w:r>
        <w:rPr>
          <w:rFonts w:ascii="宋体" w:hAnsi="宋体" w:eastAsia="宋体"/>
          <w:sz w:val="21"/>
        </w:rPr>
        <w:t>本文的主题为“数字生活方式下的高风险识别、数字依赖预测与用户画像分析”。在数据预处理阶段，完成缺失值、重复值、id 重复、关键数值字段合理范围和工程特征生成检查；在特征筛选阶段，分类任务严格排除 anxiety_score、depression_score、stress_level、happiness_score、focus_score、productivity_score 和 digital_dependence_score 等 outcome 字段，回归和聚类任务也分别控制目标泄漏和输入范围。探索性分析从目标变量分布、数值变量相关性、风险组差异、类别变量风险率和行为变量关系等角度展开。</w:t>
      </w:r>
    </w:p>
    <w:p>
      <w:pPr>
        <w:spacing w:line="300" w:lineRule="auto" w:after="80"/>
        <w:ind w:firstLine="420"/>
      </w:pPr>
      <w:r>
        <w:rPr>
          <w:rFonts w:ascii="宋体" w:hAnsi="宋体" w:eastAsia="宋体"/>
          <w:sz w:val="21"/>
        </w:rPr>
        <w:t>已有实验结果显示，分类任务最终采用 Gradient Boosting，并选择 threshold=0.14 的偏召回筛查策略，测试集 Recall=0.6420、F1=0.5355、PR-AUC=0.5084；回归任务以 digital_dependence_score 为主线，最佳模型测试集 R²=0.9839、MSE=3.1471、MAE=0.9982，而 productivity_score 的 R²=-0.0041，作为弱预测/负结果分析；聚类任务在数字行为与生活习惯数值特征上比较 KMeans、层次聚类和 GaussianMixture，最终采用 KMeans k=3，Silhouette=0.1860，仅作为探索性用户画像。</w:t>
      </w:r>
    </w:p>
    <w:p>
      <w:pPr>
        <w:ind w:firstLine="0"/>
      </w:pPr>
      <w:r>
        <w:rPr>
          <w:rFonts w:ascii="宋体" w:hAnsi="宋体" w:eastAsia="宋体"/>
          <w:b/>
          <w:sz w:val="21"/>
        </w:rPr>
        <w:t>关键词：</w:t>
      </w:r>
      <w:r>
        <w:rPr>
          <w:rFonts w:ascii="宋体" w:hAnsi="宋体" w:eastAsia="宋体"/>
          <w:sz w:val="21"/>
        </w:rPr>
        <w:t>数字生活方式；高风险识别；数字依赖预测；机器学习；聚类画像；大数据分析</w:t>
      </w:r>
    </w:p>
    <w:p>
      <w:r>
        <w:br w:type="page"/>
      </w:r>
    </w:p>
    <w:p>
      <w:pPr>
        <w:spacing w:after="240"/>
        <w:jc w:val="center"/>
      </w:pPr>
      <w:r>
        <w:rPr>
          <w:rFonts w:ascii="宋体" w:hAnsi="宋体" w:eastAsia="宋体"/>
          <w:b/>
          <w:sz w:val="32"/>
        </w:rPr>
        <w:t>目 录</w:t>
      </w:r>
    </w:p>
    <w:p>
      <w:pPr>
        <w:spacing w:after="40"/>
      </w:pPr>
      <w:r>
        <w:rPr>
          <w:rFonts w:ascii="宋体" w:hAnsi="宋体" w:eastAsia="宋体"/>
          <w:b/>
          <w:sz w:val="21"/>
        </w:rPr>
        <w:t>第1章 数据集自主选取</w:t>
      </w:r>
    </w:p>
    <w:p>
      <w:pPr>
        <w:spacing w:after="20"/>
        <w:ind w:left="420"/>
      </w:pPr>
      <w:r>
        <w:rPr>
          <w:rFonts w:ascii="宋体" w:hAnsi="宋体" w:eastAsia="宋体"/>
          <w:sz w:val="20"/>
        </w:rPr>
        <w:t>1.1 课程数据集要求说明</w:t>
      </w:r>
    </w:p>
    <w:p>
      <w:pPr>
        <w:spacing w:after="20"/>
        <w:ind w:left="420"/>
      </w:pPr>
      <w:r>
        <w:rPr>
          <w:rFonts w:ascii="宋体" w:hAnsi="宋体" w:eastAsia="宋体"/>
          <w:sz w:val="20"/>
        </w:rPr>
        <w:t>1.2 候选数据集比较与 pfm 数据集弃用原因</w:t>
      </w:r>
    </w:p>
    <w:p>
      <w:pPr>
        <w:spacing w:after="20"/>
        <w:ind w:left="420"/>
      </w:pPr>
      <w:r>
        <w:rPr>
          <w:rFonts w:ascii="宋体" w:hAnsi="宋体" w:eastAsia="宋体"/>
          <w:sz w:val="20"/>
        </w:rPr>
        <w:t>1.3 最终数据集来源与合规性检查</w:t>
      </w:r>
    </w:p>
    <w:p>
      <w:pPr>
        <w:spacing w:after="20"/>
        <w:ind w:left="420"/>
      </w:pPr>
      <w:r>
        <w:rPr>
          <w:rFonts w:ascii="宋体" w:hAnsi="宋体" w:eastAsia="宋体"/>
          <w:sz w:val="20"/>
        </w:rPr>
        <w:t>1.4 数据字段、样本规模与任务支持情况</w:t>
      </w:r>
    </w:p>
    <w:p>
      <w:pPr>
        <w:spacing w:after="40"/>
      </w:pPr>
      <w:r>
        <w:rPr>
          <w:rFonts w:ascii="宋体" w:hAnsi="宋体" w:eastAsia="宋体"/>
          <w:b/>
          <w:sz w:val="21"/>
        </w:rPr>
        <w:t>第2章 自主选题与分析视角</w:t>
      </w:r>
    </w:p>
    <w:p>
      <w:pPr>
        <w:spacing w:after="20"/>
        <w:ind w:left="420"/>
      </w:pPr>
      <w:r>
        <w:rPr>
          <w:rFonts w:ascii="宋体" w:hAnsi="宋体" w:eastAsia="宋体"/>
          <w:sz w:val="20"/>
        </w:rPr>
        <w:t>2.1 业务背景与问题来源</w:t>
      </w:r>
    </w:p>
    <w:p>
      <w:pPr>
        <w:spacing w:after="20"/>
        <w:ind w:left="420"/>
      </w:pPr>
      <w:r>
        <w:rPr>
          <w:rFonts w:ascii="宋体" w:hAnsi="宋体" w:eastAsia="宋体"/>
          <w:sz w:val="20"/>
        </w:rPr>
        <w:t>2.2 报告题目与研究目标</w:t>
      </w:r>
    </w:p>
    <w:p>
      <w:pPr>
        <w:spacing w:after="20"/>
        <w:ind w:left="420"/>
      </w:pPr>
      <w:r>
        <w:rPr>
          <w:rFonts w:ascii="宋体" w:hAnsi="宋体" w:eastAsia="宋体"/>
          <w:sz w:val="20"/>
        </w:rPr>
        <w:t>2.3 分析视角与研究问题</w:t>
      </w:r>
    </w:p>
    <w:p>
      <w:pPr>
        <w:spacing w:after="20"/>
        <w:ind w:left="420"/>
      </w:pPr>
      <w:r>
        <w:rPr>
          <w:rFonts w:ascii="宋体" w:hAnsi="宋体" w:eastAsia="宋体"/>
          <w:sz w:val="20"/>
        </w:rPr>
        <w:t>2.4 本文主要工作与技术路线</w:t>
      </w:r>
    </w:p>
    <w:p>
      <w:pPr>
        <w:spacing w:after="40"/>
      </w:pPr>
      <w:r>
        <w:rPr>
          <w:rFonts w:ascii="宋体" w:hAnsi="宋体" w:eastAsia="宋体"/>
          <w:b/>
          <w:sz w:val="21"/>
        </w:rPr>
        <w:t>第3章 数据预处理</w:t>
      </w:r>
    </w:p>
    <w:p>
      <w:pPr>
        <w:spacing w:after="20"/>
        <w:ind w:left="420"/>
      </w:pPr>
      <w:r>
        <w:rPr>
          <w:rFonts w:ascii="宋体" w:hAnsi="宋体" w:eastAsia="宋体"/>
          <w:sz w:val="20"/>
        </w:rPr>
        <w:t>3.1 原始数据读取与字段检查</w:t>
      </w:r>
    </w:p>
    <w:p>
      <w:pPr>
        <w:spacing w:after="20"/>
        <w:ind w:left="420"/>
      </w:pPr>
      <w:r>
        <w:rPr>
          <w:rFonts w:ascii="宋体" w:hAnsi="宋体" w:eastAsia="宋体"/>
          <w:sz w:val="20"/>
        </w:rPr>
        <w:t>3.2 缺失值、重复值与异常值检查</w:t>
      </w:r>
    </w:p>
    <w:p>
      <w:pPr>
        <w:spacing w:after="20"/>
        <w:ind w:left="420"/>
      </w:pPr>
      <w:r>
        <w:rPr>
          <w:rFonts w:ascii="宋体" w:hAnsi="宋体" w:eastAsia="宋体"/>
          <w:sz w:val="20"/>
        </w:rPr>
        <w:t>3.3 数据合理性校验</w:t>
      </w:r>
    </w:p>
    <w:p>
      <w:pPr>
        <w:spacing w:after="20"/>
        <w:ind w:left="420"/>
      </w:pPr>
      <w:r>
        <w:rPr>
          <w:rFonts w:ascii="宋体" w:hAnsi="宋体" w:eastAsia="宋体"/>
          <w:sz w:val="20"/>
        </w:rPr>
        <w:t>3.4 特征工程与特征提取</w:t>
      </w:r>
    </w:p>
    <w:p>
      <w:pPr>
        <w:spacing w:after="20"/>
        <w:ind w:left="420"/>
      </w:pPr>
      <w:r>
        <w:rPr>
          <w:rFonts w:ascii="宋体" w:hAnsi="宋体" w:eastAsia="宋体"/>
          <w:sz w:val="20"/>
        </w:rPr>
        <w:t>3.5 PCA 降维扩展与 LCA/GMM 说明</w:t>
      </w:r>
    </w:p>
    <w:p>
      <w:pPr>
        <w:spacing w:after="20"/>
        <w:ind w:left="420"/>
      </w:pPr>
      <w:r>
        <w:rPr>
          <w:rFonts w:ascii="宋体" w:hAnsi="宋体" w:eastAsia="宋体"/>
          <w:sz w:val="20"/>
        </w:rPr>
        <w:t>3.6 特征筛选与目标泄漏控制</w:t>
      </w:r>
    </w:p>
    <w:p>
      <w:pPr>
        <w:spacing w:after="20"/>
        <w:ind w:left="420"/>
      </w:pPr>
      <w:r>
        <w:rPr>
          <w:rFonts w:ascii="宋体" w:hAnsi="宋体" w:eastAsia="宋体"/>
          <w:sz w:val="20"/>
        </w:rPr>
        <w:t>3.7 预处理结果小结</w:t>
      </w:r>
    </w:p>
    <w:p>
      <w:pPr>
        <w:spacing w:after="40"/>
      </w:pPr>
      <w:r>
        <w:rPr>
          <w:rFonts w:ascii="宋体" w:hAnsi="宋体" w:eastAsia="宋体"/>
          <w:b/>
          <w:sz w:val="21"/>
        </w:rPr>
        <w:t>第4章 探索性分析与数据可视化</w:t>
      </w:r>
    </w:p>
    <w:p>
      <w:pPr>
        <w:spacing w:after="20"/>
        <w:ind w:left="420"/>
      </w:pPr>
      <w:r>
        <w:rPr>
          <w:rFonts w:ascii="宋体" w:hAnsi="宋体" w:eastAsia="宋体"/>
          <w:sz w:val="20"/>
        </w:rPr>
        <w:t>4.1 描述性统计分析</w:t>
      </w:r>
    </w:p>
    <w:p>
      <w:pPr>
        <w:spacing w:after="20"/>
        <w:ind w:left="420"/>
      </w:pPr>
      <w:r>
        <w:rPr>
          <w:rFonts w:ascii="宋体" w:hAnsi="宋体" w:eastAsia="宋体"/>
          <w:sz w:val="20"/>
        </w:rPr>
        <w:t>4.2 目标变量分布分析</w:t>
      </w:r>
    </w:p>
    <w:p>
      <w:pPr>
        <w:spacing w:after="20"/>
        <w:ind w:left="420"/>
      </w:pPr>
      <w:r>
        <w:rPr>
          <w:rFonts w:ascii="宋体" w:hAnsi="宋体" w:eastAsia="宋体"/>
          <w:sz w:val="20"/>
        </w:rPr>
        <w:t>4.3 数值变量分布与相关性分析</w:t>
      </w:r>
    </w:p>
    <w:p>
      <w:pPr>
        <w:spacing w:after="20"/>
        <w:ind w:left="420"/>
      </w:pPr>
      <w:r>
        <w:rPr>
          <w:rFonts w:ascii="宋体" w:hAnsi="宋体" w:eastAsia="宋体"/>
          <w:sz w:val="20"/>
        </w:rPr>
        <w:t>4.4 高风险组与非高风险组差异分析</w:t>
      </w:r>
    </w:p>
    <w:p>
      <w:pPr>
        <w:spacing w:after="20"/>
        <w:ind w:left="420"/>
      </w:pPr>
      <w:r>
        <w:rPr>
          <w:rFonts w:ascii="宋体" w:hAnsi="宋体" w:eastAsia="宋体"/>
          <w:sz w:val="20"/>
        </w:rPr>
        <w:t>4.5 类别变量风险率分析</w:t>
      </w:r>
    </w:p>
    <w:p>
      <w:pPr>
        <w:spacing w:after="20"/>
        <w:ind w:left="420"/>
      </w:pPr>
      <w:r>
        <w:rPr>
          <w:rFonts w:ascii="宋体" w:hAnsi="宋体" w:eastAsia="宋体"/>
          <w:sz w:val="20"/>
        </w:rPr>
        <w:t>4.6 行为变量与结果变量关系分析</w:t>
      </w:r>
    </w:p>
    <w:p>
      <w:pPr>
        <w:spacing w:after="20"/>
        <w:ind w:left="420"/>
      </w:pPr>
      <w:r>
        <w:rPr>
          <w:rFonts w:ascii="宋体" w:hAnsi="宋体" w:eastAsia="宋体"/>
          <w:sz w:val="20"/>
        </w:rPr>
        <w:t>4.7 EDA 结论小结</w:t>
      </w:r>
    </w:p>
    <w:p>
      <w:pPr>
        <w:spacing w:after="40"/>
      </w:pPr>
      <w:r>
        <w:rPr>
          <w:rFonts w:ascii="宋体" w:hAnsi="宋体" w:eastAsia="宋体"/>
          <w:b/>
          <w:sz w:val="21"/>
        </w:rPr>
        <w:t>第5章 机器学习建模、调参与模型评估</w:t>
      </w:r>
    </w:p>
    <w:p>
      <w:pPr>
        <w:spacing w:after="20"/>
        <w:ind w:left="420"/>
      </w:pPr>
      <w:r>
        <w:rPr>
          <w:rFonts w:ascii="宋体" w:hAnsi="宋体" w:eastAsia="宋体"/>
          <w:sz w:val="20"/>
        </w:rPr>
        <w:t>5.1 实验设置与评价指标</w:t>
      </w:r>
    </w:p>
    <w:p>
      <w:pPr>
        <w:spacing w:after="20"/>
        <w:ind w:left="420"/>
      </w:pPr>
      <w:r>
        <w:rPr>
          <w:rFonts w:ascii="宋体" w:hAnsi="宋体" w:eastAsia="宋体"/>
          <w:sz w:val="20"/>
        </w:rPr>
        <w:t>5.2 分类任务：高风险数字生活方式筛查</w:t>
      </w:r>
    </w:p>
    <w:p>
      <w:pPr>
        <w:spacing w:after="20"/>
        <w:ind w:left="420"/>
      </w:pPr>
      <w:r>
        <w:rPr>
          <w:rFonts w:ascii="宋体" w:hAnsi="宋体" w:eastAsia="宋体"/>
          <w:sz w:val="20"/>
        </w:rPr>
        <w:t>5.3 回归任务：数字依赖预测与生产力弱预测</w:t>
      </w:r>
    </w:p>
    <w:p>
      <w:pPr>
        <w:spacing w:after="20"/>
        <w:ind w:left="420"/>
      </w:pPr>
      <w:r>
        <w:rPr>
          <w:rFonts w:ascii="宋体" w:hAnsi="宋体" w:eastAsia="宋体"/>
          <w:sz w:val="20"/>
        </w:rPr>
        <w:t>5.4 聚类任务：数字生活方式用户画像</w:t>
      </w:r>
    </w:p>
    <w:p>
      <w:pPr>
        <w:spacing w:after="20"/>
        <w:ind w:left="420"/>
      </w:pPr>
      <w:r>
        <w:rPr>
          <w:rFonts w:ascii="宋体" w:hAnsi="宋体" w:eastAsia="宋体"/>
          <w:sz w:val="20"/>
        </w:rPr>
        <w:t>5.5 模型结果综合分析</w:t>
      </w:r>
    </w:p>
    <w:p>
      <w:pPr>
        <w:spacing w:after="20"/>
        <w:ind w:left="420"/>
      </w:pPr>
      <w:r>
        <w:rPr>
          <w:rFonts w:ascii="宋体" w:hAnsi="宋体" w:eastAsia="宋体"/>
          <w:sz w:val="20"/>
        </w:rPr>
        <w:t>5.6 业务场景解释与结果边界</w:t>
      </w:r>
    </w:p>
    <w:p>
      <w:pPr>
        <w:spacing w:after="40"/>
      </w:pPr>
      <w:r>
        <w:rPr>
          <w:rFonts w:ascii="宋体" w:hAnsi="宋体" w:eastAsia="宋体"/>
          <w:b/>
          <w:sz w:val="21"/>
        </w:rPr>
        <w:t>第6章 报告架构与代码规范呈现</w:t>
      </w:r>
    </w:p>
    <w:p>
      <w:pPr>
        <w:spacing w:after="20"/>
        <w:ind w:left="420"/>
      </w:pPr>
      <w:r>
        <w:rPr>
          <w:rFonts w:ascii="宋体" w:hAnsi="宋体" w:eastAsia="宋体"/>
          <w:sz w:val="20"/>
        </w:rPr>
        <w:t>6.1 项目目录与工程结构</w:t>
      </w:r>
    </w:p>
    <w:p>
      <w:pPr>
        <w:spacing w:after="20"/>
        <w:ind w:left="420"/>
      </w:pPr>
      <w:r>
        <w:rPr>
          <w:rFonts w:ascii="宋体" w:hAnsi="宋体" w:eastAsia="宋体"/>
          <w:sz w:val="20"/>
        </w:rPr>
        <w:t>6.2 Notebook 与 Python 源码组织</w:t>
      </w:r>
    </w:p>
    <w:p>
      <w:pPr>
        <w:spacing w:after="20"/>
        <w:ind w:left="420"/>
      </w:pPr>
      <w:r>
        <w:rPr>
          <w:rFonts w:ascii="宋体" w:hAnsi="宋体" w:eastAsia="宋体"/>
          <w:sz w:val="20"/>
        </w:rPr>
        <w:t>6.3 核心代码片段与说明</w:t>
      </w:r>
    </w:p>
    <w:p>
      <w:pPr>
        <w:spacing w:after="20"/>
        <w:ind w:left="420"/>
      </w:pPr>
      <w:r>
        <w:rPr>
          <w:rFonts w:ascii="宋体" w:hAnsi="宋体" w:eastAsia="宋体"/>
          <w:sz w:val="20"/>
        </w:rPr>
        <w:t>6.4 图表、结果文件与复现说明</w:t>
      </w:r>
    </w:p>
    <w:p>
      <w:pPr>
        <w:spacing w:after="20"/>
        <w:ind w:left="420"/>
      </w:pPr>
      <w:r>
        <w:rPr>
          <w:rFonts w:ascii="宋体" w:hAnsi="宋体" w:eastAsia="宋体"/>
          <w:sz w:val="20"/>
        </w:rPr>
        <w:t>6.5 完整代码附录说明</w:t>
      </w:r>
    </w:p>
    <w:p>
      <w:pPr>
        <w:spacing w:after="40"/>
      </w:pPr>
      <w:r>
        <w:rPr>
          <w:rFonts w:ascii="宋体" w:hAnsi="宋体" w:eastAsia="宋体"/>
          <w:b/>
          <w:sz w:val="21"/>
        </w:rPr>
        <w:t>第7章 实验结论与个人反思</w:t>
      </w:r>
    </w:p>
    <w:p>
      <w:pPr>
        <w:spacing w:after="20"/>
        <w:ind w:left="420"/>
      </w:pPr>
      <w:r>
        <w:rPr>
          <w:rFonts w:ascii="宋体" w:hAnsi="宋体" w:eastAsia="宋体"/>
          <w:sz w:val="20"/>
        </w:rPr>
        <w:t>7.1 核心实验结论</w:t>
      </w:r>
    </w:p>
    <w:p>
      <w:pPr>
        <w:spacing w:after="20"/>
        <w:ind w:left="420"/>
      </w:pPr>
      <w:r>
        <w:rPr>
          <w:rFonts w:ascii="宋体" w:hAnsi="宋体" w:eastAsia="宋体"/>
          <w:sz w:val="20"/>
        </w:rPr>
        <w:t>7.2 数据规律与应用价值</w:t>
      </w:r>
    </w:p>
    <w:p>
      <w:pPr>
        <w:spacing w:after="20"/>
        <w:ind w:left="420"/>
      </w:pPr>
      <w:r>
        <w:rPr>
          <w:rFonts w:ascii="宋体" w:hAnsi="宋体" w:eastAsia="宋体"/>
          <w:sz w:val="20"/>
        </w:rPr>
        <w:t>7.3 模型优点、不足与局限性</w:t>
      </w:r>
    </w:p>
    <w:p>
      <w:pPr>
        <w:spacing w:after="20"/>
        <w:ind w:left="420"/>
      </w:pPr>
      <w:r>
        <w:rPr>
          <w:rFonts w:ascii="宋体" w:hAnsi="宋体" w:eastAsia="宋体"/>
          <w:sz w:val="20"/>
        </w:rPr>
        <w:t>7.4 后续改进方向</w:t>
      </w:r>
    </w:p>
    <w:p>
      <w:pPr>
        <w:spacing w:after="20"/>
        <w:ind w:left="420"/>
      </w:pPr>
      <w:r>
        <w:rPr>
          <w:rFonts w:ascii="宋体" w:hAnsi="宋体" w:eastAsia="宋体"/>
          <w:sz w:val="20"/>
        </w:rPr>
        <w:t>7.5 课程学习反思</w:t>
      </w:r>
    </w:p>
    <w:p>
      <w:pPr>
        <w:spacing w:after="40"/>
      </w:pPr>
      <w:r>
        <w:rPr>
          <w:rFonts w:ascii="宋体" w:hAnsi="宋体" w:eastAsia="宋体"/>
          <w:b/>
          <w:sz w:val="21"/>
        </w:rPr>
        <w:t>参考文献</w:t>
      </w:r>
    </w:p>
    <w:p>
      <w:pPr>
        <w:spacing w:after="40"/>
      </w:pPr>
      <w:r>
        <w:rPr>
          <w:rFonts w:ascii="宋体" w:hAnsi="宋体" w:eastAsia="宋体"/>
          <w:b/>
          <w:sz w:val="21"/>
        </w:rPr>
        <w:t>附录A 核心代码</w:t>
      </w:r>
    </w:p>
    <w:p>
      <w:pPr>
        <w:spacing w:after="40"/>
      </w:pPr>
      <w:r>
        <w:rPr>
          <w:rFonts w:ascii="宋体" w:hAnsi="宋体" w:eastAsia="宋体"/>
          <w:b/>
          <w:sz w:val="21"/>
        </w:rPr>
        <w:t>附录B 完整实验运行说明</w:t>
      </w:r>
    </w:p>
    <w:p>
      <w:pPr>
        <w:spacing w:after="40"/>
      </w:pPr>
      <w:r>
        <w:rPr>
          <w:rFonts w:ascii="宋体" w:hAnsi="宋体" w:eastAsia="宋体"/>
          <w:b/>
          <w:sz w:val="21"/>
        </w:rPr>
        <w:t>附录C 结果文件与图表清单</w:t>
      </w:r>
    </w:p>
    <w:p>
      <w:pPr>
        <w:spacing w:after="40"/>
      </w:pPr>
      <w:r>
        <w:rPr>
          <w:rFonts w:ascii="宋体" w:hAnsi="宋体" w:eastAsia="宋体"/>
          <w:b/>
          <w:sz w:val="21"/>
        </w:rPr>
        <w:t>附录D 个人完成情况与独立性说明</w:t>
      </w:r>
    </w:p>
    <w:p>
      <w:r>
        <w:br w:type="page"/>
      </w:r>
    </w:p>
    <w:p>
      <w:r>
        <w:br w:type="page"/>
      </w:r>
    </w:p>
    <w:p>
      <w:pPr>
        <w:pStyle w:val="Heading1"/>
        <w:jc w:val="center"/>
      </w:pPr>
      <w:r>
        <w:rPr>
          <w:rFonts w:ascii="黑体" w:hAnsi="黑体" w:eastAsia="黑体"/>
          <w:b/>
          <w:sz w:val="32"/>
        </w:rPr>
        <w:t>第1章 数据集自主选取</w:t>
      </w:r>
    </w:p>
    <w:p>
      <w:pPr>
        <w:pStyle w:val="Heading2"/>
      </w:pPr>
      <w:r>
        <w:rPr>
          <w:rFonts w:ascii="黑体" w:hAnsi="黑体" w:eastAsia="黑体"/>
          <w:b/>
          <w:sz w:val="26"/>
        </w:rPr>
        <w:t>课程数据集要求说明</w:t>
      </w:r>
    </w:p>
    <w:p>
      <w:pPr>
        <w:spacing w:line="300" w:lineRule="auto" w:after="80"/>
        <w:ind w:firstLine="420"/>
      </w:pPr>
      <w:r>
        <w:rPr>
          <w:rFonts w:ascii="宋体" w:hAnsi="宋体" w:eastAsia="宋体"/>
          <w:sz w:val="21"/>
        </w:rPr>
        <w:t>本章对应课程评分标准中的“数据集自主选取”。根据课程考查要求，最终报告数据集需要满足以下条件：第一，数据来源应来自 Kaggle、Hugging Face、阿里天池、和鲸或 OpenML 等公开平台；第二，发布时间或更新年份应为 2024-2025 年；第三，数据格式应为 CSV 结构化表格数据；第四，样本量不少于 1000 行；第五，有效特征不少于 8 个；第六，数据应天然支持回归、分类、聚类中至少两类机器学习任务。</w:t>
      </w:r>
    </w:p>
    <w:p>
      <w:pPr>
        <w:spacing w:line="300" w:lineRule="auto" w:after="80"/>
        <w:ind w:firstLine="420"/>
      </w:pPr>
      <w:r>
        <w:rPr>
          <w:rFonts w:ascii="宋体" w:hAnsi="宋体" w:eastAsia="宋体"/>
          <w:sz w:val="21"/>
        </w:rPr>
        <w:t>这些要求的目的，是避免直接复用课堂小样例或来源不明数据，使课程报告能够体现自主选题、自主数据筛选和完整建模流程。本文后续所有实验均围绕最终选定的数据集展开，不再使用旧实验中的数据作为主数据集。</w:t>
      </w:r>
    </w:p>
    <w:p>
      <w:pPr>
        <w:pStyle w:val="Heading2"/>
      </w:pPr>
      <w:r>
        <w:rPr>
          <w:rFonts w:ascii="黑体" w:hAnsi="黑体" w:eastAsia="黑体"/>
          <w:b/>
          <w:sz w:val="26"/>
        </w:rPr>
        <w:t>候选数据集比较与 pfm 数据集弃用原因</w:t>
      </w:r>
    </w:p>
    <w:p>
      <w:pPr>
        <w:spacing w:line="300" w:lineRule="auto" w:after="80"/>
        <w:ind w:firstLine="420"/>
      </w:pPr>
      <w:r>
        <w:rPr>
          <w:rFonts w:ascii="宋体" w:hAnsi="宋体" w:eastAsia="宋体"/>
          <w:sz w:val="21"/>
        </w:rPr>
        <w:t>在候选数据比较阶段，曾考虑过 pfm_train.csv 和 pfm_test.csv。该数据集适合员工离职预测等分类任务，但不作为本报告主数据集，主要原因包括：来源平台和发布/更新时间不如当前数据集稳定；主题与已有实验三员工离职预测高度相似，容易导致最终报告与旧实验报告雷同；该数据主要天然支持分类任务，回归任务设计不够自然；从课程期末考查角度看，继续使用该类数据难以体现新的分析视角。</w:t>
      </w:r>
    </w:p>
    <w:p>
      <w:pPr>
        <w:spacing w:line="300" w:lineRule="auto" w:after="80"/>
        <w:ind w:firstLine="420"/>
      </w:pPr>
      <w:r>
        <w:rPr>
          <w:rFonts w:ascii="宋体" w:hAnsi="宋体" w:eastAsia="宋体"/>
          <w:sz w:val="21"/>
        </w:rPr>
        <w:t>因此，本文最终选择与数字生活方式相关的 2025 Digital Lifestyle Benchmark Dataset。该数据集围绕设备使用、社交媒体、通知、睡眠、学习、活动、风险标记、生产力得分和数字依赖得分展开，既能支持分类和回归，也适合进行聚类画像分析。</w:t>
      </w:r>
    </w:p>
    <w:p>
      <w:pPr>
        <w:pStyle w:val="Heading2"/>
      </w:pPr>
      <w:r>
        <w:rPr>
          <w:rFonts w:ascii="黑体" w:hAnsi="黑体" w:eastAsia="黑体"/>
          <w:b/>
          <w:sz w:val="26"/>
        </w:rPr>
        <w:t>最终数据集来源与合规性检查</w:t>
      </w:r>
    </w:p>
    <w:p>
      <w:pPr>
        <w:spacing w:line="300" w:lineRule="auto" w:after="80"/>
        <w:ind w:firstLine="420"/>
      </w:pPr>
      <w:r>
        <w:rPr>
          <w:rFonts w:ascii="宋体" w:hAnsi="宋体" w:eastAsia="宋体"/>
          <w:sz w:val="21"/>
        </w:rPr>
        <w:t>最终数据集为 Digital Lifestyle Benchmark Dataset (2025)，来源于 Hugging Face。表 tab:dataset-compliance 按课程要求逐项列出合规性检查结果。可以看到，该数据集在来源平台、年份、CSV 格式、样本量、字段数量和任务支持方面均满足课程要求。</w:t>
      </w:r>
    </w:p>
    <w:p>
      <w:pPr>
        <w:jc w:val="center"/>
      </w:pPr>
      <w:r>
        <w:rPr>
          <w:rFonts w:ascii="宋体" w:hAnsi="宋体" w:eastAsia="宋体"/>
          <w:b/>
          <w:sz w:val="21"/>
        </w:rPr>
        <w:t>表 1-1 最终数据集与课程要求逐项对照</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86"/>
        <w:gridCol w:w="2986"/>
        <w:gridCol w:w="2986"/>
      </w:tblGrid>
      <w:tr>
        <w:tc>
          <w:tcPr>
            <w:tcW w:type="dxa" w:w="2986"/>
            <w:vAlign w:val="center"/>
            <w:shd w:fill="EAF2F8"/>
          </w:tcPr>
          <w:p>
            <w:pPr>
              <w:spacing w:after="0"/>
              <w:jc w:val="center"/>
            </w:pPr>
            <w:r/>
            <w:r>
              <w:rPr>
                <w:rFonts w:ascii="宋体" w:hAnsi="宋体" w:eastAsia="宋体"/>
                <w:b/>
                <w:sz w:val="19"/>
              </w:rPr>
              <w:t>p0.44p0.16 课程要求</w:t>
            </w:r>
          </w:p>
        </w:tc>
        <w:tc>
          <w:tcPr>
            <w:tcW w:type="dxa" w:w="2986"/>
            <w:vAlign w:val="center"/>
            <w:shd w:fill="EAF2F8"/>
          </w:tcPr>
          <w:p>
            <w:pPr>
              <w:spacing w:after="0"/>
              <w:jc w:val="center"/>
            </w:pPr>
            <w:r/>
            <w:r>
              <w:rPr>
                <w:rFonts w:ascii="宋体" w:hAnsi="宋体" w:eastAsia="宋体"/>
                <w:b/>
                <w:sz w:val="19"/>
              </w:rPr>
              <w:t>Digital Lifestyle Benchmark Dataset (2025) 情况</w:t>
            </w:r>
          </w:p>
        </w:tc>
        <w:tc>
          <w:tcPr>
            <w:tcW w:type="dxa" w:w="2986"/>
            <w:vAlign w:val="center"/>
            <w:shd w:fill="EAF2F8"/>
          </w:tcPr>
          <w:p>
            <w:pPr>
              <w:spacing w:after="0"/>
              <w:jc w:val="center"/>
            </w:pPr>
            <w:r/>
            <w:r>
              <w:rPr>
                <w:rFonts w:ascii="宋体" w:hAnsi="宋体" w:eastAsia="宋体"/>
                <w:b/>
                <w:sz w:val="19"/>
              </w:rPr>
              <w:t>是否满足</w:t>
            </w:r>
          </w:p>
        </w:tc>
      </w:tr>
      <w:tr>
        <w:tc>
          <w:tcPr>
            <w:tcW w:type="dxa" w:w="2986"/>
            <w:vAlign w:val="center"/>
          </w:tcPr>
          <w:p>
            <w:pPr>
              <w:spacing w:after="0"/>
              <w:jc w:val="center"/>
            </w:pPr>
            <w:r/>
            <w:r>
              <w:rPr>
                <w:rFonts w:ascii="宋体" w:hAnsi="宋体" w:eastAsia="宋体"/>
                <w:b w:val="0"/>
                <w:sz w:val="19"/>
              </w:rPr>
              <w:t>来源平台</w:t>
            </w:r>
          </w:p>
        </w:tc>
        <w:tc>
          <w:tcPr>
            <w:tcW w:type="dxa" w:w="2986"/>
            <w:vAlign w:val="center"/>
          </w:tcPr>
          <w:p>
            <w:pPr>
              <w:spacing w:after="0"/>
              <w:jc w:val="left"/>
            </w:pPr>
            <w:r/>
            <w:r>
              <w:rPr>
                <w:rFonts w:ascii="宋体" w:hAnsi="宋体" w:eastAsia="宋体"/>
                <w:b w:val="0"/>
                <w:sz w:val="19"/>
              </w:rPr>
              <w:t>Hugging Face 公开数据集页面</w:t>
            </w:r>
          </w:p>
        </w:tc>
        <w:tc>
          <w:tcPr>
            <w:tcW w:type="dxa" w:w="2986"/>
            <w:vAlign w:val="center"/>
          </w:tcPr>
          <w:p>
            <w:pPr>
              <w:spacing w:after="0"/>
              <w:jc w:val="center"/>
            </w:pPr>
            <w:r/>
            <w:r>
              <w:rPr>
                <w:rFonts w:ascii="宋体" w:hAnsi="宋体" w:eastAsia="宋体"/>
                <w:b w:val="0"/>
                <w:sz w:val="19"/>
              </w:rPr>
              <w:t>满足</w:t>
            </w:r>
          </w:p>
        </w:tc>
      </w:tr>
      <w:tr>
        <w:tc>
          <w:tcPr>
            <w:tcW w:type="dxa" w:w="2986"/>
            <w:vAlign w:val="center"/>
          </w:tcPr>
          <w:p>
            <w:pPr>
              <w:spacing w:after="0"/>
              <w:jc w:val="center"/>
            </w:pPr>
            <w:r/>
            <w:r>
              <w:rPr>
                <w:rFonts w:ascii="宋体" w:hAnsi="宋体" w:eastAsia="宋体"/>
                <w:b w:val="0"/>
                <w:sz w:val="19"/>
              </w:rPr>
              <w:t>发布时间/更新年份</w:t>
            </w:r>
          </w:p>
        </w:tc>
        <w:tc>
          <w:tcPr>
            <w:tcW w:type="dxa" w:w="2986"/>
            <w:vAlign w:val="center"/>
          </w:tcPr>
          <w:p>
            <w:pPr>
              <w:spacing w:after="0"/>
              <w:jc w:val="center"/>
            </w:pPr>
            <w:r/>
            <w:r>
              <w:rPr>
                <w:rFonts w:ascii="宋体" w:hAnsi="宋体" w:eastAsia="宋体"/>
                <w:b w:val="0"/>
                <w:sz w:val="19"/>
              </w:rPr>
              <w:t>2025 年数据集</w:t>
            </w:r>
          </w:p>
        </w:tc>
        <w:tc>
          <w:tcPr>
            <w:tcW w:type="dxa" w:w="2986"/>
            <w:vAlign w:val="center"/>
          </w:tcPr>
          <w:p>
            <w:pPr>
              <w:spacing w:after="0"/>
              <w:jc w:val="center"/>
            </w:pPr>
            <w:r/>
            <w:r>
              <w:rPr>
                <w:rFonts w:ascii="宋体" w:hAnsi="宋体" w:eastAsia="宋体"/>
                <w:b w:val="0"/>
                <w:sz w:val="19"/>
              </w:rPr>
              <w:t>满足</w:t>
            </w:r>
          </w:p>
        </w:tc>
      </w:tr>
      <w:tr>
        <w:tc>
          <w:tcPr>
            <w:tcW w:type="dxa" w:w="2986"/>
            <w:vAlign w:val="center"/>
          </w:tcPr>
          <w:p>
            <w:pPr>
              <w:spacing w:after="0"/>
              <w:jc w:val="center"/>
            </w:pPr>
            <w:r/>
            <w:r>
              <w:rPr>
                <w:rFonts w:ascii="宋体" w:hAnsi="宋体" w:eastAsia="宋体"/>
                <w:b w:val="0"/>
                <w:sz w:val="19"/>
              </w:rPr>
              <w:t>文件格式</w:t>
            </w:r>
          </w:p>
        </w:tc>
        <w:tc>
          <w:tcPr>
            <w:tcW w:type="dxa" w:w="2986"/>
            <w:vAlign w:val="center"/>
          </w:tcPr>
          <w:p>
            <w:pPr>
              <w:spacing w:after="0"/>
              <w:jc w:val="center"/>
            </w:pPr>
            <w:r/>
            <w:r>
              <w:rPr>
                <w:rFonts w:ascii="宋体" w:hAnsi="宋体" w:eastAsia="宋体"/>
                <w:b w:val="0"/>
                <w:sz w:val="19"/>
              </w:rPr>
              <w:t>CSV 结构化表格数据</w:t>
            </w:r>
          </w:p>
        </w:tc>
        <w:tc>
          <w:tcPr>
            <w:tcW w:type="dxa" w:w="2986"/>
            <w:vAlign w:val="center"/>
          </w:tcPr>
          <w:p>
            <w:pPr>
              <w:spacing w:after="0"/>
              <w:jc w:val="center"/>
            </w:pPr>
            <w:r/>
            <w:r>
              <w:rPr>
                <w:rFonts w:ascii="宋体" w:hAnsi="宋体" w:eastAsia="宋体"/>
                <w:b w:val="0"/>
                <w:sz w:val="19"/>
              </w:rPr>
              <w:t>满足</w:t>
            </w:r>
          </w:p>
        </w:tc>
      </w:tr>
      <w:tr>
        <w:tc>
          <w:tcPr>
            <w:tcW w:type="dxa" w:w="2986"/>
            <w:vAlign w:val="center"/>
          </w:tcPr>
          <w:p>
            <w:pPr>
              <w:spacing w:after="0"/>
              <w:jc w:val="center"/>
            </w:pPr>
            <w:r/>
            <w:r>
              <w:rPr>
                <w:rFonts w:ascii="宋体" w:hAnsi="宋体" w:eastAsia="宋体"/>
                <w:b w:val="0"/>
                <w:sz w:val="19"/>
              </w:rPr>
              <w:t>样本量</w:t>
            </w:r>
          </w:p>
        </w:tc>
        <w:tc>
          <w:tcPr>
            <w:tcW w:type="dxa" w:w="2986"/>
            <w:vAlign w:val="center"/>
          </w:tcPr>
          <w:p>
            <w:pPr>
              <w:spacing w:after="0"/>
              <w:jc w:val="left"/>
            </w:pPr>
            <w:r/>
            <w:r>
              <w:rPr>
                <w:rFonts w:ascii="宋体" w:hAnsi="宋体" w:eastAsia="宋体"/>
                <w:b w:val="0"/>
                <w:sz w:val="19"/>
              </w:rPr>
              <w:t>3500 行，满足不少于 1000 行要求</w:t>
            </w:r>
          </w:p>
        </w:tc>
        <w:tc>
          <w:tcPr>
            <w:tcW w:type="dxa" w:w="2986"/>
            <w:vAlign w:val="center"/>
          </w:tcPr>
          <w:p>
            <w:pPr>
              <w:spacing w:after="0"/>
              <w:jc w:val="center"/>
            </w:pPr>
            <w:r/>
            <w:r>
              <w:rPr>
                <w:rFonts w:ascii="宋体" w:hAnsi="宋体" w:eastAsia="宋体"/>
                <w:b w:val="0"/>
                <w:sz w:val="19"/>
              </w:rPr>
              <w:t>满足</w:t>
            </w:r>
          </w:p>
        </w:tc>
      </w:tr>
      <w:tr>
        <w:tc>
          <w:tcPr>
            <w:tcW w:type="dxa" w:w="2986"/>
            <w:vAlign w:val="center"/>
          </w:tcPr>
          <w:p>
            <w:pPr>
              <w:spacing w:after="0"/>
              <w:jc w:val="center"/>
            </w:pPr>
            <w:r/>
            <w:r>
              <w:rPr>
                <w:rFonts w:ascii="宋体" w:hAnsi="宋体" w:eastAsia="宋体"/>
                <w:b w:val="0"/>
                <w:sz w:val="19"/>
              </w:rPr>
              <w:t>有效特征数</w:t>
            </w:r>
          </w:p>
        </w:tc>
        <w:tc>
          <w:tcPr>
            <w:tcW w:type="dxa" w:w="2986"/>
            <w:vAlign w:val="center"/>
          </w:tcPr>
          <w:p>
            <w:pPr>
              <w:spacing w:after="0"/>
              <w:jc w:val="left"/>
            </w:pPr>
            <w:r/>
            <w:r>
              <w:rPr>
                <w:rFonts w:ascii="宋体" w:hAnsi="宋体" w:eastAsia="宋体"/>
                <w:b w:val="0"/>
                <w:sz w:val="19"/>
              </w:rPr>
              <w:t>24 个字段，满足不少于 8 个有效特征要求</w:t>
            </w:r>
          </w:p>
        </w:tc>
        <w:tc>
          <w:tcPr>
            <w:tcW w:type="dxa" w:w="2986"/>
            <w:vAlign w:val="center"/>
          </w:tcPr>
          <w:p>
            <w:pPr>
              <w:spacing w:after="0"/>
              <w:jc w:val="center"/>
            </w:pPr>
            <w:r/>
            <w:r>
              <w:rPr>
                <w:rFonts w:ascii="宋体" w:hAnsi="宋体" w:eastAsia="宋体"/>
                <w:b w:val="0"/>
                <w:sz w:val="19"/>
              </w:rPr>
              <w:t>满足</w:t>
            </w:r>
          </w:p>
        </w:tc>
      </w:tr>
      <w:tr>
        <w:tc>
          <w:tcPr>
            <w:tcW w:type="dxa" w:w="2986"/>
            <w:vAlign w:val="center"/>
          </w:tcPr>
          <w:p>
            <w:pPr>
              <w:spacing w:after="0"/>
              <w:jc w:val="center"/>
            </w:pPr>
            <w:r/>
            <w:r>
              <w:rPr>
                <w:rFonts w:ascii="宋体" w:hAnsi="宋体" w:eastAsia="宋体"/>
                <w:b w:val="0"/>
                <w:sz w:val="19"/>
              </w:rPr>
              <w:t>任务支持</w:t>
            </w:r>
          </w:p>
        </w:tc>
        <w:tc>
          <w:tcPr>
            <w:tcW w:type="dxa" w:w="2986"/>
            <w:vAlign w:val="center"/>
          </w:tcPr>
          <w:p>
            <w:pPr>
              <w:spacing w:after="0"/>
              <w:jc w:val="left"/>
            </w:pPr>
            <w:r/>
            <w:r>
              <w:rPr>
                <w:rFonts w:ascii="宋体" w:hAnsi="宋体" w:eastAsia="宋体"/>
                <w:b w:val="0"/>
                <w:sz w:val="19"/>
              </w:rPr>
              <w:t>支持 high_risk_flag 分类、digital_dependence_score 回归和生活方式聚类</w:t>
            </w:r>
          </w:p>
        </w:tc>
        <w:tc>
          <w:tcPr>
            <w:tcW w:type="dxa" w:w="2986"/>
            <w:vAlign w:val="center"/>
          </w:tcPr>
          <w:p>
            <w:pPr>
              <w:spacing w:after="0"/>
              <w:jc w:val="center"/>
            </w:pPr>
            <w:r/>
            <w:r>
              <w:rPr>
                <w:rFonts w:ascii="宋体" w:hAnsi="宋体" w:eastAsia="宋体"/>
                <w:b w:val="0"/>
                <w:sz w:val="19"/>
              </w:rPr>
              <w:t>满足</w:t>
            </w:r>
          </w:p>
        </w:tc>
      </w:tr>
      <w:tr>
        <w:tc>
          <w:tcPr>
            <w:tcW w:type="dxa" w:w="2986"/>
            <w:vAlign w:val="center"/>
          </w:tcPr>
          <w:p>
            <w:pPr>
              <w:spacing w:after="0"/>
              <w:jc w:val="center"/>
            </w:pPr>
            <w:r/>
            <w:r>
              <w:rPr>
                <w:rFonts w:ascii="宋体" w:hAnsi="宋体" w:eastAsia="宋体"/>
                <w:b w:val="0"/>
                <w:sz w:val="19"/>
              </w:rPr>
              <w:t>数据性质</w:t>
            </w:r>
          </w:p>
        </w:tc>
        <w:tc>
          <w:tcPr>
            <w:tcW w:type="dxa" w:w="2986"/>
            <w:vAlign w:val="center"/>
          </w:tcPr>
          <w:p>
            <w:pPr>
              <w:spacing w:after="0"/>
              <w:jc w:val="left"/>
            </w:pPr>
            <w:r/>
            <w:r>
              <w:rPr>
                <w:rFonts w:ascii="宋体" w:hAnsi="宋体" w:eastAsia="宋体"/>
                <w:b w:val="0"/>
                <w:sz w:val="19"/>
              </w:rPr>
              <w:t>合成教学/benchmark 数据，结论需谨慎解释，不用于医学诊断</w:t>
            </w:r>
          </w:p>
        </w:tc>
        <w:tc>
          <w:tcPr>
            <w:tcW w:type="dxa" w:w="2986"/>
            <w:vAlign w:val="center"/>
          </w:tcPr>
          <w:p>
            <w:pPr>
              <w:spacing w:after="0"/>
              <w:jc w:val="center"/>
            </w:pPr>
            <w:r/>
            <w:r>
              <w:rPr>
                <w:rFonts w:ascii="宋体" w:hAnsi="宋体" w:eastAsia="宋体"/>
                <w:b w:val="0"/>
                <w:sz w:val="19"/>
              </w:rPr>
              <w:t>满足课程建模用途</w:t>
            </w:r>
          </w:p>
        </w:tc>
      </w:tr>
    </w:tbl>
    <w:p/>
    <w:p>
      <w:pPr>
        <w:spacing w:line="300" w:lineRule="auto" w:after="80"/>
        <w:ind w:firstLine="420"/>
      </w:pPr>
      <w:r>
        <w:rPr>
          <w:rFonts w:ascii="宋体" w:hAnsi="宋体" w:eastAsia="宋体"/>
          <w:sz w:val="21"/>
        </w:rPr>
        <w:t>需要说明的是，该数据集是合成教学/benchmark 数据。本文将其用于课程建模训练和行为数据分析，不将其解释为真实人群医学诊断数据，也不据此给出个体健康判断。</w:t>
      </w:r>
    </w:p>
    <w:p>
      <w:pPr>
        <w:pStyle w:val="Heading2"/>
      </w:pPr>
      <w:r>
        <w:rPr>
          <w:rFonts w:ascii="黑体" w:hAnsi="黑体" w:eastAsia="黑体"/>
          <w:b/>
          <w:sz w:val="26"/>
        </w:rPr>
        <w:t>数据字段、样本规模与任务支持情况</w:t>
      </w:r>
    </w:p>
    <w:p>
      <w:pPr>
        <w:spacing w:line="300" w:lineRule="auto" w:after="80"/>
        <w:ind w:firstLine="420"/>
      </w:pPr>
      <w:r>
        <w:rPr>
          <w:rFonts w:ascii="宋体" w:hAnsi="宋体" w:eastAsia="宋体"/>
          <w:sz w:val="21"/>
        </w:rPr>
        <w:t>原始数据包含 3500 条记录和 24 个字段。字段大致分为四类：人口背景字段，例如年龄、性别、地区、收入、教育、日常角色和设备类型；数字行为字段，例如每日设备时长、手机解锁次数、通知数量和社交媒体使用时间；生活习惯字段，例如学习时间、身体活动天数、睡眠时长和睡眠质量；结果字段，例如 high_risk_flag、productivity_score 和 digital_dependence_score。</w:t>
      </w:r>
    </w:p>
    <w:p>
      <w:pPr>
        <w:spacing w:line="300" w:lineRule="auto" w:after="80"/>
        <w:ind w:firstLine="420"/>
      </w:pPr>
      <w:r>
        <w:rPr>
          <w:rFonts w:ascii="宋体" w:hAnsi="宋体" w:eastAsia="宋体"/>
          <w:sz w:val="21"/>
        </w:rPr>
        <w:t>基于这些字段，本文设置三类任务：分类任务预测 high_risk_flag，回归任务预测 digital_dependence_score 并检验 productivity_score，聚类任务根据数字行为和生活习惯形成用户画像。与 pfm 数据集相比，该数据集更贴合期末报告的综合建模要求，也更适合体现分类、回归、聚类三类机器学习任务。</w:t>
      </w:r>
    </w:p>
    <w:p>
      <w:r>
        <w:br w:type="page"/>
      </w:r>
    </w:p>
    <w:p>
      <w:pPr>
        <w:pStyle w:val="Heading1"/>
        <w:jc w:val="center"/>
      </w:pPr>
      <w:r>
        <w:rPr>
          <w:rFonts w:ascii="黑体" w:hAnsi="黑体" w:eastAsia="黑体"/>
          <w:b/>
          <w:sz w:val="32"/>
        </w:rPr>
        <w:t>第2章 自主选题与分析视角</w:t>
      </w:r>
    </w:p>
    <w:p>
      <w:pPr>
        <w:pStyle w:val="Heading2"/>
      </w:pPr>
      <w:r>
        <w:rPr>
          <w:rFonts w:ascii="黑体" w:hAnsi="黑体" w:eastAsia="黑体"/>
          <w:b/>
          <w:sz w:val="26"/>
        </w:rPr>
        <w:t>业务背景与问题来源</w:t>
      </w:r>
    </w:p>
    <w:p>
      <w:pPr>
        <w:spacing w:line="300" w:lineRule="auto" w:after="80"/>
        <w:ind w:firstLine="420"/>
      </w:pPr>
      <w:r>
        <w:rPr>
          <w:rFonts w:ascii="宋体" w:hAnsi="宋体" w:eastAsia="宋体"/>
          <w:sz w:val="21"/>
        </w:rPr>
        <w:t>移动设备、社交媒体平台、在线学习工具和即时通知已经成为日常生活的重要组成部分。设备使用时长、通知数量、手机解锁次数、社交媒体使用时间、睡眠质量和身体活动频率等变量，可以从不同角度描述用户的数字生活方式。对这些变量进行系统分析，有助于理解数字行为数据如何支持风险筛查、数字依赖评估和生活方式管理。</w:t>
      </w:r>
    </w:p>
    <w:p>
      <w:pPr>
        <w:spacing w:line="300" w:lineRule="auto" w:after="80"/>
        <w:ind w:firstLine="420"/>
      </w:pPr>
      <w:r>
        <w:rPr>
          <w:rFonts w:ascii="宋体" w:hAnsi="宋体" w:eastAsia="宋体"/>
          <w:sz w:val="21"/>
        </w:rPr>
        <w:t>本文的分析目标不是证明数字行为对身心状态存在因果影响，而是在课程数据分析框架下，利用结构化表格数据完成数据预处理、探索性可视化、机器学习建模、模型评估和结果解释。报告中的“高风险”仅对应数据集中的 high_risk_flag 标签，不代表医学诊断。</w:t>
      </w:r>
    </w:p>
    <w:p>
      <w:pPr>
        <w:pStyle w:val="Heading2"/>
      </w:pPr>
      <w:r>
        <w:rPr>
          <w:rFonts w:ascii="黑体" w:hAnsi="黑体" w:eastAsia="黑体"/>
          <w:b/>
          <w:sz w:val="26"/>
        </w:rPr>
        <w:t>报告题目与研究目标</w:t>
      </w:r>
    </w:p>
    <w:p>
      <w:pPr>
        <w:spacing w:line="300" w:lineRule="auto" w:after="80"/>
        <w:ind w:firstLine="420"/>
      </w:pPr>
      <w:r>
        <w:rPr>
          <w:rFonts w:ascii="宋体" w:hAnsi="宋体" w:eastAsia="宋体"/>
          <w:sz w:val="21"/>
        </w:rPr>
        <w:t>本文题目为：《数字生活方式下的高风险识别、数字依赖预测与用户画像分析——基于 2025 Digital Lifestyle Benchmark 数据集的分类、回归与聚类研究》。</w:t>
      </w:r>
    </w:p>
    <w:p>
      <w:pPr>
        <w:spacing w:line="300" w:lineRule="auto" w:after="80"/>
        <w:ind w:firstLine="420"/>
      </w:pPr>
      <w:r>
        <w:rPr>
          <w:rFonts w:ascii="宋体" w:hAnsi="宋体" w:eastAsia="宋体"/>
          <w:sz w:val="21"/>
        </w:rPr>
        <w:t>围绕该题目，本文设置四个研究目标：识别高风险数字生活方式；预测数字依赖程度；检验生产力得分是否能由当前可观测特征稳定预测；构建数字生活方式用户画像。四个目标分别对应分类、回归、负结果检验和聚类画像，能够覆盖课程要求中的多类机器学习任务。</w:t>
      </w:r>
    </w:p>
    <w:p>
      <w:pPr>
        <w:pStyle w:val="Heading2"/>
      </w:pPr>
      <w:r>
        <w:rPr>
          <w:rFonts w:ascii="黑体" w:hAnsi="黑体" w:eastAsia="黑体"/>
          <w:b/>
          <w:sz w:val="26"/>
        </w:rPr>
        <w:t>分析视角与研究问题</w:t>
      </w:r>
    </w:p>
    <w:p>
      <w:pPr>
        <w:spacing w:line="300" w:lineRule="auto" w:after="80"/>
        <w:ind w:firstLine="420"/>
      </w:pPr>
      <w:r>
        <w:rPr>
          <w:rFonts w:ascii="宋体" w:hAnsi="宋体" w:eastAsia="宋体"/>
          <w:sz w:val="21"/>
        </w:rPr>
        <w:t>本文从四个层面组织分析。行为层关注 device_hours_per_day、notifications_per_day、phone_unlocks、social_media_mins 和 study_mins；生活层关注 sleep_hours、sleep_quality 和 physical_activity_days；结果层关注 high_risk_flag、digital_dependence_score 和 productivity_score；方法层对应分类、回归和聚类。</w:t>
      </w:r>
    </w:p>
    <w:p>
      <w:pPr>
        <w:spacing w:line="300" w:lineRule="auto" w:after="80"/>
        <w:ind w:firstLine="420"/>
      </w:pPr>
      <w:r>
        <w:rPr>
          <w:rFonts w:ascii="宋体" w:hAnsi="宋体" w:eastAsia="宋体"/>
          <w:sz w:val="21"/>
        </w:rPr>
        <w:t>据此形成以下研究问题：能否在控制目标泄漏后筛查高风险数字生活方式；能否稳定预测数字依赖程度；生产力得分是否能被当前特征有效预测；数字行为和生活习惯能否形成可解释的用户画像。</w:t>
      </w:r>
    </w:p>
    <w:p>
      <w:pPr>
        <w:pStyle w:val="Heading2"/>
      </w:pPr>
      <w:r>
        <w:rPr>
          <w:rFonts w:ascii="黑体" w:hAnsi="黑体" w:eastAsia="黑体"/>
          <w:b/>
          <w:sz w:val="26"/>
        </w:rPr>
        <w:t>本文主要工作与技术路线</w:t>
      </w:r>
    </w:p>
    <w:p>
      <w:pPr>
        <w:spacing w:line="300" w:lineRule="auto" w:after="80"/>
        <w:ind w:firstLine="420"/>
      </w:pPr>
      <w:r>
        <w:rPr>
          <w:rFonts w:ascii="宋体" w:hAnsi="宋体" w:eastAsia="宋体"/>
          <w:sz w:val="21"/>
        </w:rPr>
        <w:t>本文主要工作包括：</w:t>
      </w:r>
    </w:p>
    <w:p>
      <w:pPr>
        <w:pStyle w:val="ListNumber"/>
      </w:pPr>
      <w:r>
        <w:rPr>
          <w:rFonts w:ascii="宋体" w:hAnsi="宋体" w:eastAsia="宋体"/>
          <w:sz w:val="21"/>
        </w:rPr>
        <w:t>完成合规公开数据集筛选，并说明弃用 pfm_train.csv/pfm_test.csv 的原因。</w:t>
      </w:r>
    </w:p>
    <w:p>
      <w:pPr>
        <w:pStyle w:val="ListNumber"/>
      </w:pPr>
      <w:r>
        <w:rPr>
          <w:rFonts w:ascii="宋体" w:hAnsi="宋体" w:eastAsia="宋体"/>
          <w:sz w:val="21"/>
        </w:rPr>
        <w:t>完成缺失值、重复值、合理范围、工程特征和目标泄漏控制等数据预处理工作。</w:t>
      </w:r>
    </w:p>
    <w:p>
      <w:pPr>
        <w:pStyle w:val="ListNumber"/>
      </w:pPr>
      <w:r>
        <w:rPr>
          <w:rFonts w:ascii="宋体" w:hAnsi="宋体" w:eastAsia="宋体"/>
          <w:sz w:val="21"/>
        </w:rPr>
        <w:t>完成目标变量分布、数值变量相关性、风险组差异、类别风险率和行为变量关系等 EDA 与可视化分析。</w:t>
      </w:r>
    </w:p>
    <w:p>
      <w:pPr>
        <w:pStyle w:val="ListNumber"/>
      </w:pPr>
      <w:r>
        <w:rPr>
          <w:rFonts w:ascii="宋体" w:hAnsi="宋体" w:eastAsia="宋体"/>
          <w:sz w:val="21"/>
        </w:rPr>
        <w:t>构建分类、回归、聚类三类机器学习实验，完成调参、阈值选择和模型评估。</w:t>
      </w:r>
    </w:p>
    <w:p>
      <w:pPr>
        <w:pStyle w:val="ListNumber"/>
      </w:pPr>
      <w:r>
        <w:rPr>
          <w:rFonts w:ascii="宋体" w:hAnsi="宋体" w:eastAsia="宋体"/>
          <w:sz w:val="21"/>
        </w:rPr>
        <w:t>形成高风险筛查、数字依赖预测和数字生活方式画像结论，并说明结果边界和合成数据限制。</w:t>
      </w:r>
    </w:p>
    <w:p>
      <w:pPr>
        <w:spacing w:line="300" w:lineRule="auto" w:after="80"/>
        <w:ind w:firstLine="420"/>
      </w:pPr>
      <w:r>
        <w:rPr>
          <w:rFonts w:ascii="宋体" w:hAnsi="宋体" w:eastAsia="宋体"/>
          <w:sz w:val="21"/>
        </w:rPr>
        <w:t>figure[H] minipage0.88 数据集筛选 数据预处理 EDA 可视化 分类、回归、聚类建模 指标评估与结果解释 报告与代码归档 minipage 本文技术路线 fig:theme-pipeline figure</w:t>
      </w:r>
    </w:p>
    <w:p>
      <w:r>
        <w:br w:type="page"/>
      </w:r>
    </w:p>
    <w:p>
      <w:pPr>
        <w:pStyle w:val="Heading1"/>
        <w:jc w:val="center"/>
      </w:pPr>
      <w:r>
        <w:rPr>
          <w:rFonts w:ascii="黑体" w:hAnsi="黑体" w:eastAsia="黑体"/>
          <w:b/>
          <w:sz w:val="32"/>
        </w:rPr>
        <w:t>第3章 数据预处理</w:t>
      </w:r>
    </w:p>
    <w:p>
      <w:pPr>
        <w:pStyle w:val="Heading2"/>
      </w:pPr>
      <w:r>
        <w:rPr>
          <w:rFonts w:ascii="黑体" w:hAnsi="黑体" w:eastAsia="黑体"/>
          <w:b/>
          <w:sz w:val="26"/>
        </w:rPr>
        <w:t>原始数据读取与字段检查</w:t>
      </w:r>
    </w:p>
    <w:p>
      <w:pPr>
        <w:spacing w:line="300" w:lineRule="auto" w:after="80"/>
        <w:ind w:firstLine="420"/>
      </w:pPr>
      <w:r>
        <w:rPr>
          <w:rFonts w:ascii="宋体" w:hAnsi="宋体" w:eastAsia="宋体"/>
          <w:sz w:val="21"/>
        </w:rPr>
        <w:t>本章对应课程评分标准中的“数据预处理”。原始数据以 CSV 文件形式读取，共 3500 行、24 个字段。读取后首先检查字段名称、字段类型、样本量和目标变量是否存在，确认分类目标 high_risk_flag、回归目标 digital_dependence_score 和 productivity_score 均可用于后续建模。</w:t>
      </w:r>
    </w:p>
    <w:p>
      <w:pPr>
        <w:spacing w:line="300" w:lineRule="auto" w:after="80"/>
        <w:ind w:firstLine="420"/>
      </w:pPr>
      <w:r>
        <w:rPr>
          <w:rFonts w:ascii="宋体" w:hAnsi="宋体" w:eastAsia="宋体"/>
          <w:sz w:val="21"/>
        </w:rPr>
        <w:t>字段检查的目的，是保证后续模型输入、目标变量和报告指标具有一致的数据来源。本文没有在 Stage 6 中重新运行 notebook，也没有修改任何结果 CSV。</w:t>
      </w:r>
    </w:p>
    <w:p>
      <w:pPr>
        <w:pStyle w:val="Heading2"/>
      </w:pPr>
      <w:r>
        <w:rPr>
          <w:rFonts w:ascii="黑体" w:hAnsi="黑体" w:eastAsia="黑体"/>
          <w:b/>
          <w:sz w:val="26"/>
        </w:rPr>
        <w:t>缺失值、重复值与异常值检查</w:t>
      </w:r>
    </w:p>
    <w:p>
      <w:pPr>
        <w:spacing w:line="300" w:lineRule="auto" w:after="80"/>
        <w:ind w:firstLine="420"/>
      </w:pPr>
      <w:r>
        <w:rPr>
          <w:rFonts w:ascii="宋体" w:hAnsi="宋体" w:eastAsia="宋体"/>
          <w:sz w:val="21"/>
        </w:rPr>
        <w:t>预处理质量检查见表 tab:preprocessing-quality。原始数据缺失值总数为 0，重复行数量为 0，重复 id 数量为 0。因此，本文不进行缺失行删除或重复行删除。模型管道仍保留必要的预处理能力，以保证复现实验时在数据变动情况下也能稳定运行。</w:t>
      </w:r>
    </w:p>
    <w:p>
      <w:pPr>
        <w:jc w:val="center"/>
      </w:pPr>
      <w:r>
        <w:rPr>
          <w:rFonts w:ascii="宋体" w:hAnsi="宋体" w:eastAsia="宋体"/>
          <w:b/>
          <w:sz w:val="21"/>
        </w:rPr>
        <w:t>表 3-1 预处理质量检查摘要</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86"/>
        <w:gridCol w:w="2986"/>
        <w:gridCol w:w="2986"/>
      </w:tblGrid>
      <w:tr>
        <w:tc>
          <w:tcPr>
            <w:tcW w:type="dxa" w:w="2986"/>
            <w:vAlign w:val="center"/>
            <w:shd w:fill="EAF2F8"/>
          </w:tcPr>
          <w:p>
            <w:pPr>
              <w:spacing w:after="0"/>
              <w:jc w:val="center"/>
            </w:pPr>
            <w:r/>
            <w:r>
              <w:rPr>
                <w:rFonts w:ascii="宋体" w:hAnsi="宋体" w:eastAsia="宋体"/>
                <w:b/>
                <w:sz w:val="19"/>
              </w:rPr>
              <w:t>p0.20p0.32 检查项</w:t>
            </w:r>
          </w:p>
        </w:tc>
        <w:tc>
          <w:tcPr>
            <w:tcW w:type="dxa" w:w="2986"/>
            <w:vAlign w:val="center"/>
            <w:shd w:fill="EAF2F8"/>
          </w:tcPr>
          <w:p>
            <w:pPr>
              <w:spacing w:after="0"/>
              <w:jc w:val="center"/>
            </w:pPr>
            <w:r/>
            <w:r>
              <w:rPr>
                <w:rFonts w:ascii="宋体" w:hAnsi="宋体" w:eastAsia="宋体"/>
                <w:b/>
                <w:sz w:val="19"/>
              </w:rPr>
              <w:t>检查结果</w:t>
            </w:r>
          </w:p>
        </w:tc>
        <w:tc>
          <w:tcPr>
            <w:tcW w:type="dxa" w:w="2986"/>
            <w:vAlign w:val="center"/>
            <w:shd w:fill="EAF2F8"/>
          </w:tcPr>
          <w:p>
            <w:pPr>
              <w:spacing w:after="0"/>
              <w:jc w:val="center"/>
            </w:pPr>
            <w:r/>
            <w:r>
              <w:rPr>
                <w:rFonts w:ascii="宋体" w:hAnsi="宋体" w:eastAsia="宋体"/>
                <w:b/>
                <w:sz w:val="19"/>
              </w:rPr>
              <w:t>处理策略</w:t>
            </w:r>
          </w:p>
        </w:tc>
      </w:tr>
      <w:tr>
        <w:tc>
          <w:tcPr>
            <w:tcW w:type="dxa" w:w="2986"/>
            <w:vAlign w:val="center"/>
          </w:tcPr>
          <w:p>
            <w:pPr>
              <w:spacing w:after="0"/>
              <w:jc w:val="center"/>
            </w:pPr>
            <w:r/>
            <w:r>
              <w:rPr>
                <w:rFonts w:ascii="宋体" w:hAnsi="宋体" w:eastAsia="宋体"/>
                <w:b w:val="0"/>
                <w:sz w:val="19"/>
              </w:rPr>
              <w:t>原始样本量</w:t>
            </w:r>
          </w:p>
        </w:tc>
        <w:tc>
          <w:tcPr>
            <w:tcW w:type="dxa" w:w="2986"/>
            <w:vAlign w:val="center"/>
          </w:tcPr>
          <w:p>
            <w:pPr>
              <w:spacing w:after="0"/>
              <w:jc w:val="center"/>
            </w:pPr>
            <w:r/>
            <w:r>
              <w:rPr>
                <w:rFonts w:ascii="宋体" w:hAnsi="宋体" w:eastAsia="宋体"/>
                <w:b w:val="0"/>
                <w:sz w:val="19"/>
              </w:rPr>
              <w:t>3500</w:t>
            </w:r>
          </w:p>
        </w:tc>
        <w:tc>
          <w:tcPr>
            <w:tcW w:type="dxa" w:w="2986"/>
            <w:vAlign w:val="center"/>
          </w:tcPr>
          <w:p>
            <w:pPr>
              <w:spacing w:after="0"/>
              <w:jc w:val="center"/>
            </w:pPr>
            <w:r/>
            <w:r>
              <w:rPr>
                <w:rFonts w:ascii="宋体" w:hAnsi="宋体" w:eastAsia="宋体"/>
                <w:b w:val="0"/>
                <w:sz w:val="19"/>
              </w:rPr>
              <w:t>未删除记录</w:t>
            </w:r>
          </w:p>
        </w:tc>
      </w:tr>
      <w:tr>
        <w:tc>
          <w:tcPr>
            <w:tcW w:type="dxa" w:w="2986"/>
            <w:vAlign w:val="center"/>
          </w:tcPr>
          <w:p>
            <w:pPr>
              <w:spacing w:after="0"/>
              <w:jc w:val="center"/>
            </w:pPr>
            <w:r/>
            <w:r>
              <w:rPr>
                <w:rFonts w:ascii="宋体" w:hAnsi="宋体" w:eastAsia="宋体"/>
                <w:b w:val="0"/>
                <w:sz w:val="19"/>
              </w:rPr>
              <w:t>原始字段数</w:t>
            </w:r>
          </w:p>
        </w:tc>
        <w:tc>
          <w:tcPr>
            <w:tcW w:type="dxa" w:w="2986"/>
            <w:vAlign w:val="center"/>
          </w:tcPr>
          <w:p>
            <w:pPr>
              <w:spacing w:after="0"/>
              <w:jc w:val="center"/>
            </w:pPr>
            <w:r/>
            <w:r>
              <w:rPr>
                <w:rFonts w:ascii="宋体" w:hAnsi="宋体" w:eastAsia="宋体"/>
                <w:b w:val="0"/>
                <w:sz w:val="19"/>
              </w:rPr>
              <w:t>24</w:t>
            </w:r>
          </w:p>
        </w:tc>
        <w:tc>
          <w:tcPr>
            <w:tcW w:type="dxa" w:w="2986"/>
            <w:vAlign w:val="center"/>
          </w:tcPr>
          <w:p>
            <w:pPr>
              <w:spacing w:after="0"/>
              <w:jc w:val="center"/>
            </w:pPr>
            <w:r/>
            <w:r>
              <w:rPr>
                <w:rFonts w:ascii="宋体" w:hAnsi="宋体" w:eastAsia="宋体"/>
                <w:b w:val="0"/>
                <w:sz w:val="19"/>
              </w:rPr>
              <w:t>未删除字段</w:t>
            </w:r>
          </w:p>
        </w:tc>
      </w:tr>
      <w:tr>
        <w:tc>
          <w:tcPr>
            <w:tcW w:type="dxa" w:w="2986"/>
            <w:vAlign w:val="center"/>
          </w:tcPr>
          <w:p>
            <w:pPr>
              <w:spacing w:after="0"/>
              <w:jc w:val="center"/>
            </w:pPr>
            <w:r/>
            <w:r>
              <w:rPr>
                <w:rFonts w:ascii="宋体" w:hAnsi="宋体" w:eastAsia="宋体"/>
                <w:b w:val="0"/>
                <w:sz w:val="19"/>
              </w:rPr>
              <w:t>缺失值总数</w:t>
            </w:r>
          </w:p>
        </w:tc>
        <w:tc>
          <w:tcPr>
            <w:tcW w:type="dxa" w:w="2986"/>
            <w:vAlign w:val="center"/>
          </w:tcPr>
          <w:p>
            <w:pPr>
              <w:spacing w:after="0"/>
              <w:jc w:val="center"/>
            </w:pPr>
            <w:r/>
            <w:r>
              <w:rPr>
                <w:rFonts w:ascii="宋体" w:hAnsi="宋体" w:eastAsia="宋体"/>
                <w:b w:val="0"/>
                <w:sz w:val="19"/>
              </w:rPr>
              <w:t>0</w:t>
            </w:r>
          </w:p>
        </w:tc>
        <w:tc>
          <w:tcPr>
            <w:tcW w:type="dxa" w:w="2986"/>
            <w:vAlign w:val="center"/>
          </w:tcPr>
          <w:p>
            <w:pPr>
              <w:spacing w:after="0"/>
              <w:jc w:val="center"/>
            </w:pPr>
            <w:r/>
            <w:r>
              <w:rPr>
                <w:rFonts w:ascii="宋体" w:hAnsi="宋体" w:eastAsia="宋体"/>
                <w:b w:val="0"/>
                <w:sz w:val="19"/>
              </w:rPr>
              <w:t>无需删除，建模管道保留缺失处理能力</w:t>
            </w:r>
          </w:p>
        </w:tc>
      </w:tr>
      <w:tr>
        <w:tc>
          <w:tcPr>
            <w:tcW w:type="dxa" w:w="2986"/>
            <w:vAlign w:val="center"/>
          </w:tcPr>
          <w:p>
            <w:pPr>
              <w:spacing w:after="0"/>
              <w:jc w:val="center"/>
            </w:pPr>
            <w:r/>
            <w:r>
              <w:rPr>
                <w:rFonts w:ascii="宋体" w:hAnsi="宋体" w:eastAsia="宋体"/>
                <w:b w:val="0"/>
                <w:sz w:val="19"/>
              </w:rPr>
              <w:t>重复行数量</w:t>
            </w:r>
          </w:p>
        </w:tc>
        <w:tc>
          <w:tcPr>
            <w:tcW w:type="dxa" w:w="2986"/>
            <w:vAlign w:val="center"/>
          </w:tcPr>
          <w:p>
            <w:pPr>
              <w:spacing w:after="0"/>
              <w:jc w:val="center"/>
            </w:pPr>
            <w:r/>
            <w:r>
              <w:rPr>
                <w:rFonts w:ascii="宋体" w:hAnsi="宋体" w:eastAsia="宋体"/>
                <w:b w:val="0"/>
                <w:sz w:val="19"/>
              </w:rPr>
              <w:t>0</w:t>
            </w:r>
          </w:p>
        </w:tc>
        <w:tc>
          <w:tcPr>
            <w:tcW w:type="dxa" w:w="2986"/>
            <w:vAlign w:val="center"/>
          </w:tcPr>
          <w:p>
            <w:pPr>
              <w:spacing w:after="0"/>
              <w:jc w:val="center"/>
            </w:pPr>
            <w:r/>
            <w:r>
              <w:rPr>
                <w:rFonts w:ascii="宋体" w:hAnsi="宋体" w:eastAsia="宋体"/>
                <w:b w:val="0"/>
                <w:sz w:val="19"/>
              </w:rPr>
              <w:t>无需删除</w:t>
            </w:r>
          </w:p>
        </w:tc>
      </w:tr>
      <w:tr>
        <w:tc>
          <w:tcPr>
            <w:tcW w:type="dxa" w:w="2986"/>
            <w:vAlign w:val="center"/>
          </w:tcPr>
          <w:p>
            <w:pPr>
              <w:spacing w:after="0"/>
              <w:jc w:val="center"/>
            </w:pPr>
            <w:r/>
            <w:r>
              <w:rPr>
                <w:rFonts w:ascii="宋体" w:hAnsi="宋体" w:eastAsia="宋体"/>
                <w:b w:val="0"/>
                <w:sz w:val="19"/>
              </w:rPr>
              <w:t>重复 id 数量</w:t>
            </w:r>
          </w:p>
        </w:tc>
        <w:tc>
          <w:tcPr>
            <w:tcW w:type="dxa" w:w="2986"/>
            <w:vAlign w:val="center"/>
          </w:tcPr>
          <w:p>
            <w:pPr>
              <w:spacing w:after="0"/>
              <w:jc w:val="center"/>
            </w:pPr>
            <w:r/>
            <w:r>
              <w:rPr>
                <w:rFonts w:ascii="宋体" w:hAnsi="宋体" w:eastAsia="宋体"/>
                <w:b w:val="0"/>
                <w:sz w:val="19"/>
              </w:rPr>
              <w:t>0</w:t>
            </w:r>
          </w:p>
        </w:tc>
        <w:tc>
          <w:tcPr>
            <w:tcW w:type="dxa" w:w="2986"/>
            <w:vAlign w:val="center"/>
          </w:tcPr>
          <w:p>
            <w:pPr>
              <w:spacing w:after="0"/>
              <w:jc w:val="center"/>
            </w:pPr>
            <w:r/>
            <w:r>
              <w:rPr>
                <w:rFonts w:ascii="宋体" w:hAnsi="宋体" w:eastAsia="宋体"/>
                <w:b w:val="0"/>
                <w:sz w:val="19"/>
              </w:rPr>
              <w:t>无需删除</w:t>
            </w:r>
          </w:p>
        </w:tc>
      </w:tr>
      <w:tr>
        <w:tc>
          <w:tcPr>
            <w:tcW w:type="dxa" w:w="2986"/>
            <w:vAlign w:val="center"/>
          </w:tcPr>
          <w:p>
            <w:pPr>
              <w:spacing w:after="0"/>
              <w:jc w:val="center"/>
            </w:pPr>
            <w:r/>
            <w:r>
              <w:rPr>
                <w:rFonts w:ascii="宋体" w:hAnsi="宋体" w:eastAsia="宋体"/>
                <w:b w:val="0"/>
                <w:sz w:val="19"/>
              </w:rPr>
              <w:t>关键数值字段合理范围</w:t>
            </w:r>
          </w:p>
        </w:tc>
        <w:tc>
          <w:tcPr>
            <w:tcW w:type="dxa" w:w="2986"/>
            <w:vAlign w:val="center"/>
          </w:tcPr>
          <w:p>
            <w:pPr>
              <w:spacing w:after="0"/>
              <w:jc w:val="center"/>
            </w:pPr>
            <w:r/>
            <w:r>
              <w:rPr>
                <w:rFonts w:ascii="宋体" w:hAnsi="宋体" w:eastAsia="宋体"/>
                <w:b w:val="0"/>
                <w:sz w:val="19"/>
              </w:rPr>
              <w:t>全部通过</w:t>
            </w:r>
          </w:p>
        </w:tc>
        <w:tc>
          <w:tcPr>
            <w:tcW w:type="dxa" w:w="2986"/>
            <w:vAlign w:val="center"/>
          </w:tcPr>
          <w:p>
            <w:pPr>
              <w:spacing w:after="0"/>
              <w:jc w:val="center"/>
            </w:pPr>
            <w:r/>
            <w:r>
              <w:rPr>
                <w:rFonts w:ascii="宋体" w:hAnsi="宋体" w:eastAsia="宋体"/>
                <w:b w:val="0"/>
                <w:sz w:val="19"/>
              </w:rPr>
              <w:t>检查后未发现需删除记录</w:t>
            </w:r>
          </w:p>
        </w:tc>
      </w:tr>
      <w:tr>
        <w:tc>
          <w:tcPr>
            <w:tcW w:type="dxa" w:w="2986"/>
            <w:vAlign w:val="center"/>
          </w:tcPr>
          <w:p>
            <w:pPr>
              <w:spacing w:after="0"/>
              <w:jc w:val="center"/>
            </w:pPr>
            <w:r/>
            <w:r>
              <w:rPr>
                <w:rFonts w:ascii="宋体" w:hAnsi="宋体" w:eastAsia="宋体"/>
                <w:b w:val="0"/>
                <w:sz w:val="19"/>
              </w:rPr>
              <w:t>工程特征生成</w:t>
            </w:r>
          </w:p>
        </w:tc>
        <w:tc>
          <w:tcPr>
            <w:tcW w:type="dxa" w:w="2986"/>
            <w:vAlign w:val="center"/>
          </w:tcPr>
          <w:p>
            <w:pPr>
              <w:spacing w:after="0"/>
              <w:jc w:val="center"/>
            </w:pPr>
            <w:r/>
            <w:r>
              <w:rPr>
                <w:rFonts w:ascii="宋体" w:hAnsi="宋体" w:eastAsia="宋体"/>
                <w:b w:val="0"/>
                <w:sz w:val="19"/>
              </w:rPr>
              <w:t>7 个特征全部生成</w:t>
            </w:r>
          </w:p>
        </w:tc>
        <w:tc>
          <w:tcPr>
            <w:tcW w:type="dxa" w:w="2986"/>
            <w:vAlign w:val="center"/>
          </w:tcPr>
          <w:p>
            <w:pPr>
              <w:spacing w:after="0"/>
              <w:jc w:val="center"/>
            </w:pPr>
            <w:r/>
            <w:r>
              <w:rPr>
                <w:rFonts w:ascii="宋体" w:hAnsi="宋体" w:eastAsia="宋体"/>
                <w:b w:val="0"/>
                <w:sz w:val="19"/>
              </w:rPr>
              <w:t>用于补充行为比例和交互信息</w:t>
            </w:r>
          </w:p>
        </w:tc>
      </w:tr>
      <w:tr>
        <w:tc>
          <w:tcPr>
            <w:tcW w:type="dxa" w:w="2986"/>
            <w:vAlign w:val="center"/>
          </w:tcPr>
          <w:p>
            <w:pPr>
              <w:spacing w:after="0"/>
              <w:jc w:val="center"/>
            </w:pPr>
            <w:r/>
            <w:r>
              <w:rPr>
                <w:rFonts w:ascii="宋体" w:hAnsi="宋体" w:eastAsia="宋体"/>
                <w:b w:val="0"/>
                <w:sz w:val="19"/>
              </w:rPr>
              <w:t>分类泄漏字段排除</w:t>
            </w:r>
          </w:p>
        </w:tc>
        <w:tc>
          <w:tcPr>
            <w:tcW w:type="dxa" w:w="2986"/>
            <w:vAlign w:val="center"/>
          </w:tcPr>
          <w:p>
            <w:pPr>
              <w:spacing w:after="0"/>
              <w:jc w:val="center"/>
            </w:pPr>
            <w:r/>
            <w:r>
              <w:rPr>
                <w:rFonts w:ascii="宋体" w:hAnsi="宋体" w:eastAsia="宋体"/>
                <w:b w:val="0"/>
                <w:sz w:val="19"/>
              </w:rPr>
              <w:t>通过</w:t>
            </w:r>
          </w:p>
        </w:tc>
        <w:tc>
          <w:tcPr>
            <w:tcW w:type="dxa" w:w="2986"/>
            <w:vAlign w:val="center"/>
          </w:tcPr>
          <w:p>
            <w:pPr>
              <w:spacing w:after="0"/>
              <w:jc w:val="center"/>
            </w:pPr>
            <w:r/>
            <w:r>
              <w:rPr>
                <w:rFonts w:ascii="宋体" w:hAnsi="宋体" w:eastAsia="宋体"/>
                <w:b w:val="0"/>
                <w:sz w:val="19"/>
              </w:rPr>
              <w:t>排除 outcome 字段与 id</w:t>
            </w:r>
          </w:p>
        </w:tc>
      </w:tr>
      <w:tr>
        <w:tc>
          <w:tcPr>
            <w:tcW w:type="dxa" w:w="2986"/>
            <w:vAlign w:val="center"/>
          </w:tcPr>
          <w:p>
            <w:pPr>
              <w:spacing w:after="0"/>
              <w:jc w:val="center"/>
            </w:pPr>
            <w:r/>
            <w:r>
              <w:rPr>
                <w:rFonts w:ascii="宋体" w:hAnsi="宋体" w:eastAsia="宋体"/>
                <w:b w:val="0"/>
                <w:sz w:val="19"/>
              </w:rPr>
              <w:t>回归 outcome 控制</w:t>
            </w:r>
          </w:p>
        </w:tc>
        <w:tc>
          <w:tcPr>
            <w:tcW w:type="dxa" w:w="2986"/>
            <w:vAlign w:val="center"/>
          </w:tcPr>
          <w:p>
            <w:pPr>
              <w:spacing w:after="0"/>
              <w:jc w:val="center"/>
            </w:pPr>
            <w:r/>
            <w:r>
              <w:rPr>
                <w:rFonts w:ascii="宋体" w:hAnsi="宋体" w:eastAsia="宋体"/>
                <w:b w:val="0"/>
                <w:sz w:val="19"/>
              </w:rPr>
              <w:t>通过</w:t>
            </w:r>
          </w:p>
        </w:tc>
        <w:tc>
          <w:tcPr>
            <w:tcW w:type="dxa" w:w="2986"/>
            <w:vAlign w:val="center"/>
          </w:tcPr>
          <w:p>
            <w:pPr>
              <w:spacing w:after="0"/>
              <w:jc w:val="left"/>
            </w:pPr>
            <w:r/>
            <w:r>
              <w:rPr>
                <w:rFonts w:ascii="宋体" w:hAnsi="宋体" w:eastAsia="宋体"/>
                <w:b w:val="0"/>
                <w:sz w:val="19"/>
              </w:rPr>
              <w:t>排除 high_risk_flag 和其他结果变量</w:t>
            </w:r>
          </w:p>
        </w:tc>
      </w:tr>
      <w:tr>
        <w:tc>
          <w:tcPr>
            <w:tcW w:type="dxa" w:w="2986"/>
            <w:vAlign w:val="center"/>
          </w:tcPr>
          <w:p>
            <w:pPr>
              <w:spacing w:after="0"/>
              <w:jc w:val="center"/>
            </w:pPr>
            <w:r/>
            <w:r>
              <w:rPr>
                <w:rFonts w:ascii="宋体" w:hAnsi="宋体" w:eastAsia="宋体"/>
                <w:b w:val="0"/>
                <w:sz w:val="19"/>
              </w:rPr>
              <w:t>聚类输入控制</w:t>
            </w:r>
          </w:p>
        </w:tc>
        <w:tc>
          <w:tcPr>
            <w:tcW w:type="dxa" w:w="2986"/>
            <w:vAlign w:val="center"/>
          </w:tcPr>
          <w:p>
            <w:pPr>
              <w:spacing w:after="0"/>
              <w:jc w:val="center"/>
            </w:pPr>
            <w:r/>
            <w:r>
              <w:rPr>
                <w:rFonts w:ascii="宋体" w:hAnsi="宋体" w:eastAsia="宋体"/>
                <w:b w:val="0"/>
                <w:sz w:val="19"/>
              </w:rPr>
              <w:t>通过</w:t>
            </w:r>
          </w:p>
        </w:tc>
        <w:tc>
          <w:tcPr>
            <w:tcW w:type="dxa" w:w="2986"/>
            <w:vAlign w:val="center"/>
          </w:tcPr>
          <w:p>
            <w:pPr>
              <w:spacing w:after="0"/>
              <w:jc w:val="center"/>
            </w:pPr>
            <w:r/>
            <w:r>
              <w:rPr>
                <w:rFonts w:ascii="宋体" w:hAnsi="宋体" w:eastAsia="宋体"/>
                <w:b w:val="0"/>
                <w:sz w:val="19"/>
              </w:rPr>
              <w:t>仅使用行为与生活习惯数值特征</w:t>
            </w:r>
          </w:p>
        </w:tc>
      </w:tr>
    </w:tbl>
    <w:p/>
    <w:p>
      <w:pPr>
        <w:pStyle w:val="Heading2"/>
      </w:pPr>
      <w:r>
        <w:rPr>
          <w:rFonts w:ascii="黑体" w:hAnsi="黑体" w:eastAsia="黑体"/>
          <w:b/>
          <w:sz w:val="26"/>
        </w:rPr>
        <w:t>数据合理性校验</w:t>
      </w:r>
    </w:p>
    <w:p>
      <w:pPr>
        <w:spacing w:line="300" w:lineRule="auto" w:after="80"/>
        <w:ind w:firstLine="420"/>
      </w:pPr>
      <w:r>
        <w:rPr>
          <w:rFonts w:ascii="宋体" w:hAnsi="宋体" w:eastAsia="宋体"/>
          <w:sz w:val="21"/>
        </w:rPr>
        <w:t>本文对关键数值字段进行合理范围检查，包括 age、device_hours_per_day、phone_unlocks、notifications_per_day、social_media_mins、study_mins、physical_activity_days、sleep_hours、sleep_quality、productivity_score 和 digital_dependence_score。检查结果未发现需删除的严重异常记录，因此不进行样本删除。</w:t>
      </w:r>
    </w:p>
    <w:p>
      <w:pPr>
        <w:spacing w:line="300" w:lineRule="auto" w:after="80"/>
        <w:ind w:firstLine="420"/>
      </w:pPr>
      <w:r>
        <w:rPr>
          <w:rFonts w:ascii="宋体" w:hAnsi="宋体" w:eastAsia="宋体"/>
          <w:sz w:val="21"/>
        </w:rPr>
        <w:t>这一步的意义在于区分“极端值”和“明显不合理值”。例如设备时长、通知数量和社交媒体时长可能天然存在较大差异，但只要仍在合理范围内，就不应为了让数据更整齐而随意删除。</w:t>
      </w:r>
    </w:p>
    <w:p>
      <w:pPr>
        <w:pStyle w:val="Heading2"/>
      </w:pPr>
      <w:r>
        <w:rPr>
          <w:rFonts w:ascii="黑体" w:hAnsi="黑体" w:eastAsia="黑体"/>
          <w:b/>
          <w:sz w:val="26"/>
        </w:rPr>
        <w:t>特征工程与特征提取</w:t>
      </w:r>
    </w:p>
    <w:p>
      <w:pPr>
        <w:spacing w:line="300" w:lineRule="auto" w:after="80"/>
        <w:ind w:firstLine="420"/>
      </w:pPr>
      <w:r>
        <w:rPr>
          <w:rFonts w:ascii="宋体" w:hAnsi="宋体" w:eastAsia="宋体"/>
          <w:sz w:val="21"/>
        </w:rPr>
        <w:t>在原始行为变量基础上，本文生成以下工程特征：social_media_hours、study_hours、notifications_per_device_hour、unlocks_per_device_hour、device_to_sleep_ratio、activity_sleep_interaction 和 social_to_study_ratio。这些特征用于补充“单位设备时长下的通知压力”“设备使用与睡眠的相对关系”“活动与睡眠交互”等信息。</w:t>
      </w:r>
    </w:p>
    <w:p>
      <w:pPr>
        <w:jc w:val="center"/>
      </w:pPr>
      <w:r>
        <w:rPr>
          <w:rFonts w:ascii="宋体" w:hAnsi="宋体" w:eastAsia="宋体"/>
          <w:b/>
          <w:sz w:val="21"/>
        </w:rPr>
        <w:t>代码 3-1 特征工程函数片段</w:t>
      </w:r>
    </w:p>
    <w:p>
      <w:pPr>
        <w:spacing w:after="0"/>
        <w:ind w:left="280"/>
      </w:pPr>
      <w:r>
        <w:rPr>
          <w:rFonts w:ascii="Consolas" w:hAnsi="Consolas" w:eastAsia="Consolas"/>
          <w:sz w:val="17"/>
        </w:rPr>
        <w:t>df["social_media_hours"] = df["social_media_mins"] / 60.0</w:t>
      </w:r>
    </w:p>
    <w:p>
      <w:pPr>
        <w:spacing w:after="0"/>
        <w:ind w:left="280"/>
      </w:pPr>
      <w:r>
        <w:rPr>
          <w:rFonts w:ascii="Consolas" w:hAnsi="Consolas" w:eastAsia="Consolas"/>
          <w:sz w:val="17"/>
        </w:rPr>
        <w:t>df["study_hours"] = df["study_mins"] / 60.0</w:t>
      </w:r>
    </w:p>
    <w:p>
      <w:pPr>
        <w:spacing w:after="0"/>
        <w:ind w:left="280"/>
      </w:pPr>
      <w:r>
        <w:rPr>
          <w:rFonts w:ascii="Consolas" w:hAnsi="Consolas" w:eastAsia="Consolas"/>
          <w:sz w:val="17"/>
        </w:rPr>
        <w:t>df["notifications_per_device_hour"] = (</w:t>
      </w:r>
    </w:p>
    <w:p>
      <w:pPr>
        <w:spacing w:after="0"/>
        <w:ind w:left="280"/>
      </w:pPr>
      <w:r>
        <w:rPr>
          <w:rFonts w:ascii="Consolas" w:hAnsi="Consolas" w:eastAsia="Consolas"/>
          <w:sz w:val="17"/>
        </w:rPr>
        <w:t xml:space="preserve">    df["notifications_per_day"] / df["device_hours_per_day"].clip(lower=0.1)</w:t>
      </w:r>
    </w:p>
    <w:p>
      <w:pPr>
        <w:spacing w:after="0"/>
        <w:ind w:left="280"/>
      </w:pPr>
      <w:r>
        <w:rPr>
          <w:rFonts w:ascii="Consolas" w:hAnsi="Consolas" w:eastAsia="Consolas"/>
          <w:sz w:val="17"/>
        </w:rPr>
        <w:t>)</w:t>
      </w:r>
    </w:p>
    <w:p>
      <w:pPr>
        <w:spacing w:after="0"/>
        <w:ind w:left="280"/>
      </w:pPr>
      <w:r>
        <w:rPr>
          <w:rFonts w:ascii="Consolas" w:hAnsi="Consolas" w:eastAsia="Consolas"/>
          <w:sz w:val="17"/>
        </w:rPr>
        <w:t>df["unlocks_per_device_hour"] = (</w:t>
      </w:r>
    </w:p>
    <w:p>
      <w:pPr>
        <w:spacing w:after="0"/>
        <w:ind w:left="280"/>
      </w:pPr>
      <w:r>
        <w:rPr>
          <w:rFonts w:ascii="Consolas" w:hAnsi="Consolas" w:eastAsia="Consolas"/>
          <w:sz w:val="17"/>
        </w:rPr>
        <w:t xml:space="preserve">    df["phone_unlocks"] / df["device_hours_per_day"].clip(lower=0.1)</w:t>
      </w:r>
    </w:p>
    <w:p>
      <w:pPr>
        <w:spacing w:after="0"/>
        <w:ind w:left="280"/>
      </w:pPr>
      <w:r>
        <w:rPr>
          <w:rFonts w:ascii="Consolas" w:hAnsi="Consolas" w:eastAsia="Consolas"/>
          <w:sz w:val="17"/>
        </w:rPr>
        <w:t>)</w:t>
      </w:r>
    </w:p>
    <w:p>
      <w:pPr>
        <w:spacing w:after="0"/>
        <w:ind w:left="280"/>
      </w:pPr>
      <w:r>
        <w:rPr>
          <w:rFonts w:ascii="Consolas" w:hAnsi="Consolas" w:eastAsia="Consolas"/>
          <w:sz w:val="17"/>
        </w:rPr>
        <w:t>df["device_to_sleep_ratio"] = (</w:t>
      </w:r>
    </w:p>
    <w:p>
      <w:pPr>
        <w:spacing w:after="0"/>
        <w:ind w:left="280"/>
      </w:pPr>
      <w:r>
        <w:rPr>
          <w:rFonts w:ascii="Consolas" w:hAnsi="Consolas" w:eastAsia="Consolas"/>
          <w:sz w:val="17"/>
        </w:rPr>
        <w:t xml:space="preserve">    df["device_hours_per_day"] / df["sleep_hours"].clip(lower=0.1)</w:t>
      </w:r>
    </w:p>
    <w:p>
      <w:pPr>
        <w:spacing w:after="0"/>
        <w:ind w:left="280"/>
      </w:pPr>
      <w:r>
        <w:rPr>
          <w:rFonts w:ascii="Consolas" w:hAnsi="Consolas" w:eastAsia="Consolas"/>
          <w:sz w:val="17"/>
        </w:rPr>
        <w:t>)</w:t>
      </w:r>
    </w:p>
    <w:p>
      <w:pPr>
        <w:spacing w:after="0"/>
        <w:ind w:left="280"/>
      </w:pPr>
      <w:r>
        <w:rPr>
          <w:rFonts w:ascii="Consolas" w:hAnsi="Consolas" w:eastAsia="Consolas"/>
          <w:sz w:val="17"/>
        </w:rPr>
        <w:t>df["activity_sleep_interaction"] = (</w:t>
      </w:r>
    </w:p>
    <w:p>
      <w:pPr>
        <w:spacing w:after="0"/>
        <w:ind w:left="280"/>
      </w:pPr>
      <w:r>
        <w:rPr>
          <w:rFonts w:ascii="Consolas" w:hAnsi="Consolas" w:eastAsia="Consolas"/>
          <w:sz w:val="17"/>
        </w:rPr>
        <w:t xml:space="preserve">    df["physical_activity_days"] * df["sleep_hours"]</w:t>
      </w:r>
    </w:p>
    <w:p>
      <w:pPr>
        <w:spacing w:after="0"/>
        <w:ind w:left="280"/>
      </w:pPr>
      <w:r>
        <w:rPr>
          <w:rFonts w:ascii="Consolas" w:hAnsi="Consolas" w:eastAsia="Consolas"/>
          <w:sz w:val="17"/>
        </w:rPr>
        <w:t>)</w:t>
      </w:r>
    </w:p>
    <w:p>
      <w:pPr>
        <w:spacing w:after="0"/>
        <w:ind w:left="280"/>
      </w:pPr>
      <w:r>
        <w:rPr>
          <w:rFonts w:ascii="Consolas" w:hAnsi="Consolas" w:eastAsia="Consolas"/>
          <w:sz w:val="17"/>
        </w:rPr>
        <w:t>df["social_to_study_ratio"] = (</w:t>
      </w:r>
    </w:p>
    <w:p>
      <w:pPr>
        <w:spacing w:after="0"/>
        <w:ind w:left="280"/>
      </w:pPr>
      <w:r>
        <w:rPr>
          <w:rFonts w:ascii="Consolas" w:hAnsi="Consolas" w:eastAsia="Consolas"/>
          <w:sz w:val="17"/>
        </w:rPr>
        <w:t xml:space="preserve">    df["social_media_mins"] / df["study_mins"].clip(lower=1.0)</w:t>
      </w:r>
    </w:p>
    <w:p>
      <w:pPr>
        <w:spacing w:after="0"/>
        <w:ind w:left="280"/>
      </w:pPr>
      <w:r>
        <w:rPr>
          <w:rFonts w:ascii="Consolas" w:hAnsi="Consolas" w:eastAsia="Consolas"/>
          <w:sz w:val="17"/>
        </w:rPr>
        <w:t>)</w:t>
      </w:r>
    </w:p>
    <w:p>
      <w:pPr>
        <w:pStyle w:val="Heading2"/>
      </w:pPr>
      <w:r>
        <w:rPr>
          <w:rFonts w:ascii="黑体" w:hAnsi="黑体" w:eastAsia="黑体"/>
          <w:b/>
          <w:sz w:val="26"/>
        </w:rPr>
        <w:t>PCA 降维扩展与 LCA/GMM 说明</w:t>
      </w:r>
    </w:p>
    <w:p>
      <w:pPr>
        <w:spacing w:line="300" w:lineRule="auto" w:after="80"/>
        <w:ind w:firstLine="420"/>
      </w:pPr>
      <w:r>
        <w:rPr>
          <w:rFonts w:ascii="宋体" w:hAnsi="宋体" w:eastAsia="宋体"/>
          <w:sz w:val="21"/>
        </w:rPr>
        <w:t>PCA 分析基于聚类使用的标准化数字行为与生活习惯数值特征。结果显示，前两个主成分累计解释约 42.41% 方差，前五个主成分累计解释约 78.95% 方差。本文将 PCA 用于聚类结果的降维可视化和辅助理解，不作为分类或回归模型输入，也不将 PCA 主成分解释为因果因素。</w:t>
      </w:r>
    </w:p>
    <w:p>
      <w:pPr>
        <w:spacing w:line="300" w:lineRule="auto" w:after="80"/>
        <w:ind w:firstLine="420"/>
      </w:pPr>
      <w:r>
        <w:rPr>
          <w:rFonts w:ascii="宋体" w:hAnsi="宋体" w:eastAsia="宋体"/>
          <w:sz w:val="21"/>
        </w:rPr>
        <w:t>本文未单独引入 LCA。原因是本报告聚类输入以连续型数字行为和生活习惯变量为主，而 LCA 更常用于类别型潜在类别分析。作为补充，本文采用 GaussianMixture 作为概率式聚类方法，用于近似刻画潜在群体结构，并与 KMeans 和层次聚类形成对比。</w:t>
      </w:r>
    </w:p>
    <w:p>
      <w:pPr>
        <w:pStyle w:val="Heading2"/>
      </w:pPr>
      <w:r>
        <w:rPr>
          <w:rFonts w:ascii="黑体" w:hAnsi="黑体" w:eastAsia="黑体"/>
          <w:b/>
          <w:sz w:val="26"/>
        </w:rPr>
        <w:t>特征筛选与目标泄漏控制</w:t>
      </w:r>
    </w:p>
    <w:p>
      <w:pPr>
        <w:spacing w:line="300" w:lineRule="auto" w:after="80"/>
        <w:ind w:firstLine="420"/>
      </w:pPr>
      <w:r>
        <w:rPr>
          <w:rFonts w:ascii="宋体" w:hAnsi="宋体" w:eastAsia="宋体"/>
          <w:sz w:val="21"/>
        </w:rPr>
        <w:t>目标泄漏控制是本文预处理阶段的重要步骤。分类任务预测 high_risk_flag 时，不使用 anxiety_score、depression_score、stress_level、happiness_score、focus_score、productivity_score、digital_dependence_score、id 和 high_risk_flag 作为输入特征。回归任务不使用 high_risk_flag 和其他 outcome 字段。聚类任务只使用数字行为与生活习惯数值特征，背景变量和结果变量仅用于聚类后的画像解释。</w:t>
      </w:r>
    </w:p>
    <w:p>
      <w:pPr>
        <w:jc w:val="center"/>
      </w:pPr>
      <w:r>
        <w:rPr>
          <w:rFonts w:ascii="宋体" w:hAnsi="宋体" w:eastAsia="宋体"/>
          <w:b/>
          <w:sz w:val="21"/>
        </w:rPr>
        <w:t>代码 3-2 目标泄漏字段排除逻辑片段</w:t>
      </w:r>
    </w:p>
    <w:p>
      <w:pPr>
        <w:spacing w:after="0"/>
        <w:ind w:left="280"/>
      </w:pPr>
      <w:r>
        <w:rPr>
          <w:rFonts w:ascii="Consolas" w:hAnsi="Consolas" w:eastAsia="Consolas"/>
          <w:sz w:val="17"/>
        </w:rPr>
        <w:t>HIGH_RISK_LEAKAGE_COLUMNS = [</w:t>
      </w:r>
    </w:p>
    <w:p>
      <w:pPr>
        <w:spacing w:after="0"/>
        <w:ind w:left="280"/>
      </w:pPr>
      <w:r>
        <w:rPr>
          <w:rFonts w:ascii="Consolas" w:hAnsi="Consolas" w:eastAsia="Consolas"/>
          <w:sz w:val="17"/>
        </w:rPr>
        <w:t xml:space="preserve">    "anxiety_score", "depression_score", "stress_level",</w:t>
      </w:r>
    </w:p>
    <w:p>
      <w:pPr>
        <w:spacing w:after="0"/>
        <w:ind w:left="280"/>
      </w:pPr>
      <w:r>
        <w:rPr>
          <w:rFonts w:ascii="Consolas" w:hAnsi="Consolas" w:eastAsia="Consolas"/>
          <w:sz w:val="17"/>
        </w:rPr>
        <w:t xml:space="preserve">    "happiness_score", "focus_score", "productivity_score",</w:t>
      </w:r>
    </w:p>
    <w:p>
      <w:pPr>
        <w:spacing w:after="0"/>
        <w:ind w:left="280"/>
      </w:pPr>
      <w:r>
        <w:rPr>
          <w:rFonts w:ascii="Consolas" w:hAnsi="Consolas" w:eastAsia="Consolas"/>
          <w:sz w:val="17"/>
        </w:rPr>
        <w:t xml:space="preserve">    "digital_dependence_score"</w:t>
      </w:r>
    </w:p>
    <w:p>
      <w:pPr>
        <w:spacing w:after="0"/>
        <w:ind w:left="280"/>
      </w:pPr>
      <w:r>
        <w:rPr>
          <w:rFonts w:ascii="Consolas" w:hAnsi="Consolas" w:eastAsia="Consolas"/>
          <w:sz w:val="17"/>
        </w:rPr>
        <w:t>]</w:t>
      </w:r>
    </w:p>
    <w:p>
      <w:pPr>
        <w:spacing w:after="0"/>
        <w:ind w:left="280"/>
      </w:pPr>
      <w:r>
        <w:rPr>
          <w:rFonts w:ascii="Consolas" w:hAnsi="Consolas" w:eastAsia="Consolas"/>
          <w:sz w:val="17"/>
        </w:rPr>
      </w:r>
    </w:p>
    <w:p>
      <w:pPr>
        <w:spacing w:after="0"/>
        <w:ind w:left="280"/>
      </w:pPr>
      <w:r>
        <w:rPr>
          <w:rFonts w:ascii="Consolas" w:hAnsi="Consolas" w:eastAsia="Consolas"/>
          <w:sz w:val="17"/>
        </w:rPr>
        <w:t>classification_drop = [</w:t>
      </w:r>
    </w:p>
    <w:p>
      <w:pPr>
        <w:spacing w:after="0"/>
        <w:ind w:left="280"/>
      </w:pPr>
      <w:r>
        <w:rPr>
          <w:rFonts w:ascii="Consolas" w:hAnsi="Consolas" w:eastAsia="Consolas"/>
          <w:sz w:val="17"/>
        </w:rPr>
        <w:t xml:space="preserve">    "id", "high_risk_flag", *HIGH_RISK_LEAKAGE_COLUMNS</w:t>
      </w:r>
    </w:p>
    <w:p>
      <w:pPr>
        <w:spacing w:after="0"/>
        <w:ind w:left="280"/>
      </w:pPr>
      <w:r>
        <w:rPr>
          <w:rFonts w:ascii="Consolas" w:hAnsi="Consolas" w:eastAsia="Consolas"/>
          <w:sz w:val="17"/>
        </w:rPr>
        <w:t>]</w:t>
      </w:r>
    </w:p>
    <w:p>
      <w:pPr>
        <w:spacing w:after="0"/>
        <w:ind w:left="280"/>
      </w:pPr>
      <w:r>
        <w:rPr>
          <w:rFonts w:ascii="Consolas" w:hAnsi="Consolas" w:eastAsia="Consolas"/>
          <w:sz w:val="17"/>
        </w:rPr>
      </w:r>
    </w:p>
    <w:p>
      <w:pPr>
        <w:spacing w:after="0"/>
        <w:ind w:left="280"/>
      </w:pPr>
      <w:r>
        <w:rPr>
          <w:rFonts w:ascii="Consolas" w:hAnsi="Consolas" w:eastAsia="Consolas"/>
          <w:sz w:val="17"/>
        </w:rPr>
        <w:t>clustering_features = [</w:t>
      </w:r>
    </w:p>
    <w:p>
      <w:pPr>
        <w:spacing w:after="0"/>
        <w:ind w:left="280"/>
      </w:pPr>
      <w:r>
        <w:rPr>
          <w:rFonts w:ascii="Consolas" w:hAnsi="Consolas" w:eastAsia="Consolas"/>
          <w:sz w:val="17"/>
        </w:rPr>
        <w:t xml:space="preserve">    "device_hours_per_day", "phone_unlocks", "notifications_per_day",</w:t>
      </w:r>
    </w:p>
    <w:p>
      <w:pPr>
        <w:spacing w:after="0"/>
        <w:ind w:left="280"/>
      </w:pPr>
      <w:r>
        <w:rPr>
          <w:rFonts w:ascii="Consolas" w:hAnsi="Consolas" w:eastAsia="Consolas"/>
          <w:sz w:val="17"/>
        </w:rPr>
        <w:t xml:space="preserve">    "social_media_mins", "study_mins", "physical_activity_days",</w:t>
      </w:r>
    </w:p>
    <w:p>
      <w:pPr>
        <w:spacing w:after="0"/>
        <w:ind w:left="280"/>
      </w:pPr>
      <w:r>
        <w:rPr>
          <w:rFonts w:ascii="Consolas" w:hAnsi="Consolas" w:eastAsia="Consolas"/>
          <w:sz w:val="17"/>
        </w:rPr>
        <w:t xml:space="preserve">    "sleep_hours", "sleep_quality", "social_media_hours",</w:t>
      </w:r>
    </w:p>
    <w:p>
      <w:pPr>
        <w:spacing w:after="0"/>
        <w:ind w:left="280"/>
      </w:pPr>
      <w:r>
        <w:rPr>
          <w:rFonts w:ascii="Consolas" w:hAnsi="Consolas" w:eastAsia="Consolas"/>
          <w:sz w:val="17"/>
        </w:rPr>
        <w:t xml:space="preserve">    "study_hours", "notifications_per_device_hour",</w:t>
      </w:r>
    </w:p>
    <w:p>
      <w:pPr>
        <w:spacing w:after="0"/>
        <w:ind w:left="280"/>
      </w:pPr>
      <w:r>
        <w:rPr>
          <w:rFonts w:ascii="Consolas" w:hAnsi="Consolas" w:eastAsia="Consolas"/>
          <w:sz w:val="17"/>
        </w:rPr>
        <w:t xml:space="preserve">    "unlocks_per_device_hour", "device_to_sleep_ratio",</w:t>
      </w:r>
    </w:p>
    <w:p>
      <w:pPr>
        <w:spacing w:after="0"/>
        <w:ind w:left="280"/>
      </w:pPr>
      <w:r>
        <w:rPr>
          <w:rFonts w:ascii="Consolas" w:hAnsi="Consolas" w:eastAsia="Consolas"/>
          <w:sz w:val="17"/>
        </w:rPr>
        <w:t xml:space="preserve">    "activity_sleep_interaction", "social_to_study_ratio"</w:t>
      </w:r>
    </w:p>
    <w:p>
      <w:pPr>
        <w:spacing w:after="0"/>
        <w:ind w:left="280"/>
      </w:pPr>
      <w:r>
        <w:rPr>
          <w:rFonts w:ascii="Consolas" w:hAnsi="Consolas" w:eastAsia="Consolas"/>
          <w:sz w:val="17"/>
        </w:rPr>
        <w:t>]</w:t>
      </w:r>
    </w:p>
    <w:p>
      <w:pPr>
        <w:pStyle w:val="Heading2"/>
      </w:pPr>
      <w:r>
        <w:rPr>
          <w:rFonts w:ascii="黑体" w:hAnsi="黑体" w:eastAsia="黑体"/>
          <w:b/>
          <w:sz w:val="26"/>
        </w:rPr>
        <w:t>预处理结果小结</w:t>
      </w:r>
    </w:p>
    <w:p>
      <w:pPr>
        <w:spacing w:line="300" w:lineRule="auto" w:after="80"/>
        <w:ind w:firstLine="420"/>
      </w:pPr>
      <w:r>
        <w:rPr>
          <w:rFonts w:ascii="宋体" w:hAnsi="宋体" w:eastAsia="宋体"/>
          <w:sz w:val="21"/>
        </w:rPr>
        <w:t>预处理结果表明，原始数据质量较完整，缺失值、重复行和重复 id 均为 0，关键字段合理范围检查通过，工程特征全部生成。分类、回归和聚类任务分别完成了输入特征边界控制，为后续 EDA 和机器学习建模提供了可复现的数据基础。</w:t>
      </w:r>
    </w:p>
    <w:p>
      <w:r>
        <w:br w:type="page"/>
      </w:r>
    </w:p>
    <w:p>
      <w:pPr>
        <w:pStyle w:val="Heading1"/>
        <w:jc w:val="center"/>
      </w:pPr>
      <w:r>
        <w:rPr>
          <w:rFonts w:ascii="黑体" w:hAnsi="黑体" w:eastAsia="黑体"/>
          <w:b/>
          <w:sz w:val="32"/>
        </w:rPr>
        <w:t>第4章 探索性分析与数据可视化</w:t>
      </w:r>
    </w:p>
    <w:p>
      <w:pPr>
        <w:pStyle w:val="Heading2"/>
      </w:pPr>
      <w:r>
        <w:rPr>
          <w:rFonts w:ascii="黑体" w:hAnsi="黑体" w:eastAsia="黑体"/>
          <w:b/>
          <w:sz w:val="26"/>
        </w:rPr>
        <w:t>描述性统计分析</w:t>
      </w:r>
    </w:p>
    <w:p>
      <w:pPr>
        <w:spacing w:line="300" w:lineRule="auto" w:after="80"/>
        <w:ind w:firstLine="420"/>
      </w:pPr>
      <w:r>
        <w:rPr>
          <w:rFonts w:ascii="宋体" w:hAnsi="宋体" w:eastAsia="宋体"/>
          <w:sz w:val="21"/>
        </w:rPr>
        <w:t>本章对应课程评分标准中的“探索性分析与数据可视化”。EDA 的目的，是在建模前理解变量分布、类别比例、变量相关性和风险组差异。数据中年龄范围为 13-50，设备使用时长范围约为 0.28-17.16 小时，睡眠时长范围约为 3.00-11.00 小时，digital_dependence_score 范围为 5.6-89.2，productivity_score 范围为 33-95。这些变量范围与预处理质量检查结果一致。</w:t>
      </w:r>
    </w:p>
    <w:p>
      <w:pPr>
        <w:pStyle w:val="Heading2"/>
      </w:pPr>
      <w:r>
        <w:rPr>
          <w:rFonts w:ascii="黑体" w:hAnsi="黑体" w:eastAsia="黑体"/>
          <w:b/>
          <w:sz w:val="26"/>
        </w:rPr>
        <w:t>目标变量分布分析</w:t>
      </w:r>
    </w:p>
    <w:p>
      <w:pPr>
        <w:spacing w:line="300" w:lineRule="auto" w:after="80"/>
        <w:ind w:firstLine="420"/>
      </w:pPr>
      <w:r>
        <w:rPr>
          <w:rFonts w:ascii="宋体" w:hAnsi="宋体" w:eastAsia="宋体"/>
          <w:sz w:val="21"/>
        </w:rPr>
        <w:t>图 fig:eda-risk-distribution 展示 high_risk_flag 的分布。高风险样本不是多数类，因此后续分类模型不能只依赖 Accuracy 评价。如果模型倾向预测低风险，可能得到较高准确率但漏掉大量真实高风险样本。</w:t>
      </w:r>
    </w:p>
    <w:p>
      <w:pPr>
        <w:jc w:val="center"/>
      </w:pPr>
      <w:r>
        <w:drawing>
          <wp:inline xmlns:a="http://schemas.openxmlformats.org/drawingml/2006/main" xmlns:pic="http://schemas.openxmlformats.org/drawingml/2006/picture">
            <wp:extent cx="5166360" cy="3418673"/>
            <wp:docPr id="1" name="Picture 1"/>
            <wp:cNvGraphicFramePr>
              <a:graphicFrameLocks noChangeAspect="1"/>
            </wp:cNvGraphicFramePr>
            <a:graphic>
              <a:graphicData uri="http://schemas.openxmlformats.org/drawingml/2006/picture">
                <pic:pic>
                  <pic:nvPicPr>
                    <pic:cNvPr id="0" name="eda_high_risk_flag_distribution.png"/>
                    <pic:cNvPicPr/>
                  </pic:nvPicPr>
                  <pic:blipFill>
                    <a:blip r:embed="rId10"/>
                    <a:stretch>
                      <a:fillRect/>
                    </a:stretch>
                  </pic:blipFill>
                  <pic:spPr>
                    <a:xfrm>
                      <a:off x="0" y="0"/>
                      <a:ext cx="5166360" cy="3418673"/>
                    </a:xfrm>
                    <a:prstGeom prst="rect"/>
                  </pic:spPr>
                </pic:pic>
              </a:graphicData>
            </a:graphic>
          </wp:inline>
        </w:drawing>
      </w:r>
    </w:p>
    <w:p>
      <w:pPr>
        <w:jc w:val="center"/>
      </w:pPr>
      <w:r>
        <w:rPr>
          <w:rFonts w:ascii="宋体" w:hAnsi="宋体" w:eastAsia="宋体"/>
          <w:b/>
          <w:sz w:val="21"/>
        </w:rPr>
        <w:t>图 4-1 high_risk_flag 类别分布</w:t>
      </w:r>
    </w:p>
    <w:p>
      <w:pPr>
        <w:pStyle w:val="Heading2"/>
      </w:pPr>
      <w:r>
        <w:rPr>
          <w:rFonts w:ascii="黑体" w:hAnsi="黑体" w:eastAsia="黑体"/>
          <w:b/>
          <w:sz w:val="26"/>
        </w:rPr>
        <w:t>数值变量分布与相关性分析</w:t>
      </w:r>
    </w:p>
    <w:p>
      <w:pPr>
        <w:spacing w:line="300" w:lineRule="auto" w:after="80"/>
        <w:ind w:firstLine="420"/>
      </w:pPr>
      <w:r>
        <w:rPr>
          <w:rFonts w:ascii="宋体" w:hAnsi="宋体" w:eastAsia="宋体"/>
          <w:sz w:val="21"/>
        </w:rPr>
        <w:t>图 fig:eda-numeric-histograms 展示主要数值变量的分布。设备时长、通知数量、解锁次数和社交媒体使用时间反映数字行为差异；睡眠时长、睡眠质量和身体活动天数反映生活习惯差异；数字依赖和生产力得分则作为后续回归分析目标。</w:t>
      </w:r>
    </w:p>
    <w:p>
      <w:pPr>
        <w:jc w:val="center"/>
      </w:pPr>
      <w:r>
        <w:drawing>
          <wp:inline xmlns:a="http://schemas.openxmlformats.org/drawingml/2006/main" xmlns:pic="http://schemas.openxmlformats.org/drawingml/2006/picture">
            <wp:extent cx="5166360" cy="5696313"/>
            <wp:docPr id="2" name="Picture 2"/>
            <wp:cNvGraphicFramePr>
              <a:graphicFrameLocks noChangeAspect="1"/>
            </wp:cNvGraphicFramePr>
            <a:graphic>
              <a:graphicData uri="http://schemas.openxmlformats.org/drawingml/2006/picture">
                <pic:pic>
                  <pic:nvPicPr>
                    <pic:cNvPr id="0" name="eda_numeric_histograms.png"/>
                    <pic:cNvPicPr/>
                  </pic:nvPicPr>
                  <pic:blipFill>
                    <a:blip r:embed="rId11"/>
                    <a:stretch>
                      <a:fillRect/>
                    </a:stretch>
                  </pic:blipFill>
                  <pic:spPr>
                    <a:xfrm>
                      <a:off x="0" y="0"/>
                      <a:ext cx="5166360" cy="5696313"/>
                    </a:xfrm>
                    <a:prstGeom prst="rect"/>
                  </pic:spPr>
                </pic:pic>
              </a:graphicData>
            </a:graphic>
          </wp:inline>
        </w:drawing>
      </w:r>
    </w:p>
    <w:p>
      <w:pPr>
        <w:jc w:val="center"/>
      </w:pPr>
      <w:r>
        <w:rPr>
          <w:rFonts w:ascii="宋体" w:hAnsi="宋体" w:eastAsia="宋体"/>
          <w:b/>
          <w:sz w:val="21"/>
        </w:rPr>
        <w:t>图 4-2 主要数值变量分布直方图</w:t>
      </w:r>
    </w:p>
    <w:p>
      <w:pPr>
        <w:spacing w:line="300" w:lineRule="auto" w:after="80"/>
        <w:ind w:firstLine="420"/>
      </w:pPr>
      <w:r>
        <w:rPr>
          <w:rFonts w:ascii="宋体" w:hAnsi="宋体" w:eastAsia="宋体"/>
          <w:sz w:val="21"/>
        </w:rPr>
        <w:t>图 fig:eda-correlation 展示数值变量相关性。相关性热力图用于观察变量之间的线性关联和潜在冗余，例如部分数字行为变量与数字依赖得分之间存在较明显相关关系。需要强调，相关性不等于因果关系，图中的关系只能作为后续建模和解释的描述性证据。</w:t>
      </w:r>
    </w:p>
    <w:p>
      <w:pPr>
        <w:jc w:val="center"/>
      </w:pPr>
      <w:r>
        <w:drawing>
          <wp:inline xmlns:a="http://schemas.openxmlformats.org/drawingml/2006/main" xmlns:pic="http://schemas.openxmlformats.org/drawingml/2006/picture">
            <wp:extent cx="5166360" cy="4644208"/>
            <wp:docPr id="3" name="Picture 3"/>
            <wp:cNvGraphicFramePr>
              <a:graphicFrameLocks noChangeAspect="1"/>
            </wp:cNvGraphicFramePr>
            <a:graphic>
              <a:graphicData uri="http://schemas.openxmlformats.org/drawingml/2006/picture">
                <pic:pic>
                  <pic:nvPicPr>
                    <pic:cNvPr id="0" name="eda_numeric_correlation_heatmap.png"/>
                    <pic:cNvPicPr/>
                  </pic:nvPicPr>
                  <pic:blipFill>
                    <a:blip r:embed="rId12"/>
                    <a:stretch>
                      <a:fillRect/>
                    </a:stretch>
                  </pic:blipFill>
                  <pic:spPr>
                    <a:xfrm>
                      <a:off x="0" y="0"/>
                      <a:ext cx="5166360" cy="4644208"/>
                    </a:xfrm>
                    <a:prstGeom prst="rect"/>
                  </pic:spPr>
                </pic:pic>
              </a:graphicData>
            </a:graphic>
          </wp:inline>
        </w:drawing>
      </w:r>
    </w:p>
    <w:p>
      <w:pPr>
        <w:jc w:val="center"/>
      </w:pPr>
      <w:r>
        <w:rPr>
          <w:rFonts w:ascii="宋体" w:hAnsi="宋体" w:eastAsia="宋体"/>
          <w:b/>
          <w:sz w:val="21"/>
        </w:rPr>
        <w:t>图 4-3 数值变量相关性热力图</w:t>
      </w:r>
    </w:p>
    <w:p>
      <w:pPr>
        <w:pStyle w:val="Heading2"/>
      </w:pPr>
      <w:r>
        <w:rPr>
          <w:rFonts w:ascii="黑体" w:hAnsi="黑体" w:eastAsia="黑体"/>
          <w:b/>
          <w:sz w:val="26"/>
        </w:rPr>
        <w:t>高风险组与非高风险组差异分析</w:t>
      </w:r>
    </w:p>
    <w:p>
      <w:pPr>
        <w:spacing w:line="300" w:lineRule="auto" w:after="80"/>
        <w:ind w:firstLine="420"/>
      </w:pPr>
      <w:r>
        <w:rPr>
          <w:rFonts w:ascii="宋体" w:hAnsi="宋体" w:eastAsia="宋体"/>
          <w:sz w:val="21"/>
        </w:rPr>
        <w:t>图 fig:eda-boxplots-risk 按 high_risk_flag 分组比较设备时长、通知数、社交媒体使用、睡眠、活动和数字依赖等变量。该图帮助观察高风险组与非高风险组在行为变量上的分布差异，为后续分类模型提供直观解释基础。</w:t>
      </w:r>
    </w:p>
    <w:p>
      <w:pPr>
        <w:jc w:val="center"/>
      </w:pPr>
      <w:r>
        <w:drawing>
          <wp:inline xmlns:a="http://schemas.openxmlformats.org/drawingml/2006/main" xmlns:pic="http://schemas.openxmlformats.org/drawingml/2006/picture">
            <wp:extent cx="5166360" cy="2341588"/>
            <wp:docPr id="4" name="Picture 4"/>
            <wp:cNvGraphicFramePr>
              <a:graphicFrameLocks noChangeAspect="1"/>
            </wp:cNvGraphicFramePr>
            <a:graphic>
              <a:graphicData uri="http://schemas.openxmlformats.org/drawingml/2006/picture">
                <pic:pic>
                  <pic:nvPicPr>
                    <pic:cNvPr id="0" name="eda_boxplots_by_risk.png"/>
                    <pic:cNvPicPr/>
                  </pic:nvPicPr>
                  <pic:blipFill>
                    <a:blip r:embed="rId13"/>
                    <a:stretch>
                      <a:fillRect/>
                    </a:stretch>
                  </pic:blipFill>
                  <pic:spPr>
                    <a:xfrm>
                      <a:off x="0" y="0"/>
                      <a:ext cx="5166360" cy="2341588"/>
                    </a:xfrm>
                    <a:prstGeom prst="rect"/>
                  </pic:spPr>
                </pic:pic>
              </a:graphicData>
            </a:graphic>
          </wp:inline>
        </w:drawing>
      </w:r>
    </w:p>
    <w:p>
      <w:pPr>
        <w:jc w:val="center"/>
      </w:pPr>
      <w:r>
        <w:rPr>
          <w:rFonts w:ascii="宋体" w:hAnsi="宋体" w:eastAsia="宋体"/>
          <w:b/>
          <w:sz w:val="21"/>
        </w:rPr>
        <w:t>图 4-4 按高风险标记分组的行为变量箱线图</w:t>
      </w:r>
    </w:p>
    <w:p>
      <w:pPr>
        <w:pStyle w:val="Heading2"/>
      </w:pPr>
      <w:r>
        <w:rPr>
          <w:rFonts w:ascii="黑体" w:hAnsi="黑体" w:eastAsia="黑体"/>
          <w:b/>
          <w:sz w:val="26"/>
        </w:rPr>
        <w:t>类别变量风险率分析</w:t>
      </w:r>
    </w:p>
    <w:p>
      <w:pPr>
        <w:spacing w:line="300" w:lineRule="auto" w:after="80"/>
        <w:ind w:firstLine="420"/>
      </w:pPr>
      <w:r>
        <w:rPr>
          <w:rFonts w:ascii="宋体" w:hAnsi="宋体" w:eastAsia="宋体"/>
          <w:sz w:val="21"/>
        </w:rPr>
        <w:t>图 fig:eda-category-risk 展示性别、地区、收入水平、教育水平、日常角色和设备类型等类别变量下的高风险比例。该图用于描述不同类别下风险比例的差异，但不说明类别变量本身导致风险变化。</w:t>
      </w:r>
    </w:p>
    <w:p>
      <w:pPr>
        <w:jc w:val="center"/>
      </w:pPr>
      <w:r>
        <w:drawing>
          <wp:inline xmlns:a="http://schemas.openxmlformats.org/drawingml/2006/main" xmlns:pic="http://schemas.openxmlformats.org/drawingml/2006/picture">
            <wp:extent cx="5166360" cy="4645383"/>
            <wp:docPr id="5" name="Picture 5"/>
            <wp:cNvGraphicFramePr>
              <a:graphicFrameLocks noChangeAspect="1"/>
            </wp:cNvGraphicFramePr>
            <a:graphic>
              <a:graphicData uri="http://schemas.openxmlformats.org/drawingml/2006/picture">
                <pic:pic>
                  <pic:nvPicPr>
                    <pic:cNvPr id="0" name="eda_category_risk_rate.png"/>
                    <pic:cNvPicPr/>
                  </pic:nvPicPr>
                  <pic:blipFill>
                    <a:blip r:embed="rId14"/>
                    <a:stretch>
                      <a:fillRect/>
                    </a:stretch>
                  </pic:blipFill>
                  <pic:spPr>
                    <a:xfrm>
                      <a:off x="0" y="0"/>
                      <a:ext cx="5166360" cy="4645383"/>
                    </a:xfrm>
                    <a:prstGeom prst="rect"/>
                  </pic:spPr>
                </pic:pic>
              </a:graphicData>
            </a:graphic>
          </wp:inline>
        </w:drawing>
      </w:r>
    </w:p>
    <w:p>
      <w:pPr>
        <w:jc w:val="center"/>
      </w:pPr>
      <w:r>
        <w:rPr>
          <w:rFonts w:ascii="宋体" w:hAnsi="宋体" w:eastAsia="宋体"/>
          <w:b/>
          <w:sz w:val="21"/>
        </w:rPr>
        <w:t>图 4-5 类别变量下的高风险比例</w:t>
      </w:r>
    </w:p>
    <w:p>
      <w:pPr>
        <w:pStyle w:val="Heading2"/>
      </w:pPr>
      <w:r>
        <w:rPr>
          <w:rFonts w:ascii="黑体" w:hAnsi="黑体" w:eastAsia="黑体"/>
          <w:b/>
          <w:sz w:val="26"/>
        </w:rPr>
        <w:t>行为变量与结果变量关系分析</w:t>
      </w:r>
    </w:p>
    <w:p>
      <w:pPr>
        <w:spacing w:line="300" w:lineRule="auto" w:after="80"/>
        <w:ind w:firstLine="420"/>
      </w:pPr>
      <w:r>
        <w:rPr>
          <w:rFonts w:ascii="宋体" w:hAnsi="宋体" w:eastAsia="宋体"/>
          <w:sz w:val="21"/>
        </w:rPr>
        <w:t>图 fig:eda-behavior-scatter 展示行为变量与结果变量之间的关系，例如设备时长与数字依赖、睡眠时长与生产力、社交媒体时长与数字依赖等。这类图能够帮助观察变量关系形态，也为回归目标可预测性差异提供补充证据。</w:t>
      </w:r>
    </w:p>
    <w:p>
      <w:pPr>
        <w:jc w:val="center"/>
      </w:pPr>
      <w:r>
        <w:drawing>
          <wp:inline xmlns:a="http://schemas.openxmlformats.org/drawingml/2006/main" xmlns:pic="http://schemas.openxmlformats.org/drawingml/2006/picture">
            <wp:extent cx="5166360" cy="3741464"/>
            <wp:docPr id="6" name="Picture 6"/>
            <wp:cNvGraphicFramePr>
              <a:graphicFrameLocks noChangeAspect="1"/>
            </wp:cNvGraphicFramePr>
            <a:graphic>
              <a:graphicData uri="http://schemas.openxmlformats.org/drawingml/2006/picture">
                <pic:pic>
                  <pic:nvPicPr>
                    <pic:cNvPr id="0" name="eda_behavior_outcome_scatter.png"/>
                    <pic:cNvPicPr/>
                  </pic:nvPicPr>
                  <pic:blipFill>
                    <a:blip r:embed="rId15"/>
                    <a:stretch>
                      <a:fillRect/>
                    </a:stretch>
                  </pic:blipFill>
                  <pic:spPr>
                    <a:xfrm>
                      <a:off x="0" y="0"/>
                      <a:ext cx="5166360" cy="3741464"/>
                    </a:xfrm>
                    <a:prstGeom prst="rect"/>
                  </pic:spPr>
                </pic:pic>
              </a:graphicData>
            </a:graphic>
          </wp:inline>
        </w:drawing>
      </w:r>
    </w:p>
    <w:p>
      <w:pPr>
        <w:jc w:val="center"/>
      </w:pPr>
      <w:r>
        <w:rPr>
          <w:rFonts w:ascii="宋体" w:hAnsi="宋体" w:eastAsia="宋体"/>
          <w:b/>
          <w:sz w:val="21"/>
        </w:rPr>
        <w:t>图 4-6 行为变量与结果变量关系图</w:t>
      </w:r>
    </w:p>
    <w:p>
      <w:pPr>
        <w:pStyle w:val="Heading2"/>
      </w:pPr>
      <w:r>
        <w:rPr>
          <w:rFonts w:ascii="黑体" w:hAnsi="黑体" w:eastAsia="黑体"/>
          <w:b/>
          <w:sz w:val="26"/>
        </w:rPr>
        <w:t>EDA 结论小结</w:t>
      </w:r>
    </w:p>
    <w:p>
      <w:pPr>
        <w:spacing w:line="300" w:lineRule="auto" w:after="80"/>
        <w:ind w:firstLine="420"/>
      </w:pPr>
      <w:r>
        <w:rPr>
          <w:rFonts w:ascii="宋体" w:hAnsi="宋体" w:eastAsia="宋体"/>
          <w:sz w:val="21"/>
        </w:rPr>
        <w:t>EDA 结果显示，数字行为变量和生活习惯变量具有较明显的分布差异；高风险组与非高风险组在部分行为变量上存在描述性差别；数字依赖得分与设备使用、通知和解锁等变量关系较紧密；生产力得分与当前行为变量之间的关系更弱。这些观察支持后续将数字依赖作为回归主线，并将生产力得分作为弱预测/负结果分析。</w:t>
      </w:r>
    </w:p>
    <w:p>
      <w:r>
        <w:br w:type="page"/>
      </w:r>
    </w:p>
    <w:p>
      <w:pPr>
        <w:pStyle w:val="Heading1"/>
        <w:jc w:val="center"/>
      </w:pPr>
      <w:r>
        <w:rPr>
          <w:rFonts w:ascii="黑体" w:hAnsi="黑体" w:eastAsia="黑体"/>
          <w:b/>
          <w:sz w:val="32"/>
        </w:rPr>
        <w:t>第5章 机器学习建模、调参与模型评估</w:t>
      </w:r>
    </w:p>
    <w:p>
      <w:pPr>
        <w:pStyle w:val="Heading2"/>
      </w:pPr>
      <w:r>
        <w:rPr>
          <w:rFonts w:ascii="黑体" w:hAnsi="黑体" w:eastAsia="黑体"/>
          <w:b/>
          <w:sz w:val="26"/>
        </w:rPr>
        <w:t>实验设置与评价指标</w:t>
      </w:r>
    </w:p>
    <w:p>
      <w:pPr>
        <w:spacing w:line="300" w:lineRule="auto" w:after="80"/>
        <w:ind w:firstLine="420"/>
      </w:pPr>
      <w:r>
        <w:rPr>
          <w:rFonts w:ascii="宋体" w:hAnsi="宋体" w:eastAsia="宋体"/>
          <w:sz w:val="21"/>
        </w:rPr>
        <w:t>本章对应课程评分标准中的“机器学习建模、调参与模型评估”。全部实验使用 Python、pandas、numpy、scipy、matplotlib 和 scikit-learn，在 CPU 环境下完成，不使用深度学习。随机过程统一设置 random_state=42。监督学习任务使用训练/测试划分，训练阶段进行交叉验证和参数搜索，测试集只用于最终评估。</w:t>
      </w:r>
    </w:p>
    <w:p>
      <w:pPr>
        <w:spacing w:line="300" w:lineRule="auto" w:after="80"/>
        <w:ind w:firstLine="420"/>
      </w:pPr>
      <w:r>
        <w:rPr>
          <w:rFonts w:ascii="宋体" w:hAnsi="宋体" w:eastAsia="宋体"/>
          <w:sz w:val="21"/>
        </w:rPr>
        <w:t>分类任务评价指标包括 Accuracy、Precision、Recall、F1、混淆矩阵，并补充 ROC-AUC、PR-AUC 和 Balanced Accuracy。高风险筛查场景中，Recall 和 F1 比单纯 Accuracy 更重要。回归任务评价指标包括 R²、MSE、MAE，并补充 RMSE。聚类任务使用肘部法则和 Silhouette，并补充 Calinski-Harabasz 和 Davies-Bouldin。</w:t>
      </w:r>
    </w:p>
    <w:p>
      <w:pPr>
        <w:pStyle w:val="Heading2"/>
      </w:pPr>
      <w:r>
        <w:rPr>
          <w:rFonts w:ascii="黑体" w:hAnsi="黑体" w:eastAsia="黑体"/>
          <w:b/>
          <w:sz w:val="26"/>
        </w:rPr>
        <w:t>分类任务：高风险数字生活方式筛查</w:t>
      </w:r>
    </w:p>
    <w:p>
      <w:pPr>
        <w:spacing w:line="300" w:lineRule="auto" w:after="80"/>
        <w:ind w:firstLine="420"/>
      </w:pPr>
      <w:r>
        <w:rPr>
          <w:rFonts w:ascii="宋体" w:hAnsi="宋体" w:eastAsia="宋体"/>
          <w:sz w:val="21"/>
        </w:rPr>
        <w:t>分类目标变量为 high_risk_flag。模型包括 Logistic Regression、Random Forest 和 Gradient Boosting。训练阶段使用 StratifiedKFold 交叉验证进行调参，随后在验证集上进行阈值选择。由于高风险筛查不能只追求 Accuracy，本文重点比较默认阈值、最大 F1 阈值、Recall 至少 0.60 和 Recall 至少 0.70 的策略。</w:t>
      </w:r>
    </w:p>
    <w:p>
      <w:pPr>
        <w:spacing w:line="300" w:lineRule="auto" w:after="80"/>
        <w:ind w:firstLine="420"/>
      </w:pPr>
      <w:r>
        <w:rPr>
          <w:rFonts w:ascii="宋体" w:hAnsi="宋体" w:eastAsia="宋体"/>
          <w:sz w:val="21"/>
        </w:rPr>
        <w:t>表 tab:classification-threshold-tuning 给出验证集阈值调优结果，表 tab:classification-tuned-metrics 给出测试集指标。最终采用 Gradient Boosting + threshold=0.14，在测试集上 Recall=0.6420、F1=0.5355、PR-AUC=0.5084。该策略属于偏召回的筛查策略，不能解释为医学诊断工具。</w:t>
      </w:r>
    </w:p>
    <w:p>
      <w:pPr>
        <w:jc w:val="center"/>
      </w:pPr>
      <w:r>
        <w:rPr>
          <w:rFonts w:ascii="宋体" w:hAnsi="宋体" w:eastAsia="宋体"/>
          <w:b/>
          <w:sz w:val="21"/>
        </w:rPr>
        <w:t>表 5-1 验证集阈值调优结果</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20"/>
        <w:gridCol w:w="1120"/>
        <w:gridCol w:w="1120"/>
        <w:gridCol w:w="1120"/>
        <w:gridCol w:w="1120"/>
        <w:gridCol w:w="1120"/>
        <w:gridCol w:w="1120"/>
        <w:gridCol w:w="1120"/>
      </w:tblGrid>
      <w:tr>
        <w:tc>
          <w:tcPr>
            <w:tcW w:type="dxa" w:w="1120"/>
            <w:vAlign w:val="center"/>
            <w:shd w:fill="EAF2F8"/>
          </w:tcPr>
          <w:p>
            <w:pPr>
              <w:spacing w:after="0"/>
              <w:jc w:val="center"/>
            </w:pPr>
            <w:r/>
            <w:r>
              <w:rPr>
                <w:rFonts w:ascii="宋体" w:hAnsi="宋体" w:eastAsia="宋体"/>
                <w:b/>
                <w:sz w:val="14"/>
              </w:rPr>
              <w:t>模型</w:t>
            </w:r>
          </w:p>
        </w:tc>
        <w:tc>
          <w:tcPr>
            <w:tcW w:type="dxa" w:w="1120"/>
            <w:vAlign w:val="center"/>
            <w:shd w:fill="EAF2F8"/>
          </w:tcPr>
          <w:p>
            <w:pPr>
              <w:spacing w:after="0"/>
              <w:jc w:val="center"/>
            </w:pPr>
            <w:r/>
            <w:r>
              <w:rPr>
                <w:rFonts w:ascii="宋体" w:hAnsi="宋体" w:eastAsia="宋体"/>
                <w:b/>
                <w:sz w:val="14"/>
              </w:rPr>
              <w:t>阈值策略</w:t>
            </w:r>
          </w:p>
        </w:tc>
        <w:tc>
          <w:tcPr>
            <w:tcW w:type="dxa" w:w="1120"/>
            <w:vAlign w:val="center"/>
            <w:shd w:fill="EAF2F8"/>
          </w:tcPr>
          <w:p>
            <w:pPr>
              <w:spacing w:after="0"/>
              <w:jc w:val="center"/>
            </w:pPr>
            <w:r/>
            <w:r>
              <w:rPr>
                <w:rFonts w:ascii="宋体" w:hAnsi="宋体" w:eastAsia="宋体"/>
                <w:b/>
                <w:sz w:val="14"/>
              </w:rPr>
              <w:t>阈值</w:t>
            </w:r>
          </w:p>
        </w:tc>
        <w:tc>
          <w:tcPr>
            <w:tcW w:type="dxa" w:w="1120"/>
            <w:vAlign w:val="center"/>
            <w:shd w:fill="EAF2F8"/>
          </w:tcPr>
          <w:p>
            <w:pPr>
              <w:spacing w:after="0"/>
              <w:jc w:val="center"/>
            </w:pPr>
            <w:r/>
            <w:r>
              <w:rPr>
                <w:rFonts w:ascii="宋体" w:hAnsi="宋体" w:eastAsia="宋体"/>
                <w:b/>
                <w:sz w:val="14"/>
              </w:rPr>
              <w:t>Precision</w:t>
            </w:r>
          </w:p>
        </w:tc>
        <w:tc>
          <w:tcPr>
            <w:tcW w:type="dxa" w:w="1120"/>
            <w:vAlign w:val="center"/>
            <w:shd w:fill="EAF2F8"/>
          </w:tcPr>
          <w:p>
            <w:pPr>
              <w:spacing w:after="0"/>
              <w:jc w:val="center"/>
            </w:pPr>
            <w:r/>
            <w:r>
              <w:rPr>
                <w:rFonts w:ascii="宋体" w:hAnsi="宋体" w:eastAsia="宋体"/>
                <w:b/>
                <w:sz w:val="14"/>
              </w:rPr>
              <w:t>Recall</w:t>
            </w:r>
          </w:p>
        </w:tc>
        <w:tc>
          <w:tcPr>
            <w:tcW w:type="dxa" w:w="1120"/>
            <w:vAlign w:val="center"/>
            <w:shd w:fill="EAF2F8"/>
          </w:tcPr>
          <w:p>
            <w:pPr>
              <w:spacing w:after="0"/>
              <w:jc w:val="center"/>
            </w:pPr>
            <w:r/>
            <w:r>
              <w:rPr>
                <w:rFonts w:ascii="宋体" w:hAnsi="宋体" w:eastAsia="宋体"/>
                <w:b/>
                <w:sz w:val="14"/>
              </w:rPr>
              <w:t>F1</w:t>
            </w:r>
          </w:p>
        </w:tc>
        <w:tc>
          <w:tcPr>
            <w:tcW w:type="dxa" w:w="1120"/>
            <w:vAlign w:val="center"/>
            <w:shd w:fill="EAF2F8"/>
          </w:tcPr>
          <w:p>
            <w:pPr>
              <w:spacing w:after="0"/>
              <w:jc w:val="center"/>
            </w:pPr>
            <w:r/>
            <w:r>
              <w:rPr>
                <w:rFonts w:ascii="宋体" w:hAnsi="宋体" w:eastAsia="宋体"/>
                <w:b/>
                <w:sz w:val="14"/>
              </w:rPr>
              <w:t>PR-AUC</w:t>
            </w:r>
          </w:p>
        </w:tc>
        <w:tc>
          <w:tcPr>
            <w:tcW w:type="dxa" w:w="1120"/>
            <w:vAlign w:val="center"/>
            <w:shd w:fill="EAF2F8"/>
          </w:tcPr>
          <w:p>
            <w:pPr>
              <w:spacing w:after="0"/>
              <w:jc w:val="center"/>
            </w:pPr>
            <w:r/>
            <w:r>
              <w:rPr>
                <w:rFonts w:ascii="宋体" w:hAnsi="宋体" w:eastAsia="宋体"/>
                <w:b/>
                <w:sz w:val="14"/>
              </w:rPr>
              <w:t>Balanced Accuracy</w:t>
            </w:r>
          </w:p>
        </w:tc>
      </w:tr>
      <w:tr>
        <w:tc>
          <w:tcPr>
            <w:tcW w:type="dxa" w:w="1120"/>
            <w:vAlign w:val="center"/>
          </w:tcPr>
          <w:p>
            <w:pPr>
              <w:spacing w:after="0"/>
              <w:jc w:val="center"/>
            </w:pPr>
            <w:r/>
            <w:r>
              <w:rPr>
                <w:rFonts w:ascii="宋体" w:hAnsi="宋体" w:eastAsia="宋体"/>
                <w:b w:val="0"/>
                <w:sz w:val="14"/>
              </w:rPr>
              <w:t>Gradient Boosting</w:t>
            </w:r>
          </w:p>
        </w:tc>
        <w:tc>
          <w:tcPr>
            <w:tcW w:type="dxa" w:w="1120"/>
            <w:vAlign w:val="center"/>
          </w:tcPr>
          <w:p>
            <w:pPr>
              <w:spacing w:after="0"/>
              <w:jc w:val="center"/>
            </w:pPr>
            <w:r/>
            <w:r>
              <w:rPr>
                <w:rFonts w:ascii="宋体" w:hAnsi="宋体" w:eastAsia="宋体"/>
                <w:b w:val="0"/>
                <w:sz w:val="14"/>
              </w:rPr>
              <w:t>default_0_50</w:t>
            </w:r>
          </w:p>
        </w:tc>
        <w:tc>
          <w:tcPr>
            <w:tcW w:type="dxa" w:w="1120"/>
            <w:vAlign w:val="center"/>
          </w:tcPr>
          <w:p>
            <w:pPr>
              <w:spacing w:after="0"/>
              <w:jc w:val="center"/>
            </w:pPr>
            <w:r/>
            <w:r>
              <w:rPr>
                <w:rFonts w:ascii="宋体" w:hAnsi="宋体" w:eastAsia="宋体"/>
                <w:b w:val="0"/>
                <w:sz w:val="14"/>
              </w:rPr>
              <w:t>0.5000</w:t>
            </w:r>
          </w:p>
        </w:tc>
        <w:tc>
          <w:tcPr>
            <w:tcW w:type="dxa" w:w="1120"/>
            <w:vAlign w:val="center"/>
          </w:tcPr>
          <w:p>
            <w:pPr>
              <w:spacing w:after="0"/>
              <w:jc w:val="center"/>
            </w:pPr>
            <w:r/>
            <w:r>
              <w:rPr>
                <w:rFonts w:ascii="宋体" w:hAnsi="宋体" w:eastAsia="宋体"/>
                <w:b w:val="0"/>
                <w:sz w:val="14"/>
              </w:rPr>
              <w:t>0.6429</w:t>
            </w:r>
          </w:p>
        </w:tc>
        <w:tc>
          <w:tcPr>
            <w:tcW w:type="dxa" w:w="1120"/>
            <w:vAlign w:val="center"/>
          </w:tcPr>
          <w:p>
            <w:pPr>
              <w:spacing w:after="0"/>
              <w:jc w:val="center"/>
            </w:pPr>
            <w:r/>
            <w:r>
              <w:rPr>
                <w:rFonts w:ascii="宋体" w:hAnsi="宋体" w:eastAsia="宋体"/>
                <w:b w:val="0"/>
                <w:sz w:val="14"/>
              </w:rPr>
              <w:t>0.2045</w:t>
            </w:r>
          </w:p>
        </w:tc>
        <w:tc>
          <w:tcPr>
            <w:tcW w:type="dxa" w:w="1120"/>
            <w:vAlign w:val="center"/>
          </w:tcPr>
          <w:p>
            <w:pPr>
              <w:spacing w:after="0"/>
              <w:jc w:val="center"/>
            </w:pPr>
            <w:r/>
            <w:r>
              <w:rPr>
                <w:rFonts w:ascii="宋体" w:hAnsi="宋体" w:eastAsia="宋体"/>
                <w:b w:val="0"/>
                <w:sz w:val="14"/>
              </w:rPr>
              <w:t>0.3103</w:t>
            </w:r>
          </w:p>
        </w:tc>
        <w:tc>
          <w:tcPr>
            <w:tcW w:type="dxa" w:w="1120"/>
            <w:vAlign w:val="center"/>
          </w:tcPr>
          <w:p>
            <w:pPr>
              <w:spacing w:after="0"/>
              <w:jc w:val="center"/>
            </w:pPr>
            <w:r/>
            <w:r>
              <w:rPr>
                <w:rFonts w:ascii="宋体" w:hAnsi="宋体" w:eastAsia="宋体"/>
                <w:b w:val="0"/>
                <w:sz w:val="14"/>
              </w:rPr>
              <w:t>0.4805</w:t>
            </w:r>
          </w:p>
        </w:tc>
        <w:tc>
          <w:tcPr>
            <w:tcW w:type="dxa" w:w="1120"/>
            <w:vAlign w:val="center"/>
          </w:tcPr>
          <w:p>
            <w:pPr>
              <w:spacing w:after="0"/>
              <w:jc w:val="center"/>
            </w:pPr>
            <w:r/>
            <w:r>
              <w:rPr>
                <w:rFonts w:ascii="宋体" w:hAnsi="宋体" w:eastAsia="宋体"/>
                <w:b w:val="0"/>
                <w:sz w:val="14"/>
              </w:rPr>
              <w:t>0.5880</w:t>
            </w:r>
          </w:p>
        </w:tc>
      </w:tr>
      <w:tr>
        <w:tc>
          <w:tcPr>
            <w:tcW w:type="dxa" w:w="1120"/>
            <w:vAlign w:val="center"/>
          </w:tcPr>
          <w:p>
            <w:pPr>
              <w:spacing w:after="0"/>
              <w:jc w:val="center"/>
            </w:pPr>
            <w:r/>
            <w:r>
              <w:rPr>
                <w:rFonts w:ascii="宋体" w:hAnsi="宋体" w:eastAsia="宋体"/>
                <w:b w:val="0"/>
                <w:sz w:val="14"/>
              </w:rPr>
              <w:t>Gradient Boosting</w:t>
            </w:r>
          </w:p>
        </w:tc>
        <w:tc>
          <w:tcPr>
            <w:tcW w:type="dxa" w:w="1120"/>
            <w:vAlign w:val="center"/>
          </w:tcPr>
          <w:p>
            <w:pPr>
              <w:spacing w:after="0"/>
              <w:jc w:val="center"/>
            </w:pPr>
            <w:r/>
            <w:r>
              <w:rPr>
                <w:rFonts w:ascii="宋体" w:hAnsi="宋体" w:eastAsia="宋体"/>
                <w:b w:val="0"/>
                <w:sz w:val="14"/>
              </w:rPr>
              <w:t>max_f1</w:t>
            </w:r>
          </w:p>
        </w:tc>
        <w:tc>
          <w:tcPr>
            <w:tcW w:type="dxa" w:w="1120"/>
            <w:vAlign w:val="center"/>
          </w:tcPr>
          <w:p>
            <w:pPr>
              <w:spacing w:after="0"/>
              <w:jc w:val="center"/>
            </w:pPr>
            <w:r/>
            <w:r>
              <w:rPr>
                <w:rFonts w:ascii="宋体" w:hAnsi="宋体" w:eastAsia="宋体"/>
                <w:b w:val="0"/>
                <w:sz w:val="14"/>
              </w:rPr>
              <w:t>0.3500</w:t>
            </w:r>
          </w:p>
        </w:tc>
        <w:tc>
          <w:tcPr>
            <w:tcW w:type="dxa" w:w="1120"/>
            <w:vAlign w:val="center"/>
          </w:tcPr>
          <w:p>
            <w:pPr>
              <w:spacing w:after="0"/>
              <w:jc w:val="center"/>
            </w:pPr>
            <w:r/>
            <w:r>
              <w:rPr>
                <w:rFonts w:ascii="宋体" w:hAnsi="宋体" w:eastAsia="宋体"/>
                <w:b w:val="0"/>
                <w:sz w:val="14"/>
              </w:rPr>
              <w:t>0.5752</w:t>
            </w:r>
          </w:p>
        </w:tc>
        <w:tc>
          <w:tcPr>
            <w:tcW w:type="dxa" w:w="1120"/>
            <w:vAlign w:val="center"/>
          </w:tcPr>
          <w:p>
            <w:pPr>
              <w:spacing w:after="0"/>
              <w:jc w:val="center"/>
            </w:pPr>
            <w:r/>
            <w:r>
              <w:rPr>
                <w:rFonts w:ascii="宋体" w:hAnsi="宋体" w:eastAsia="宋体"/>
                <w:b w:val="0"/>
                <w:sz w:val="14"/>
              </w:rPr>
              <w:t>0.4924</w:t>
            </w:r>
          </w:p>
        </w:tc>
        <w:tc>
          <w:tcPr>
            <w:tcW w:type="dxa" w:w="1120"/>
            <w:vAlign w:val="center"/>
          </w:tcPr>
          <w:p>
            <w:pPr>
              <w:spacing w:after="0"/>
              <w:jc w:val="center"/>
            </w:pPr>
            <w:r/>
            <w:r>
              <w:rPr>
                <w:rFonts w:ascii="宋体" w:hAnsi="宋体" w:eastAsia="宋体"/>
                <w:b w:val="0"/>
                <w:sz w:val="14"/>
              </w:rPr>
              <w:t>0.5306</w:t>
            </w:r>
          </w:p>
        </w:tc>
        <w:tc>
          <w:tcPr>
            <w:tcW w:type="dxa" w:w="1120"/>
            <w:vAlign w:val="center"/>
          </w:tcPr>
          <w:p>
            <w:pPr>
              <w:spacing w:after="0"/>
              <w:jc w:val="center"/>
            </w:pPr>
            <w:r/>
            <w:r>
              <w:rPr>
                <w:rFonts w:ascii="宋体" w:hAnsi="宋体" w:eastAsia="宋体"/>
                <w:b w:val="0"/>
                <w:sz w:val="14"/>
              </w:rPr>
              <w:t>0.4805</w:t>
            </w:r>
          </w:p>
        </w:tc>
        <w:tc>
          <w:tcPr>
            <w:tcW w:type="dxa" w:w="1120"/>
            <w:vAlign w:val="center"/>
          </w:tcPr>
          <w:p>
            <w:pPr>
              <w:spacing w:after="0"/>
              <w:jc w:val="center"/>
            </w:pPr>
            <w:r/>
            <w:r>
              <w:rPr>
                <w:rFonts w:ascii="宋体" w:hAnsi="宋体" w:eastAsia="宋体"/>
                <w:b w:val="0"/>
                <w:sz w:val="14"/>
              </w:rPr>
              <w:t>0.7005</w:t>
            </w:r>
          </w:p>
        </w:tc>
      </w:tr>
      <w:tr>
        <w:tc>
          <w:tcPr>
            <w:tcW w:type="dxa" w:w="1120"/>
            <w:vAlign w:val="center"/>
          </w:tcPr>
          <w:p>
            <w:pPr>
              <w:spacing w:after="0"/>
              <w:jc w:val="center"/>
            </w:pPr>
            <w:r/>
            <w:r>
              <w:rPr>
                <w:rFonts w:ascii="宋体" w:hAnsi="宋体" w:eastAsia="宋体"/>
                <w:b w:val="0"/>
                <w:sz w:val="14"/>
              </w:rPr>
              <w:t>Gradient Boosting</w:t>
            </w:r>
          </w:p>
        </w:tc>
        <w:tc>
          <w:tcPr>
            <w:tcW w:type="dxa" w:w="1120"/>
            <w:vAlign w:val="center"/>
          </w:tcPr>
          <w:p>
            <w:pPr>
              <w:spacing w:after="0"/>
              <w:jc w:val="left"/>
            </w:pPr>
            <w:r/>
            <w:r>
              <w:rPr>
                <w:rFonts w:ascii="宋体" w:hAnsi="宋体" w:eastAsia="宋体"/>
                <w:b w:val="0"/>
                <w:sz w:val="14"/>
              </w:rPr>
              <w:t>recall_at_least_60_best_precision</w:t>
            </w:r>
          </w:p>
        </w:tc>
        <w:tc>
          <w:tcPr>
            <w:tcW w:type="dxa" w:w="1120"/>
            <w:vAlign w:val="center"/>
          </w:tcPr>
          <w:p>
            <w:pPr>
              <w:spacing w:after="0"/>
              <w:jc w:val="center"/>
            </w:pPr>
            <w:r/>
            <w:r>
              <w:rPr>
                <w:rFonts w:ascii="宋体" w:hAnsi="宋体" w:eastAsia="宋体"/>
                <w:b w:val="0"/>
                <w:sz w:val="14"/>
              </w:rPr>
              <w:t>0.1400</w:t>
            </w:r>
          </w:p>
        </w:tc>
        <w:tc>
          <w:tcPr>
            <w:tcW w:type="dxa" w:w="1120"/>
            <w:vAlign w:val="center"/>
          </w:tcPr>
          <w:p>
            <w:pPr>
              <w:spacing w:after="0"/>
              <w:jc w:val="center"/>
            </w:pPr>
            <w:r/>
            <w:r>
              <w:rPr>
                <w:rFonts w:ascii="宋体" w:hAnsi="宋体" w:eastAsia="宋体"/>
                <w:b w:val="0"/>
                <w:sz w:val="14"/>
              </w:rPr>
              <w:t>0.4175</w:t>
            </w:r>
          </w:p>
        </w:tc>
        <w:tc>
          <w:tcPr>
            <w:tcW w:type="dxa" w:w="1120"/>
            <w:vAlign w:val="center"/>
          </w:tcPr>
          <w:p>
            <w:pPr>
              <w:spacing w:after="0"/>
              <w:jc w:val="center"/>
            </w:pPr>
            <w:r/>
            <w:r>
              <w:rPr>
                <w:rFonts w:ascii="宋体" w:hAnsi="宋体" w:eastAsia="宋体"/>
                <w:b w:val="0"/>
                <w:sz w:val="14"/>
              </w:rPr>
              <w:t>0.6136</w:t>
            </w:r>
          </w:p>
        </w:tc>
        <w:tc>
          <w:tcPr>
            <w:tcW w:type="dxa" w:w="1120"/>
            <w:vAlign w:val="center"/>
          </w:tcPr>
          <w:p>
            <w:pPr>
              <w:spacing w:after="0"/>
              <w:jc w:val="center"/>
            </w:pPr>
            <w:r/>
            <w:r>
              <w:rPr>
                <w:rFonts w:ascii="宋体" w:hAnsi="宋体" w:eastAsia="宋体"/>
                <w:b w:val="0"/>
                <w:sz w:val="14"/>
              </w:rPr>
              <w:t>0.4969</w:t>
            </w:r>
          </w:p>
        </w:tc>
        <w:tc>
          <w:tcPr>
            <w:tcW w:type="dxa" w:w="1120"/>
            <w:vAlign w:val="center"/>
          </w:tcPr>
          <w:p>
            <w:pPr>
              <w:spacing w:after="0"/>
              <w:jc w:val="center"/>
            </w:pPr>
            <w:r/>
            <w:r>
              <w:rPr>
                <w:rFonts w:ascii="宋体" w:hAnsi="宋体" w:eastAsia="宋体"/>
                <w:b w:val="0"/>
                <w:sz w:val="14"/>
              </w:rPr>
              <w:t>0.4805</w:t>
            </w:r>
          </w:p>
        </w:tc>
        <w:tc>
          <w:tcPr>
            <w:tcW w:type="dxa" w:w="1120"/>
            <w:vAlign w:val="center"/>
          </w:tcPr>
          <w:p>
            <w:pPr>
              <w:spacing w:after="0"/>
              <w:jc w:val="center"/>
            </w:pPr>
            <w:r/>
            <w:r>
              <w:rPr>
                <w:rFonts w:ascii="宋体" w:hAnsi="宋体" w:eastAsia="宋体"/>
                <w:b w:val="0"/>
                <w:sz w:val="14"/>
              </w:rPr>
              <w:t>0.6992</w:t>
            </w:r>
          </w:p>
        </w:tc>
      </w:tr>
      <w:tr>
        <w:tc>
          <w:tcPr>
            <w:tcW w:type="dxa" w:w="1120"/>
            <w:vAlign w:val="center"/>
          </w:tcPr>
          <w:p>
            <w:pPr>
              <w:spacing w:after="0"/>
              <w:jc w:val="center"/>
            </w:pPr>
            <w:r/>
            <w:r>
              <w:rPr>
                <w:rFonts w:ascii="宋体" w:hAnsi="宋体" w:eastAsia="宋体"/>
                <w:b w:val="0"/>
                <w:sz w:val="14"/>
              </w:rPr>
              <w:t>Gradient Boosting</w:t>
            </w:r>
          </w:p>
        </w:tc>
        <w:tc>
          <w:tcPr>
            <w:tcW w:type="dxa" w:w="1120"/>
            <w:vAlign w:val="center"/>
          </w:tcPr>
          <w:p>
            <w:pPr>
              <w:spacing w:after="0"/>
              <w:jc w:val="left"/>
            </w:pPr>
            <w:r/>
            <w:r>
              <w:rPr>
                <w:rFonts w:ascii="宋体" w:hAnsi="宋体" w:eastAsia="宋体"/>
                <w:b w:val="0"/>
                <w:sz w:val="14"/>
              </w:rPr>
              <w:t>recall_at_least_70_best_precision</w:t>
            </w:r>
          </w:p>
        </w:tc>
        <w:tc>
          <w:tcPr>
            <w:tcW w:type="dxa" w:w="1120"/>
            <w:vAlign w:val="center"/>
          </w:tcPr>
          <w:p>
            <w:pPr>
              <w:spacing w:after="0"/>
              <w:jc w:val="center"/>
            </w:pPr>
            <w:r/>
            <w:r>
              <w:rPr>
                <w:rFonts w:ascii="宋体" w:hAnsi="宋体" w:eastAsia="宋体"/>
                <w:b w:val="0"/>
                <w:sz w:val="14"/>
              </w:rPr>
              <w:t>0.1200</w:t>
            </w:r>
          </w:p>
        </w:tc>
        <w:tc>
          <w:tcPr>
            <w:tcW w:type="dxa" w:w="1120"/>
            <w:vAlign w:val="center"/>
          </w:tcPr>
          <w:p>
            <w:pPr>
              <w:spacing w:after="0"/>
              <w:jc w:val="center"/>
            </w:pPr>
            <w:r/>
            <w:r>
              <w:rPr>
                <w:rFonts w:ascii="宋体" w:hAnsi="宋体" w:eastAsia="宋体"/>
                <w:b w:val="0"/>
                <w:sz w:val="14"/>
              </w:rPr>
              <w:t>0.2636</w:t>
            </w:r>
          </w:p>
        </w:tc>
        <w:tc>
          <w:tcPr>
            <w:tcW w:type="dxa" w:w="1120"/>
            <w:vAlign w:val="center"/>
          </w:tcPr>
          <w:p>
            <w:pPr>
              <w:spacing w:after="0"/>
              <w:jc w:val="center"/>
            </w:pPr>
            <w:r/>
            <w:r>
              <w:rPr>
                <w:rFonts w:ascii="宋体" w:hAnsi="宋体" w:eastAsia="宋体"/>
                <w:b w:val="0"/>
                <w:sz w:val="14"/>
              </w:rPr>
              <w:t>0.7727</w:t>
            </w:r>
          </w:p>
        </w:tc>
        <w:tc>
          <w:tcPr>
            <w:tcW w:type="dxa" w:w="1120"/>
            <w:vAlign w:val="center"/>
          </w:tcPr>
          <w:p>
            <w:pPr>
              <w:spacing w:after="0"/>
              <w:jc w:val="center"/>
            </w:pPr>
            <w:r/>
            <w:r>
              <w:rPr>
                <w:rFonts w:ascii="宋体" w:hAnsi="宋体" w:eastAsia="宋体"/>
                <w:b w:val="0"/>
                <w:sz w:val="14"/>
              </w:rPr>
              <w:t>0.3931</w:t>
            </w:r>
          </w:p>
        </w:tc>
        <w:tc>
          <w:tcPr>
            <w:tcW w:type="dxa" w:w="1120"/>
            <w:vAlign w:val="center"/>
          </w:tcPr>
          <w:p>
            <w:pPr>
              <w:spacing w:after="0"/>
              <w:jc w:val="center"/>
            </w:pPr>
            <w:r/>
            <w:r>
              <w:rPr>
                <w:rFonts w:ascii="宋体" w:hAnsi="宋体" w:eastAsia="宋体"/>
                <w:b w:val="0"/>
                <w:sz w:val="14"/>
              </w:rPr>
              <w:t>0.4805</w:t>
            </w:r>
          </w:p>
        </w:tc>
        <w:tc>
          <w:tcPr>
            <w:tcW w:type="dxa" w:w="1120"/>
            <w:vAlign w:val="center"/>
          </w:tcPr>
          <w:p>
            <w:pPr>
              <w:spacing w:after="0"/>
              <w:jc w:val="center"/>
            </w:pPr>
            <w:r/>
            <w:r>
              <w:rPr>
                <w:rFonts w:ascii="宋体" w:hAnsi="宋体" w:eastAsia="宋体"/>
                <w:b w:val="0"/>
                <w:sz w:val="14"/>
              </w:rPr>
              <w:t>0.6149</w:t>
            </w:r>
          </w:p>
        </w:tc>
      </w:tr>
    </w:tbl>
    <w:p/>
    <w:p>
      <w:pPr>
        <w:jc w:val="center"/>
      </w:pPr>
      <w:r>
        <w:rPr>
          <w:rFonts w:ascii="宋体" w:hAnsi="宋体" w:eastAsia="宋体"/>
          <w:b/>
          <w:sz w:val="21"/>
        </w:rPr>
        <w:t>表 5-2 测试集分类指标与阈值策略对比</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5"/>
        <w:gridCol w:w="995"/>
        <w:gridCol w:w="995"/>
        <w:gridCol w:w="995"/>
        <w:gridCol w:w="995"/>
        <w:gridCol w:w="995"/>
        <w:gridCol w:w="995"/>
        <w:gridCol w:w="995"/>
        <w:gridCol w:w="995"/>
      </w:tblGrid>
      <w:tr>
        <w:tc>
          <w:tcPr>
            <w:tcW w:type="dxa" w:w="995"/>
            <w:vAlign w:val="center"/>
            <w:shd w:fill="EAF2F8"/>
          </w:tcPr>
          <w:p>
            <w:pPr>
              <w:spacing w:after="0"/>
              <w:jc w:val="center"/>
            </w:pPr>
            <w:r/>
            <w:r>
              <w:rPr>
                <w:rFonts w:ascii="宋体" w:hAnsi="宋体" w:eastAsia="宋体"/>
                <w:b/>
                <w:sz w:val="14"/>
              </w:rPr>
              <w:t>模型</w:t>
            </w:r>
          </w:p>
        </w:tc>
        <w:tc>
          <w:tcPr>
            <w:tcW w:type="dxa" w:w="995"/>
            <w:vAlign w:val="center"/>
            <w:shd w:fill="EAF2F8"/>
          </w:tcPr>
          <w:p>
            <w:pPr>
              <w:spacing w:after="0"/>
              <w:jc w:val="center"/>
            </w:pPr>
            <w:r/>
            <w:r>
              <w:rPr>
                <w:rFonts w:ascii="宋体" w:hAnsi="宋体" w:eastAsia="宋体"/>
                <w:b/>
                <w:sz w:val="14"/>
              </w:rPr>
              <w:t>阈值策略</w:t>
            </w:r>
          </w:p>
        </w:tc>
        <w:tc>
          <w:tcPr>
            <w:tcW w:type="dxa" w:w="995"/>
            <w:vAlign w:val="center"/>
            <w:shd w:fill="EAF2F8"/>
          </w:tcPr>
          <w:p>
            <w:pPr>
              <w:spacing w:after="0"/>
              <w:jc w:val="center"/>
            </w:pPr>
            <w:r/>
            <w:r>
              <w:rPr>
                <w:rFonts w:ascii="宋体" w:hAnsi="宋体" w:eastAsia="宋体"/>
                <w:b/>
                <w:sz w:val="14"/>
              </w:rPr>
              <w:t>阈值</w:t>
            </w:r>
          </w:p>
        </w:tc>
        <w:tc>
          <w:tcPr>
            <w:tcW w:type="dxa" w:w="995"/>
            <w:vAlign w:val="center"/>
            <w:shd w:fill="EAF2F8"/>
          </w:tcPr>
          <w:p>
            <w:pPr>
              <w:spacing w:after="0"/>
              <w:jc w:val="center"/>
            </w:pPr>
            <w:r/>
            <w:r>
              <w:rPr>
                <w:rFonts w:ascii="宋体" w:hAnsi="宋体" w:eastAsia="宋体"/>
                <w:b/>
                <w:sz w:val="14"/>
              </w:rPr>
              <w:t>Precision</w:t>
            </w:r>
          </w:p>
        </w:tc>
        <w:tc>
          <w:tcPr>
            <w:tcW w:type="dxa" w:w="995"/>
            <w:vAlign w:val="center"/>
            <w:shd w:fill="EAF2F8"/>
          </w:tcPr>
          <w:p>
            <w:pPr>
              <w:spacing w:after="0"/>
              <w:jc w:val="center"/>
            </w:pPr>
            <w:r/>
            <w:r>
              <w:rPr>
                <w:rFonts w:ascii="宋体" w:hAnsi="宋体" w:eastAsia="宋体"/>
                <w:b/>
                <w:sz w:val="14"/>
              </w:rPr>
              <w:t>Recall</w:t>
            </w:r>
          </w:p>
        </w:tc>
        <w:tc>
          <w:tcPr>
            <w:tcW w:type="dxa" w:w="995"/>
            <w:vAlign w:val="center"/>
            <w:shd w:fill="EAF2F8"/>
          </w:tcPr>
          <w:p>
            <w:pPr>
              <w:spacing w:after="0"/>
              <w:jc w:val="center"/>
            </w:pPr>
            <w:r/>
            <w:r>
              <w:rPr>
                <w:rFonts w:ascii="宋体" w:hAnsi="宋体" w:eastAsia="宋体"/>
                <w:b/>
                <w:sz w:val="14"/>
              </w:rPr>
              <w:t>F1</w:t>
            </w:r>
          </w:p>
        </w:tc>
        <w:tc>
          <w:tcPr>
            <w:tcW w:type="dxa" w:w="995"/>
            <w:vAlign w:val="center"/>
            <w:shd w:fill="EAF2F8"/>
          </w:tcPr>
          <w:p>
            <w:pPr>
              <w:spacing w:after="0"/>
              <w:jc w:val="center"/>
            </w:pPr>
            <w:r/>
            <w:r>
              <w:rPr>
                <w:rFonts w:ascii="宋体" w:hAnsi="宋体" w:eastAsia="宋体"/>
                <w:b/>
                <w:sz w:val="14"/>
              </w:rPr>
              <w:t>ROC-AUC</w:t>
            </w:r>
          </w:p>
        </w:tc>
        <w:tc>
          <w:tcPr>
            <w:tcW w:type="dxa" w:w="995"/>
            <w:vAlign w:val="center"/>
            <w:shd w:fill="EAF2F8"/>
          </w:tcPr>
          <w:p>
            <w:pPr>
              <w:spacing w:after="0"/>
              <w:jc w:val="center"/>
            </w:pPr>
            <w:r/>
            <w:r>
              <w:rPr>
                <w:rFonts w:ascii="宋体" w:hAnsi="宋体" w:eastAsia="宋体"/>
                <w:b/>
                <w:sz w:val="14"/>
              </w:rPr>
              <w:t>PR-AUC</w:t>
            </w:r>
          </w:p>
        </w:tc>
        <w:tc>
          <w:tcPr>
            <w:tcW w:type="dxa" w:w="995"/>
            <w:vAlign w:val="center"/>
            <w:shd w:fill="EAF2F8"/>
          </w:tcPr>
          <w:p>
            <w:pPr>
              <w:spacing w:after="0"/>
              <w:jc w:val="center"/>
            </w:pPr>
            <w:r/>
            <w:r>
              <w:rPr>
                <w:rFonts w:ascii="宋体" w:hAnsi="宋体" w:eastAsia="宋体"/>
                <w:b/>
                <w:sz w:val="14"/>
              </w:rPr>
              <w:t>Balanced Accuracy</w:t>
            </w:r>
          </w:p>
        </w:tc>
      </w:tr>
      <w:tr>
        <w:tc>
          <w:tcPr>
            <w:tcW w:type="dxa" w:w="995"/>
            <w:vAlign w:val="center"/>
          </w:tcPr>
          <w:p>
            <w:pPr>
              <w:spacing w:after="0"/>
              <w:jc w:val="center"/>
            </w:pPr>
            <w:r/>
            <w:r>
              <w:rPr>
                <w:rFonts w:ascii="宋体" w:hAnsi="宋体" w:eastAsia="宋体"/>
                <w:b w:val="0"/>
                <w:sz w:val="14"/>
              </w:rPr>
              <w:t>Gradient Boosting</w:t>
            </w:r>
          </w:p>
        </w:tc>
        <w:tc>
          <w:tcPr>
            <w:tcW w:type="dxa" w:w="995"/>
            <w:vAlign w:val="center"/>
          </w:tcPr>
          <w:p>
            <w:pPr>
              <w:spacing w:after="0"/>
              <w:jc w:val="center"/>
            </w:pPr>
            <w:r/>
            <w:r>
              <w:rPr>
                <w:rFonts w:ascii="宋体" w:hAnsi="宋体" w:eastAsia="宋体"/>
                <w:b w:val="0"/>
                <w:sz w:val="14"/>
              </w:rPr>
              <w:t>default_0_50</w:t>
            </w:r>
          </w:p>
        </w:tc>
        <w:tc>
          <w:tcPr>
            <w:tcW w:type="dxa" w:w="995"/>
            <w:vAlign w:val="center"/>
          </w:tcPr>
          <w:p>
            <w:pPr>
              <w:spacing w:after="0"/>
              <w:jc w:val="center"/>
            </w:pPr>
            <w:r/>
            <w:r>
              <w:rPr>
                <w:rFonts w:ascii="宋体" w:hAnsi="宋体" w:eastAsia="宋体"/>
                <w:b w:val="0"/>
                <w:sz w:val="14"/>
              </w:rPr>
              <w:t>0.5000</w:t>
            </w:r>
          </w:p>
        </w:tc>
        <w:tc>
          <w:tcPr>
            <w:tcW w:type="dxa" w:w="995"/>
            <w:vAlign w:val="center"/>
          </w:tcPr>
          <w:p>
            <w:pPr>
              <w:spacing w:after="0"/>
              <w:jc w:val="center"/>
            </w:pPr>
            <w:r/>
            <w:r>
              <w:rPr>
                <w:rFonts w:ascii="宋体" w:hAnsi="宋体" w:eastAsia="宋体"/>
                <w:b w:val="0"/>
                <w:sz w:val="14"/>
              </w:rPr>
              <w:t>0.6812</w:t>
            </w:r>
          </w:p>
        </w:tc>
        <w:tc>
          <w:tcPr>
            <w:tcW w:type="dxa" w:w="995"/>
            <w:vAlign w:val="center"/>
          </w:tcPr>
          <w:p>
            <w:pPr>
              <w:spacing w:after="0"/>
              <w:jc w:val="center"/>
            </w:pPr>
            <w:r/>
            <w:r>
              <w:rPr>
                <w:rFonts w:ascii="宋体" w:hAnsi="宋体" w:eastAsia="宋体"/>
                <w:b w:val="0"/>
                <w:sz w:val="14"/>
              </w:rPr>
              <w:t>0.2670</w:t>
            </w:r>
          </w:p>
        </w:tc>
        <w:tc>
          <w:tcPr>
            <w:tcW w:type="dxa" w:w="995"/>
            <w:vAlign w:val="center"/>
          </w:tcPr>
          <w:p>
            <w:pPr>
              <w:spacing w:after="0"/>
              <w:jc w:val="center"/>
            </w:pPr>
            <w:r/>
            <w:r>
              <w:rPr>
                <w:rFonts w:ascii="宋体" w:hAnsi="宋体" w:eastAsia="宋体"/>
                <w:b w:val="0"/>
                <w:sz w:val="14"/>
              </w:rPr>
              <w:t>0.3837</w:t>
            </w:r>
          </w:p>
        </w:tc>
        <w:tc>
          <w:tcPr>
            <w:tcW w:type="dxa" w:w="995"/>
            <w:vAlign w:val="center"/>
          </w:tcPr>
          <w:p>
            <w:pPr>
              <w:spacing w:after="0"/>
              <w:jc w:val="center"/>
            </w:pPr>
            <w:r/>
            <w:r>
              <w:rPr>
                <w:rFonts w:ascii="宋体" w:hAnsi="宋体" w:eastAsia="宋体"/>
                <w:b w:val="0"/>
                <w:sz w:val="14"/>
              </w:rPr>
              <w:t>0.7531</w:t>
            </w:r>
          </w:p>
        </w:tc>
        <w:tc>
          <w:tcPr>
            <w:tcW w:type="dxa" w:w="995"/>
            <w:vAlign w:val="center"/>
          </w:tcPr>
          <w:p>
            <w:pPr>
              <w:spacing w:after="0"/>
              <w:jc w:val="center"/>
            </w:pPr>
            <w:r/>
            <w:r>
              <w:rPr>
                <w:rFonts w:ascii="宋体" w:hAnsi="宋体" w:eastAsia="宋体"/>
                <w:b w:val="0"/>
                <w:sz w:val="14"/>
              </w:rPr>
              <w:t>0.5084</w:t>
            </w:r>
          </w:p>
        </w:tc>
        <w:tc>
          <w:tcPr>
            <w:tcW w:type="dxa" w:w="995"/>
            <w:vAlign w:val="center"/>
          </w:tcPr>
          <w:p>
            <w:pPr>
              <w:spacing w:after="0"/>
              <w:jc w:val="center"/>
            </w:pPr>
            <w:r/>
            <w:r>
              <w:rPr>
                <w:rFonts w:ascii="宋体" w:hAnsi="宋体" w:eastAsia="宋体"/>
                <w:b w:val="0"/>
                <w:sz w:val="14"/>
              </w:rPr>
              <w:t>0.6178</w:t>
            </w:r>
          </w:p>
        </w:tc>
      </w:tr>
      <w:tr>
        <w:tc>
          <w:tcPr>
            <w:tcW w:type="dxa" w:w="995"/>
            <w:vAlign w:val="center"/>
          </w:tcPr>
          <w:p>
            <w:pPr>
              <w:spacing w:after="0"/>
              <w:jc w:val="center"/>
            </w:pPr>
            <w:r/>
            <w:r>
              <w:rPr>
                <w:rFonts w:ascii="宋体" w:hAnsi="宋体" w:eastAsia="宋体"/>
                <w:b w:val="0"/>
                <w:sz w:val="14"/>
              </w:rPr>
              <w:t>Gradient Boosting</w:t>
            </w:r>
          </w:p>
        </w:tc>
        <w:tc>
          <w:tcPr>
            <w:tcW w:type="dxa" w:w="995"/>
            <w:vAlign w:val="center"/>
          </w:tcPr>
          <w:p>
            <w:pPr>
              <w:spacing w:after="0"/>
              <w:jc w:val="center"/>
            </w:pPr>
            <w:r/>
            <w:r>
              <w:rPr>
                <w:rFonts w:ascii="宋体" w:hAnsi="宋体" w:eastAsia="宋体"/>
                <w:b w:val="0"/>
                <w:sz w:val="14"/>
              </w:rPr>
              <w:t>max_f1</w:t>
            </w:r>
          </w:p>
        </w:tc>
        <w:tc>
          <w:tcPr>
            <w:tcW w:type="dxa" w:w="995"/>
            <w:vAlign w:val="center"/>
          </w:tcPr>
          <w:p>
            <w:pPr>
              <w:spacing w:after="0"/>
              <w:jc w:val="center"/>
            </w:pPr>
            <w:r/>
            <w:r>
              <w:rPr>
                <w:rFonts w:ascii="宋体" w:hAnsi="宋体" w:eastAsia="宋体"/>
                <w:b w:val="0"/>
                <w:sz w:val="14"/>
              </w:rPr>
              <w:t>0.3500</w:t>
            </w:r>
          </w:p>
        </w:tc>
        <w:tc>
          <w:tcPr>
            <w:tcW w:type="dxa" w:w="995"/>
            <w:vAlign w:val="center"/>
          </w:tcPr>
          <w:p>
            <w:pPr>
              <w:spacing w:after="0"/>
              <w:jc w:val="center"/>
            </w:pPr>
            <w:r/>
            <w:r>
              <w:rPr>
                <w:rFonts w:ascii="宋体" w:hAnsi="宋体" w:eastAsia="宋体"/>
                <w:b w:val="0"/>
                <w:sz w:val="14"/>
              </w:rPr>
              <w:t>0.5957</w:t>
            </w:r>
          </w:p>
        </w:tc>
        <w:tc>
          <w:tcPr>
            <w:tcW w:type="dxa" w:w="995"/>
            <w:vAlign w:val="center"/>
          </w:tcPr>
          <w:p>
            <w:pPr>
              <w:spacing w:after="0"/>
              <w:jc w:val="center"/>
            </w:pPr>
            <w:r/>
            <w:r>
              <w:rPr>
                <w:rFonts w:ascii="宋体" w:hAnsi="宋体" w:eastAsia="宋体"/>
                <w:b w:val="0"/>
                <w:sz w:val="14"/>
              </w:rPr>
              <w:t>0.4773</w:t>
            </w:r>
          </w:p>
        </w:tc>
        <w:tc>
          <w:tcPr>
            <w:tcW w:type="dxa" w:w="995"/>
            <w:vAlign w:val="center"/>
          </w:tcPr>
          <w:p>
            <w:pPr>
              <w:spacing w:after="0"/>
              <w:jc w:val="center"/>
            </w:pPr>
            <w:r/>
            <w:r>
              <w:rPr>
                <w:rFonts w:ascii="宋体" w:hAnsi="宋体" w:eastAsia="宋体"/>
                <w:b w:val="0"/>
                <w:sz w:val="14"/>
              </w:rPr>
              <w:t>0.5300</w:t>
            </w:r>
          </w:p>
        </w:tc>
        <w:tc>
          <w:tcPr>
            <w:tcW w:type="dxa" w:w="995"/>
            <w:vAlign w:val="center"/>
          </w:tcPr>
          <w:p>
            <w:pPr>
              <w:spacing w:after="0"/>
              <w:jc w:val="center"/>
            </w:pPr>
            <w:r/>
            <w:r>
              <w:rPr>
                <w:rFonts w:ascii="宋体" w:hAnsi="宋体" w:eastAsia="宋体"/>
                <w:b w:val="0"/>
                <w:sz w:val="14"/>
              </w:rPr>
              <w:t>0.7531</w:t>
            </w:r>
          </w:p>
        </w:tc>
        <w:tc>
          <w:tcPr>
            <w:tcW w:type="dxa" w:w="995"/>
            <w:vAlign w:val="center"/>
          </w:tcPr>
          <w:p>
            <w:pPr>
              <w:spacing w:after="0"/>
              <w:jc w:val="center"/>
            </w:pPr>
            <w:r/>
            <w:r>
              <w:rPr>
                <w:rFonts w:ascii="宋体" w:hAnsi="宋体" w:eastAsia="宋体"/>
                <w:b w:val="0"/>
                <w:sz w:val="14"/>
              </w:rPr>
              <w:t>0.5084</w:t>
            </w:r>
          </w:p>
        </w:tc>
        <w:tc>
          <w:tcPr>
            <w:tcW w:type="dxa" w:w="995"/>
            <w:vAlign w:val="center"/>
          </w:tcPr>
          <w:p>
            <w:pPr>
              <w:spacing w:after="0"/>
              <w:jc w:val="center"/>
            </w:pPr>
            <w:r/>
            <w:r>
              <w:rPr>
                <w:rFonts w:ascii="宋体" w:hAnsi="宋体" w:eastAsia="宋体"/>
                <w:b w:val="0"/>
                <w:sz w:val="14"/>
              </w:rPr>
              <w:t>0.6979</w:t>
            </w:r>
          </w:p>
        </w:tc>
      </w:tr>
      <w:tr>
        <w:tc>
          <w:tcPr>
            <w:tcW w:type="dxa" w:w="995"/>
            <w:vAlign w:val="center"/>
          </w:tcPr>
          <w:p>
            <w:pPr>
              <w:spacing w:after="0"/>
              <w:jc w:val="center"/>
            </w:pPr>
            <w:r/>
            <w:r>
              <w:rPr>
                <w:rFonts w:ascii="宋体" w:hAnsi="宋体" w:eastAsia="宋体"/>
                <w:b w:val="0"/>
                <w:sz w:val="14"/>
              </w:rPr>
              <w:t>Gradient Boosting</w:t>
            </w:r>
          </w:p>
        </w:tc>
        <w:tc>
          <w:tcPr>
            <w:tcW w:type="dxa" w:w="995"/>
            <w:vAlign w:val="center"/>
          </w:tcPr>
          <w:p>
            <w:pPr>
              <w:spacing w:after="0"/>
              <w:jc w:val="left"/>
            </w:pPr>
            <w:r/>
            <w:r>
              <w:rPr>
                <w:rFonts w:ascii="宋体" w:hAnsi="宋体" w:eastAsia="宋体"/>
                <w:b w:val="0"/>
                <w:sz w:val="14"/>
              </w:rPr>
              <w:t>recall_at_least_60_best_precision</w:t>
            </w:r>
          </w:p>
        </w:tc>
        <w:tc>
          <w:tcPr>
            <w:tcW w:type="dxa" w:w="995"/>
            <w:vAlign w:val="center"/>
          </w:tcPr>
          <w:p>
            <w:pPr>
              <w:spacing w:after="0"/>
              <w:jc w:val="center"/>
            </w:pPr>
            <w:r/>
            <w:r>
              <w:rPr>
                <w:rFonts w:ascii="宋体" w:hAnsi="宋体" w:eastAsia="宋体"/>
                <w:b w:val="0"/>
                <w:sz w:val="14"/>
              </w:rPr>
              <w:t>0.1400</w:t>
            </w:r>
          </w:p>
        </w:tc>
        <w:tc>
          <w:tcPr>
            <w:tcW w:type="dxa" w:w="995"/>
            <w:vAlign w:val="center"/>
          </w:tcPr>
          <w:p>
            <w:pPr>
              <w:spacing w:after="0"/>
              <w:jc w:val="center"/>
            </w:pPr>
            <w:r/>
            <w:r>
              <w:rPr>
                <w:rFonts w:ascii="宋体" w:hAnsi="宋体" w:eastAsia="宋体"/>
                <w:b w:val="0"/>
                <w:sz w:val="14"/>
              </w:rPr>
              <w:t>0.4593</w:t>
            </w:r>
          </w:p>
        </w:tc>
        <w:tc>
          <w:tcPr>
            <w:tcW w:type="dxa" w:w="995"/>
            <w:vAlign w:val="center"/>
          </w:tcPr>
          <w:p>
            <w:pPr>
              <w:spacing w:after="0"/>
              <w:jc w:val="center"/>
            </w:pPr>
            <w:r/>
            <w:r>
              <w:rPr>
                <w:rFonts w:ascii="宋体" w:hAnsi="宋体" w:eastAsia="宋体"/>
                <w:b w:val="0"/>
                <w:sz w:val="14"/>
              </w:rPr>
              <w:t>0.6420</w:t>
            </w:r>
          </w:p>
        </w:tc>
        <w:tc>
          <w:tcPr>
            <w:tcW w:type="dxa" w:w="995"/>
            <w:vAlign w:val="center"/>
          </w:tcPr>
          <w:p>
            <w:pPr>
              <w:spacing w:after="0"/>
              <w:jc w:val="center"/>
            </w:pPr>
            <w:r/>
            <w:r>
              <w:rPr>
                <w:rFonts w:ascii="宋体" w:hAnsi="宋体" w:eastAsia="宋体"/>
                <w:b w:val="0"/>
                <w:sz w:val="14"/>
              </w:rPr>
              <w:t>0.5355</w:t>
            </w:r>
          </w:p>
        </w:tc>
        <w:tc>
          <w:tcPr>
            <w:tcW w:type="dxa" w:w="995"/>
            <w:vAlign w:val="center"/>
          </w:tcPr>
          <w:p>
            <w:pPr>
              <w:spacing w:after="0"/>
              <w:jc w:val="center"/>
            </w:pPr>
            <w:r/>
            <w:r>
              <w:rPr>
                <w:rFonts w:ascii="宋体" w:hAnsi="宋体" w:eastAsia="宋体"/>
                <w:b w:val="0"/>
                <w:sz w:val="14"/>
              </w:rPr>
              <w:t>0.7531</w:t>
            </w:r>
          </w:p>
        </w:tc>
        <w:tc>
          <w:tcPr>
            <w:tcW w:type="dxa" w:w="995"/>
            <w:vAlign w:val="center"/>
          </w:tcPr>
          <w:p>
            <w:pPr>
              <w:spacing w:after="0"/>
              <w:jc w:val="center"/>
            </w:pPr>
            <w:r/>
            <w:r>
              <w:rPr>
                <w:rFonts w:ascii="宋体" w:hAnsi="宋体" w:eastAsia="宋体"/>
                <w:b w:val="0"/>
                <w:sz w:val="14"/>
              </w:rPr>
              <w:t>0.5084</w:t>
            </w:r>
          </w:p>
        </w:tc>
        <w:tc>
          <w:tcPr>
            <w:tcW w:type="dxa" w:w="995"/>
            <w:vAlign w:val="center"/>
          </w:tcPr>
          <w:p>
            <w:pPr>
              <w:spacing w:after="0"/>
              <w:jc w:val="center"/>
            </w:pPr>
            <w:r/>
            <w:r>
              <w:rPr>
                <w:rFonts w:ascii="宋体" w:hAnsi="宋体" w:eastAsia="宋体"/>
                <w:b w:val="0"/>
                <w:sz w:val="14"/>
              </w:rPr>
              <w:t>0.7259</w:t>
            </w:r>
          </w:p>
        </w:tc>
      </w:tr>
      <w:tr>
        <w:tc>
          <w:tcPr>
            <w:tcW w:type="dxa" w:w="995"/>
            <w:vAlign w:val="center"/>
          </w:tcPr>
          <w:p>
            <w:pPr>
              <w:spacing w:after="0"/>
              <w:jc w:val="center"/>
            </w:pPr>
            <w:r/>
            <w:r>
              <w:rPr>
                <w:rFonts w:ascii="宋体" w:hAnsi="宋体" w:eastAsia="宋体"/>
                <w:b w:val="0"/>
                <w:sz w:val="14"/>
              </w:rPr>
              <w:t>Gradient Boosting</w:t>
            </w:r>
          </w:p>
        </w:tc>
        <w:tc>
          <w:tcPr>
            <w:tcW w:type="dxa" w:w="995"/>
            <w:vAlign w:val="center"/>
          </w:tcPr>
          <w:p>
            <w:pPr>
              <w:spacing w:after="0"/>
              <w:jc w:val="left"/>
            </w:pPr>
            <w:r/>
            <w:r>
              <w:rPr>
                <w:rFonts w:ascii="宋体" w:hAnsi="宋体" w:eastAsia="宋体"/>
                <w:b w:val="0"/>
                <w:sz w:val="14"/>
              </w:rPr>
              <w:t>recall_at_least_70_best_precision</w:t>
            </w:r>
          </w:p>
        </w:tc>
        <w:tc>
          <w:tcPr>
            <w:tcW w:type="dxa" w:w="995"/>
            <w:vAlign w:val="center"/>
          </w:tcPr>
          <w:p>
            <w:pPr>
              <w:spacing w:after="0"/>
              <w:jc w:val="center"/>
            </w:pPr>
            <w:r/>
            <w:r>
              <w:rPr>
                <w:rFonts w:ascii="宋体" w:hAnsi="宋体" w:eastAsia="宋体"/>
                <w:b w:val="0"/>
                <w:sz w:val="14"/>
              </w:rPr>
              <w:t>0.1200</w:t>
            </w:r>
          </w:p>
        </w:tc>
        <w:tc>
          <w:tcPr>
            <w:tcW w:type="dxa" w:w="995"/>
            <w:vAlign w:val="center"/>
          </w:tcPr>
          <w:p>
            <w:pPr>
              <w:spacing w:after="0"/>
              <w:jc w:val="center"/>
            </w:pPr>
            <w:r/>
            <w:r>
              <w:rPr>
                <w:rFonts w:ascii="宋体" w:hAnsi="宋体" w:eastAsia="宋体"/>
                <w:b w:val="0"/>
                <w:sz w:val="14"/>
              </w:rPr>
              <w:t>0.2536</w:t>
            </w:r>
          </w:p>
        </w:tc>
        <w:tc>
          <w:tcPr>
            <w:tcW w:type="dxa" w:w="995"/>
            <w:vAlign w:val="center"/>
          </w:tcPr>
          <w:p>
            <w:pPr>
              <w:spacing w:after="0"/>
              <w:jc w:val="center"/>
            </w:pPr>
            <w:r/>
            <w:r>
              <w:rPr>
                <w:rFonts w:ascii="宋体" w:hAnsi="宋体" w:eastAsia="宋体"/>
                <w:b w:val="0"/>
                <w:sz w:val="14"/>
              </w:rPr>
              <w:t>0.7955</w:t>
            </w:r>
          </w:p>
        </w:tc>
        <w:tc>
          <w:tcPr>
            <w:tcW w:type="dxa" w:w="995"/>
            <w:vAlign w:val="center"/>
          </w:tcPr>
          <w:p>
            <w:pPr>
              <w:spacing w:after="0"/>
              <w:jc w:val="center"/>
            </w:pPr>
            <w:r/>
            <w:r>
              <w:rPr>
                <w:rFonts w:ascii="宋体" w:hAnsi="宋体" w:eastAsia="宋体"/>
                <w:b w:val="0"/>
                <w:sz w:val="14"/>
              </w:rPr>
              <w:t>0.3846</w:t>
            </w:r>
          </w:p>
        </w:tc>
        <w:tc>
          <w:tcPr>
            <w:tcW w:type="dxa" w:w="995"/>
            <w:vAlign w:val="center"/>
          </w:tcPr>
          <w:p>
            <w:pPr>
              <w:spacing w:after="0"/>
              <w:jc w:val="center"/>
            </w:pPr>
            <w:r/>
            <w:r>
              <w:rPr>
                <w:rFonts w:ascii="宋体" w:hAnsi="宋体" w:eastAsia="宋体"/>
                <w:b w:val="0"/>
                <w:sz w:val="14"/>
              </w:rPr>
              <w:t>0.7531</w:t>
            </w:r>
          </w:p>
        </w:tc>
        <w:tc>
          <w:tcPr>
            <w:tcW w:type="dxa" w:w="995"/>
            <w:vAlign w:val="center"/>
          </w:tcPr>
          <w:p>
            <w:pPr>
              <w:spacing w:after="0"/>
              <w:jc w:val="center"/>
            </w:pPr>
            <w:r/>
            <w:r>
              <w:rPr>
                <w:rFonts w:ascii="宋体" w:hAnsi="宋体" w:eastAsia="宋体"/>
                <w:b w:val="0"/>
                <w:sz w:val="14"/>
              </w:rPr>
              <w:t>0.5084</w:t>
            </w:r>
          </w:p>
        </w:tc>
        <w:tc>
          <w:tcPr>
            <w:tcW w:type="dxa" w:w="995"/>
            <w:vAlign w:val="center"/>
          </w:tcPr>
          <w:p>
            <w:pPr>
              <w:spacing w:after="0"/>
              <w:jc w:val="center"/>
            </w:pPr>
            <w:r/>
            <w:r>
              <w:rPr>
                <w:rFonts w:ascii="宋体" w:hAnsi="宋体" w:eastAsia="宋体"/>
                <w:b w:val="0"/>
                <w:sz w:val="14"/>
              </w:rPr>
              <w:t>0.6030</w:t>
            </w:r>
          </w:p>
        </w:tc>
      </w:tr>
    </w:tbl>
    <w:p/>
    <w:p>
      <w:pPr>
        <w:spacing w:line="300" w:lineRule="auto" w:after="80"/>
        <w:ind w:firstLine="420"/>
      </w:pPr>
      <w:r>
        <w:rPr>
          <w:rFonts w:ascii="宋体" w:hAnsi="宋体" w:eastAsia="宋体"/>
          <w:sz w:val="21"/>
        </w:rPr>
        <w:t>图 fig:classification-metrics 比较不同阈值策略的分类指标。默认阈值 0.50 的 Precision 较高但 Recall 较低；threshold=0.14 能识别更多高风险样本，但误报也会增加，这符合筛查模型在召回和精确率之间的权衡。</w:t>
      </w:r>
    </w:p>
    <w:p>
      <w:pPr>
        <w:jc w:val="center"/>
      </w:pPr>
      <w:r>
        <w:drawing>
          <wp:inline xmlns:a="http://schemas.openxmlformats.org/drawingml/2006/main" xmlns:pic="http://schemas.openxmlformats.org/drawingml/2006/picture">
            <wp:extent cx="5166360" cy="2319530"/>
            <wp:docPr id="7" name="Picture 7"/>
            <wp:cNvGraphicFramePr>
              <a:graphicFrameLocks noChangeAspect="1"/>
            </wp:cNvGraphicFramePr>
            <a:graphic>
              <a:graphicData uri="http://schemas.openxmlformats.org/drawingml/2006/picture">
                <pic:pic>
                  <pic:nvPicPr>
                    <pic:cNvPr id="0" name="classification_tuned_metrics_comparison.png"/>
                    <pic:cNvPicPr/>
                  </pic:nvPicPr>
                  <pic:blipFill>
                    <a:blip r:embed="rId16"/>
                    <a:stretch>
                      <a:fillRect/>
                    </a:stretch>
                  </pic:blipFill>
                  <pic:spPr>
                    <a:xfrm>
                      <a:off x="0" y="0"/>
                      <a:ext cx="5166360" cy="2319530"/>
                    </a:xfrm>
                    <a:prstGeom prst="rect"/>
                  </pic:spPr>
                </pic:pic>
              </a:graphicData>
            </a:graphic>
          </wp:inline>
        </w:drawing>
      </w:r>
    </w:p>
    <w:p>
      <w:pPr>
        <w:jc w:val="center"/>
      </w:pPr>
      <w:r>
        <w:rPr>
          <w:rFonts w:ascii="宋体" w:hAnsi="宋体" w:eastAsia="宋体"/>
          <w:b/>
          <w:sz w:val="21"/>
        </w:rPr>
        <w:t>图 5-1 分类阈值策略指标对比</w:t>
      </w:r>
    </w:p>
    <w:p>
      <w:pPr>
        <w:spacing w:line="300" w:lineRule="auto" w:after="80"/>
        <w:ind w:firstLine="420"/>
      </w:pPr>
      <w:r>
        <w:rPr>
          <w:rFonts w:ascii="宋体" w:hAnsi="宋体" w:eastAsia="宋体"/>
          <w:sz w:val="21"/>
        </w:rPr>
        <w:t>图 fig:classification-confusion 为最终阈值下的混淆矩阵。测试集中 TN=566、FP=133、FN=63、TP=113，说明模型能够召回一部分高风险样本，但仍然需要人工复核和谨慎解释。</w:t>
      </w:r>
    </w:p>
    <w:p>
      <w:pPr>
        <w:jc w:val="center"/>
      </w:pPr>
      <w:r>
        <w:drawing>
          <wp:inline xmlns:a="http://schemas.openxmlformats.org/drawingml/2006/main" xmlns:pic="http://schemas.openxmlformats.org/drawingml/2006/picture">
            <wp:extent cx="5166360" cy="4699431"/>
            <wp:docPr id="8" name="Picture 8"/>
            <wp:cNvGraphicFramePr>
              <a:graphicFrameLocks noChangeAspect="1"/>
            </wp:cNvGraphicFramePr>
            <a:graphic>
              <a:graphicData uri="http://schemas.openxmlformats.org/drawingml/2006/picture">
                <pic:pic>
                  <pic:nvPicPr>
                    <pic:cNvPr id="0" name="classification_final_confusion_matrix.png"/>
                    <pic:cNvPicPr/>
                  </pic:nvPicPr>
                  <pic:blipFill>
                    <a:blip r:embed="rId17"/>
                    <a:stretch>
                      <a:fillRect/>
                    </a:stretch>
                  </pic:blipFill>
                  <pic:spPr>
                    <a:xfrm>
                      <a:off x="0" y="0"/>
                      <a:ext cx="5166360" cy="4699431"/>
                    </a:xfrm>
                    <a:prstGeom prst="rect"/>
                  </pic:spPr>
                </pic:pic>
              </a:graphicData>
            </a:graphic>
          </wp:inline>
        </w:drawing>
      </w:r>
    </w:p>
    <w:p>
      <w:pPr>
        <w:jc w:val="center"/>
      </w:pPr>
      <w:r>
        <w:rPr>
          <w:rFonts w:ascii="宋体" w:hAnsi="宋体" w:eastAsia="宋体"/>
          <w:b/>
          <w:sz w:val="21"/>
        </w:rPr>
        <w:t>图 5-2 最终分类混淆矩阵</w:t>
      </w:r>
    </w:p>
    <w:p>
      <w:pPr>
        <w:spacing w:line="300" w:lineRule="auto" w:after="80"/>
        <w:ind w:firstLine="420"/>
      </w:pPr>
      <w:r>
        <w:rPr>
          <w:rFonts w:ascii="宋体" w:hAnsi="宋体" w:eastAsia="宋体"/>
          <w:sz w:val="21"/>
        </w:rPr>
        <w:t>图 fig:classification-pr 和图 fig:classification-roc 分别展示 PR 曲线和 ROC 曲线。在高风险正类较少的情况下，PR-AUC 对正类识别能力更敏感；ROC-AUC 则用于补充观察整体排序能力。</w:t>
      </w:r>
    </w:p>
    <w:p>
      <w:pPr>
        <w:jc w:val="center"/>
      </w:pPr>
      <w:r>
        <w:drawing>
          <wp:inline xmlns:a="http://schemas.openxmlformats.org/drawingml/2006/main" xmlns:pic="http://schemas.openxmlformats.org/drawingml/2006/picture">
            <wp:extent cx="5166360" cy="5278672"/>
            <wp:docPr id="9" name="Picture 9"/>
            <wp:cNvGraphicFramePr>
              <a:graphicFrameLocks noChangeAspect="1"/>
            </wp:cNvGraphicFramePr>
            <a:graphic>
              <a:graphicData uri="http://schemas.openxmlformats.org/drawingml/2006/picture">
                <pic:pic>
                  <pic:nvPicPr>
                    <pic:cNvPr id="0" name="classification_precision_recall_curve.png"/>
                    <pic:cNvPicPr/>
                  </pic:nvPicPr>
                  <pic:blipFill>
                    <a:blip r:embed="rId18"/>
                    <a:stretch>
                      <a:fillRect/>
                    </a:stretch>
                  </pic:blipFill>
                  <pic:spPr>
                    <a:xfrm>
                      <a:off x="0" y="0"/>
                      <a:ext cx="5166360" cy="5278672"/>
                    </a:xfrm>
                    <a:prstGeom prst="rect"/>
                  </pic:spPr>
                </pic:pic>
              </a:graphicData>
            </a:graphic>
          </wp:inline>
        </w:drawing>
      </w:r>
    </w:p>
    <w:p>
      <w:pPr>
        <w:jc w:val="center"/>
      </w:pPr>
      <w:r>
        <w:rPr>
          <w:rFonts w:ascii="宋体" w:hAnsi="宋体" w:eastAsia="宋体"/>
          <w:b/>
          <w:sz w:val="21"/>
        </w:rPr>
        <w:t>图 5-3 分类 Precision-Recall 曲线</w:t>
      </w:r>
    </w:p>
    <w:p>
      <w:pPr>
        <w:jc w:val="center"/>
      </w:pPr>
      <w:r>
        <w:drawing>
          <wp:inline xmlns:a="http://schemas.openxmlformats.org/drawingml/2006/main" xmlns:pic="http://schemas.openxmlformats.org/drawingml/2006/picture">
            <wp:extent cx="5166360" cy="5278672"/>
            <wp:docPr id="10" name="Picture 10"/>
            <wp:cNvGraphicFramePr>
              <a:graphicFrameLocks noChangeAspect="1"/>
            </wp:cNvGraphicFramePr>
            <a:graphic>
              <a:graphicData uri="http://schemas.openxmlformats.org/drawingml/2006/picture">
                <pic:pic>
                  <pic:nvPicPr>
                    <pic:cNvPr id="0" name="classification_roc_curve.png"/>
                    <pic:cNvPicPr/>
                  </pic:nvPicPr>
                  <pic:blipFill>
                    <a:blip r:embed="rId19"/>
                    <a:stretch>
                      <a:fillRect/>
                    </a:stretch>
                  </pic:blipFill>
                  <pic:spPr>
                    <a:xfrm>
                      <a:off x="0" y="0"/>
                      <a:ext cx="5166360" cy="5278672"/>
                    </a:xfrm>
                    <a:prstGeom prst="rect"/>
                  </pic:spPr>
                </pic:pic>
              </a:graphicData>
            </a:graphic>
          </wp:inline>
        </w:drawing>
      </w:r>
    </w:p>
    <w:p>
      <w:pPr>
        <w:jc w:val="center"/>
      </w:pPr>
      <w:r>
        <w:rPr>
          <w:rFonts w:ascii="宋体" w:hAnsi="宋体" w:eastAsia="宋体"/>
          <w:b/>
          <w:sz w:val="21"/>
        </w:rPr>
        <w:t>图 5-4 分类 ROC 曲线</w:t>
      </w:r>
    </w:p>
    <w:p>
      <w:pPr>
        <w:pStyle w:val="Heading2"/>
      </w:pPr>
      <w:r>
        <w:rPr>
          <w:rFonts w:ascii="黑体" w:hAnsi="黑体" w:eastAsia="黑体"/>
          <w:b/>
          <w:sz w:val="26"/>
        </w:rPr>
        <w:t>回归任务：数字依赖预测与生产力弱预测</w:t>
      </w:r>
    </w:p>
    <w:p>
      <w:pPr>
        <w:spacing w:line="300" w:lineRule="auto" w:after="80"/>
        <w:ind w:firstLine="420"/>
      </w:pPr>
      <w:r>
        <w:rPr>
          <w:rFonts w:ascii="宋体" w:hAnsi="宋体" w:eastAsia="宋体"/>
          <w:sz w:val="21"/>
        </w:rPr>
        <w:t>回归任务以 digital_dependence_score 为主线，同时保留 productivity_score 作为对照。表 tab:regression-target-comparison 显示，数字依赖预测效果明显强于生产力预测。Gradient Boosting 在数字依赖目标上的测试集 R²=0.9839、MSE=3.1471、MAE=0.9982；而生产力得分预测 R²=-0.0041，说明当前特征对该目标解释能力弱。</w:t>
      </w:r>
    </w:p>
    <w:p>
      <w:pPr>
        <w:jc w:val="center"/>
      </w:pPr>
      <w:r>
        <w:rPr>
          <w:rFonts w:ascii="宋体" w:hAnsi="宋体" w:eastAsia="宋体"/>
          <w:b/>
          <w:sz w:val="21"/>
        </w:rPr>
        <w:t>表 5-3 两个回归目标的最佳模型对比</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0"/>
        <w:gridCol w:w="1280"/>
        <w:gridCol w:w="1280"/>
        <w:gridCol w:w="1280"/>
        <w:gridCol w:w="1280"/>
        <w:gridCol w:w="1280"/>
        <w:gridCol w:w="1280"/>
      </w:tblGrid>
      <w:tr>
        <w:tc>
          <w:tcPr>
            <w:tcW w:type="dxa" w:w="1280"/>
            <w:vAlign w:val="center"/>
            <w:shd w:fill="EAF2F8"/>
          </w:tcPr>
          <w:p>
            <w:pPr>
              <w:spacing w:after="0"/>
              <w:jc w:val="center"/>
            </w:pPr>
            <w:r/>
            <w:r>
              <w:rPr>
                <w:rFonts w:ascii="宋体" w:hAnsi="宋体" w:eastAsia="宋体"/>
                <w:b/>
                <w:sz w:val="17"/>
              </w:rPr>
              <w:t>目标变量</w:t>
            </w:r>
          </w:p>
        </w:tc>
        <w:tc>
          <w:tcPr>
            <w:tcW w:type="dxa" w:w="1280"/>
            <w:vAlign w:val="center"/>
            <w:shd w:fill="EAF2F8"/>
          </w:tcPr>
          <w:p>
            <w:pPr>
              <w:spacing w:after="0"/>
              <w:jc w:val="center"/>
            </w:pPr>
            <w:r/>
            <w:r>
              <w:rPr>
                <w:rFonts w:ascii="宋体" w:hAnsi="宋体" w:eastAsia="宋体"/>
                <w:b/>
                <w:sz w:val="17"/>
              </w:rPr>
              <w:t>最佳模型</w:t>
            </w:r>
          </w:p>
        </w:tc>
        <w:tc>
          <w:tcPr>
            <w:tcW w:type="dxa" w:w="1280"/>
            <w:vAlign w:val="center"/>
            <w:shd w:fill="EAF2F8"/>
          </w:tcPr>
          <w:p>
            <w:pPr>
              <w:spacing w:after="0"/>
              <w:jc w:val="center"/>
            </w:pPr>
            <w:r/>
            <w:r>
              <w:rPr>
                <w:rFonts w:ascii="宋体" w:hAnsi="宋体" w:eastAsia="宋体"/>
                <w:b/>
                <w:sz w:val="17"/>
              </w:rPr>
              <w:t>MAE</w:t>
            </w:r>
          </w:p>
        </w:tc>
        <w:tc>
          <w:tcPr>
            <w:tcW w:type="dxa" w:w="1280"/>
            <w:vAlign w:val="center"/>
            <w:shd w:fill="EAF2F8"/>
          </w:tcPr>
          <w:p>
            <w:pPr>
              <w:spacing w:after="0"/>
              <w:jc w:val="center"/>
            </w:pPr>
            <w:r/>
            <w:r>
              <w:rPr>
                <w:rFonts w:ascii="宋体" w:hAnsi="宋体" w:eastAsia="宋体"/>
                <w:b/>
                <w:sz w:val="17"/>
              </w:rPr>
              <w:t>MSE</w:t>
            </w:r>
          </w:p>
        </w:tc>
        <w:tc>
          <w:tcPr>
            <w:tcW w:type="dxa" w:w="1280"/>
            <w:vAlign w:val="center"/>
            <w:shd w:fill="EAF2F8"/>
          </w:tcPr>
          <w:p>
            <w:pPr>
              <w:spacing w:after="0"/>
              <w:jc w:val="center"/>
            </w:pPr>
            <w:r/>
            <w:r>
              <w:rPr>
                <w:rFonts w:ascii="宋体" w:hAnsi="宋体" w:eastAsia="宋体"/>
                <w:b/>
                <w:sz w:val="17"/>
              </w:rPr>
              <w:t>RMSE</w:t>
            </w:r>
          </w:p>
        </w:tc>
        <w:tc>
          <w:tcPr>
            <w:tcW w:type="dxa" w:w="1280"/>
            <w:vAlign w:val="center"/>
            <w:shd w:fill="EAF2F8"/>
          </w:tcPr>
          <w:p>
            <w:pPr>
              <w:spacing w:after="0"/>
              <w:jc w:val="center"/>
            </w:pPr>
            <w:r/>
            <w:r>
              <w:rPr>
                <w:rFonts w:ascii="宋体" w:hAnsi="宋体" w:eastAsia="宋体"/>
                <w:b/>
                <w:sz w:val="17"/>
              </w:rPr>
              <w:t>R²</w:t>
            </w:r>
          </w:p>
        </w:tc>
        <w:tc>
          <w:tcPr>
            <w:tcW w:type="dxa" w:w="1280"/>
            <w:vAlign w:val="center"/>
            <w:shd w:fill="EAF2F8"/>
          </w:tcPr>
          <w:p>
            <w:pPr>
              <w:spacing w:after="0"/>
              <w:jc w:val="center"/>
            </w:pPr>
            <w:r/>
            <w:r>
              <w:rPr>
                <w:rFonts w:ascii="宋体" w:hAnsi="宋体" w:eastAsia="宋体"/>
                <w:b/>
                <w:sz w:val="17"/>
              </w:rPr>
              <w:t>CV 最优 R²</w:t>
            </w:r>
          </w:p>
        </w:tc>
      </w:tr>
      <w:tr>
        <w:tc>
          <w:tcPr>
            <w:tcW w:type="dxa" w:w="1280"/>
            <w:vAlign w:val="center"/>
          </w:tcPr>
          <w:p>
            <w:pPr>
              <w:spacing w:after="0"/>
              <w:jc w:val="center"/>
            </w:pPr>
            <w:r/>
            <w:r>
              <w:rPr>
                <w:rFonts w:ascii="宋体" w:hAnsi="宋体" w:eastAsia="宋体"/>
                <w:b w:val="0"/>
                <w:sz w:val="17"/>
              </w:rPr>
              <w:t>productivity_score</w:t>
            </w:r>
          </w:p>
        </w:tc>
        <w:tc>
          <w:tcPr>
            <w:tcW w:type="dxa" w:w="1280"/>
            <w:vAlign w:val="center"/>
          </w:tcPr>
          <w:p>
            <w:pPr>
              <w:spacing w:after="0"/>
              <w:jc w:val="center"/>
            </w:pPr>
            <w:r/>
            <w:r>
              <w:rPr>
                <w:rFonts w:ascii="宋体" w:hAnsi="宋体" w:eastAsia="宋体"/>
                <w:b w:val="0"/>
                <w:sz w:val="17"/>
              </w:rPr>
              <w:t>Gradient Boosting</w:t>
            </w:r>
          </w:p>
        </w:tc>
        <w:tc>
          <w:tcPr>
            <w:tcW w:type="dxa" w:w="1280"/>
            <w:vAlign w:val="center"/>
          </w:tcPr>
          <w:p>
            <w:pPr>
              <w:spacing w:after="0"/>
              <w:jc w:val="center"/>
            </w:pPr>
            <w:r/>
            <w:r>
              <w:rPr>
                <w:rFonts w:ascii="宋体" w:hAnsi="宋体" w:eastAsia="宋体"/>
                <w:b w:val="0"/>
                <w:sz w:val="17"/>
              </w:rPr>
              <w:t>7.1671</w:t>
            </w:r>
          </w:p>
        </w:tc>
        <w:tc>
          <w:tcPr>
            <w:tcW w:type="dxa" w:w="1280"/>
            <w:vAlign w:val="center"/>
          </w:tcPr>
          <w:p>
            <w:pPr>
              <w:spacing w:after="0"/>
              <w:jc w:val="center"/>
            </w:pPr>
            <w:r/>
            <w:r>
              <w:rPr>
                <w:rFonts w:ascii="宋体" w:hAnsi="宋体" w:eastAsia="宋体"/>
                <w:b w:val="0"/>
                <w:sz w:val="17"/>
              </w:rPr>
              <w:t>85.2031</w:t>
            </w:r>
          </w:p>
        </w:tc>
        <w:tc>
          <w:tcPr>
            <w:tcW w:type="dxa" w:w="1280"/>
            <w:vAlign w:val="center"/>
          </w:tcPr>
          <w:p>
            <w:pPr>
              <w:spacing w:after="0"/>
              <w:jc w:val="center"/>
            </w:pPr>
            <w:r/>
            <w:r>
              <w:rPr>
                <w:rFonts w:ascii="宋体" w:hAnsi="宋体" w:eastAsia="宋体"/>
                <w:b w:val="0"/>
                <w:sz w:val="17"/>
              </w:rPr>
              <w:t>9.2306</w:t>
            </w:r>
          </w:p>
        </w:tc>
        <w:tc>
          <w:tcPr>
            <w:tcW w:type="dxa" w:w="1280"/>
            <w:vAlign w:val="center"/>
          </w:tcPr>
          <w:p>
            <w:pPr>
              <w:spacing w:after="0"/>
              <w:jc w:val="center"/>
            </w:pPr>
            <w:r/>
            <w:r>
              <w:rPr>
                <w:rFonts w:ascii="宋体" w:hAnsi="宋体" w:eastAsia="宋体"/>
                <w:b w:val="0"/>
                <w:sz w:val="17"/>
              </w:rPr>
              <w:t>-0.0041</w:t>
            </w:r>
          </w:p>
        </w:tc>
        <w:tc>
          <w:tcPr>
            <w:tcW w:type="dxa" w:w="1280"/>
            <w:vAlign w:val="center"/>
          </w:tcPr>
          <w:p>
            <w:pPr>
              <w:spacing w:after="0"/>
              <w:jc w:val="center"/>
            </w:pPr>
            <w:r/>
            <w:r>
              <w:rPr>
                <w:rFonts w:ascii="宋体" w:hAnsi="宋体" w:eastAsia="宋体"/>
                <w:b w:val="0"/>
                <w:sz w:val="17"/>
              </w:rPr>
              <w:t>0.0119</w:t>
            </w:r>
          </w:p>
        </w:tc>
      </w:tr>
      <w:tr>
        <w:tc>
          <w:tcPr>
            <w:tcW w:type="dxa" w:w="1280"/>
            <w:vAlign w:val="center"/>
          </w:tcPr>
          <w:p>
            <w:pPr>
              <w:spacing w:after="0"/>
              <w:jc w:val="left"/>
            </w:pPr>
            <w:r/>
            <w:r>
              <w:rPr>
                <w:rFonts w:ascii="宋体" w:hAnsi="宋体" w:eastAsia="宋体"/>
                <w:b w:val="0"/>
                <w:sz w:val="17"/>
              </w:rPr>
              <w:t>digital_dependence_score</w:t>
            </w:r>
          </w:p>
        </w:tc>
        <w:tc>
          <w:tcPr>
            <w:tcW w:type="dxa" w:w="1280"/>
            <w:vAlign w:val="center"/>
          </w:tcPr>
          <w:p>
            <w:pPr>
              <w:spacing w:after="0"/>
              <w:jc w:val="center"/>
            </w:pPr>
            <w:r/>
            <w:r>
              <w:rPr>
                <w:rFonts w:ascii="宋体" w:hAnsi="宋体" w:eastAsia="宋体"/>
                <w:b w:val="0"/>
                <w:sz w:val="17"/>
              </w:rPr>
              <w:t>Gradient Boosting</w:t>
            </w:r>
          </w:p>
        </w:tc>
        <w:tc>
          <w:tcPr>
            <w:tcW w:type="dxa" w:w="1280"/>
            <w:vAlign w:val="center"/>
          </w:tcPr>
          <w:p>
            <w:pPr>
              <w:spacing w:after="0"/>
              <w:jc w:val="center"/>
            </w:pPr>
            <w:r/>
            <w:r>
              <w:rPr>
                <w:rFonts w:ascii="宋体" w:hAnsi="宋体" w:eastAsia="宋体"/>
                <w:b w:val="0"/>
                <w:sz w:val="17"/>
              </w:rPr>
              <w:t>0.9982</w:t>
            </w:r>
          </w:p>
        </w:tc>
        <w:tc>
          <w:tcPr>
            <w:tcW w:type="dxa" w:w="1280"/>
            <w:vAlign w:val="center"/>
          </w:tcPr>
          <w:p>
            <w:pPr>
              <w:spacing w:after="0"/>
              <w:jc w:val="center"/>
            </w:pPr>
            <w:r/>
            <w:r>
              <w:rPr>
                <w:rFonts w:ascii="宋体" w:hAnsi="宋体" w:eastAsia="宋体"/>
                <w:b w:val="0"/>
                <w:sz w:val="17"/>
              </w:rPr>
              <w:t>3.1471</w:t>
            </w:r>
          </w:p>
        </w:tc>
        <w:tc>
          <w:tcPr>
            <w:tcW w:type="dxa" w:w="1280"/>
            <w:vAlign w:val="center"/>
          </w:tcPr>
          <w:p>
            <w:pPr>
              <w:spacing w:after="0"/>
              <w:jc w:val="center"/>
            </w:pPr>
            <w:r/>
            <w:r>
              <w:rPr>
                <w:rFonts w:ascii="宋体" w:hAnsi="宋体" w:eastAsia="宋体"/>
                <w:b w:val="0"/>
                <w:sz w:val="17"/>
              </w:rPr>
              <w:t>1.7740</w:t>
            </w:r>
          </w:p>
        </w:tc>
        <w:tc>
          <w:tcPr>
            <w:tcW w:type="dxa" w:w="1280"/>
            <w:vAlign w:val="center"/>
          </w:tcPr>
          <w:p>
            <w:pPr>
              <w:spacing w:after="0"/>
              <w:jc w:val="center"/>
            </w:pPr>
            <w:r/>
            <w:r>
              <w:rPr>
                <w:rFonts w:ascii="宋体" w:hAnsi="宋体" w:eastAsia="宋体"/>
                <w:b w:val="0"/>
                <w:sz w:val="17"/>
              </w:rPr>
              <w:t>0.9839</w:t>
            </w:r>
          </w:p>
        </w:tc>
        <w:tc>
          <w:tcPr>
            <w:tcW w:type="dxa" w:w="1280"/>
            <w:vAlign w:val="center"/>
          </w:tcPr>
          <w:p>
            <w:pPr>
              <w:spacing w:after="0"/>
              <w:jc w:val="center"/>
            </w:pPr>
            <w:r/>
            <w:r>
              <w:rPr>
                <w:rFonts w:ascii="宋体" w:hAnsi="宋体" w:eastAsia="宋体"/>
                <w:b w:val="0"/>
                <w:sz w:val="17"/>
              </w:rPr>
              <w:t>0.9804</w:t>
            </w:r>
          </w:p>
        </w:tc>
      </w:tr>
    </w:tbl>
    <w:p/>
    <w:p>
      <w:pPr>
        <w:jc w:val="center"/>
      </w:pPr>
      <w:r>
        <w:rPr>
          <w:rFonts w:ascii="宋体" w:hAnsi="宋体" w:eastAsia="宋体"/>
          <w:b/>
          <w:sz w:val="21"/>
        </w:rPr>
        <w:t>表 5-4 digital_dependence_score 回归模型测试集指标</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92"/>
        <w:gridCol w:w="1792"/>
        <w:gridCol w:w="1792"/>
        <w:gridCol w:w="1792"/>
        <w:gridCol w:w="1792"/>
      </w:tblGrid>
      <w:tr>
        <w:tc>
          <w:tcPr>
            <w:tcW w:type="dxa" w:w="1792"/>
            <w:vAlign w:val="center"/>
            <w:shd w:fill="EAF2F8"/>
          </w:tcPr>
          <w:p>
            <w:pPr>
              <w:spacing w:after="0"/>
              <w:jc w:val="center"/>
            </w:pPr>
            <w:r/>
            <w:r>
              <w:rPr>
                <w:rFonts w:ascii="宋体" w:hAnsi="宋体" w:eastAsia="宋体"/>
                <w:b/>
                <w:sz w:val="17"/>
              </w:rPr>
              <w:t>模型</w:t>
            </w:r>
          </w:p>
        </w:tc>
        <w:tc>
          <w:tcPr>
            <w:tcW w:type="dxa" w:w="1792"/>
            <w:vAlign w:val="center"/>
            <w:shd w:fill="EAF2F8"/>
          </w:tcPr>
          <w:p>
            <w:pPr>
              <w:spacing w:after="0"/>
              <w:jc w:val="center"/>
            </w:pPr>
            <w:r/>
            <w:r>
              <w:rPr>
                <w:rFonts w:ascii="宋体" w:hAnsi="宋体" w:eastAsia="宋体"/>
                <w:b/>
                <w:sz w:val="17"/>
              </w:rPr>
              <w:t>MAE</w:t>
            </w:r>
          </w:p>
        </w:tc>
        <w:tc>
          <w:tcPr>
            <w:tcW w:type="dxa" w:w="1792"/>
            <w:vAlign w:val="center"/>
            <w:shd w:fill="EAF2F8"/>
          </w:tcPr>
          <w:p>
            <w:pPr>
              <w:spacing w:after="0"/>
              <w:jc w:val="center"/>
            </w:pPr>
            <w:r/>
            <w:r>
              <w:rPr>
                <w:rFonts w:ascii="宋体" w:hAnsi="宋体" w:eastAsia="宋体"/>
                <w:b/>
                <w:sz w:val="17"/>
              </w:rPr>
              <w:t>MSE</w:t>
            </w:r>
          </w:p>
        </w:tc>
        <w:tc>
          <w:tcPr>
            <w:tcW w:type="dxa" w:w="1792"/>
            <w:vAlign w:val="center"/>
            <w:shd w:fill="EAF2F8"/>
          </w:tcPr>
          <w:p>
            <w:pPr>
              <w:spacing w:after="0"/>
              <w:jc w:val="center"/>
            </w:pPr>
            <w:r/>
            <w:r>
              <w:rPr>
                <w:rFonts w:ascii="宋体" w:hAnsi="宋体" w:eastAsia="宋体"/>
                <w:b/>
                <w:sz w:val="17"/>
              </w:rPr>
              <w:t>RMSE</w:t>
            </w:r>
          </w:p>
        </w:tc>
        <w:tc>
          <w:tcPr>
            <w:tcW w:type="dxa" w:w="1792"/>
            <w:vAlign w:val="center"/>
            <w:shd w:fill="EAF2F8"/>
          </w:tcPr>
          <w:p>
            <w:pPr>
              <w:spacing w:after="0"/>
              <w:jc w:val="center"/>
            </w:pPr>
            <w:r/>
            <w:r>
              <w:rPr>
                <w:rFonts w:ascii="宋体" w:hAnsi="宋体" w:eastAsia="宋体"/>
                <w:b/>
                <w:sz w:val="17"/>
              </w:rPr>
              <w:t>R²</w:t>
            </w:r>
          </w:p>
        </w:tc>
      </w:tr>
      <w:tr>
        <w:tc>
          <w:tcPr>
            <w:tcW w:type="dxa" w:w="1792"/>
            <w:vAlign w:val="center"/>
          </w:tcPr>
          <w:p>
            <w:pPr>
              <w:spacing w:after="0"/>
              <w:jc w:val="center"/>
            </w:pPr>
            <w:r/>
            <w:r>
              <w:rPr>
                <w:rFonts w:ascii="宋体" w:hAnsi="宋体" w:eastAsia="宋体"/>
                <w:b w:val="0"/>
                <w:sz w:val="17"/>
              </w:rPr>
              <w:t>Gradient Boosting</w:t>
            </w:r>
          </w:p>
        </w:tc>
        <w:tc>
          <w:tcPr>
            <w:tcW w:type="dxa" w:w="1792"/>
            <w:vAlign w:val="center"/>
          </w:tcPr>
          <w:p>
            <w:pPr>
              <w:spacing w:after="0"/>
              <w:jc w:val="center"/>
            </w:pPr>
            <w:r/>
            <w:r>
              <w:rPr>
                <w:rFonts w:ascii="宋体" w:hAnsi="宋体" w:eastAsia="宋体"/>
                <w:b w:val="0"/>
                <w:sz w:val="17"/>
              </w:rPr>
              <w:t>0.9982</w:t>
            </w:r>
          </w:p>
        </w:tc>
        <w:tc>
          <w:tcPr>
            <w:tcW w:type="dxa" w:w="1792"/>
            <w:vAlign w:val="center"/>
          </w:tcPr>
          <w:p>
            <w:pPr>
              <w:spacing w:after="0"/>
              <w:jc w:val="center"/>
            </w:pPr>
            <w:r/>
            <w:r>
              <w:rPr>
                <w:rFonts w:ascii="宋体" w:hAnsi="宋体" w:eastAsia="宋体"/>
                <w:b w:val="0"/>
                <w:sz w:val="17"/>
              </w:rPr>
              <w:t>3.1471</w:t>
            </w:r>
          </w:p>
        </w:tc>
        <w:tc>
          <w:tcPr>
            <w:tcW w:type="dxa" w:w="1792"/>
            <w:vAlign w:val="center"/>
          </w:tcPr>
          <w:p>
            <w:pPr>
              <w:spacing w:after="0"/>
              <w:jc w:val="center"/>
            </w:pPr>
            <w:r/>
            <w:r>
              <w:rPr>
                <w:rFonts w:ascii="宋体" w:hAnsi="宋体" w:eastAsia="宋体"/>
                <w:b w:val="0"/>
                <w:sz w:val="17"/>
              </w:rPr>
              <w:t>1.7740</w:t>
            </w:r>
          </w:p>
        </w:tc>
        <w:tc>
          <w:tcPr>
            <w:tcW w:type="dxa" w:w="1792"/>
            <w:vAlign w:val="center"/>
          </w:tcPr>
          <w:p>
            <w:pPr>
              <w:spacing w:after="0"/>
              <w:jc w:val="center"/>
            </w:pPr>
            <w:r/>
            <w:r>
              <w:rPr>
                <w:rFonts w:ascii="宋体" w:hAnsi="宋体" w:eastAsia="宋体"/>
                <w:b w:val="0"/>
                <w:sz w:val="17"/>
              </w:rPr>
              <w:t>0.9839</w:t>
            </w:r>
          </w:p>
        </w:tc>
      </w:tr>
      <w:tr>
        <w:tc>
          <w:tcPr>
            <w:tcW w:type="dxa" w:w="1792"/>
            <w:vAlign w:val="center"/>
          </w:tcPr>
          <w:p>
            <w:pPr>
              <w:spacing w:after="0"/>
              <w:jc w:val="center"/>
            </w:pPr>
            <w:r/>
            <w:r>
              <w:rPr>
                <w:rFonts w:ascii="宋体" w:hAnsi="宋体" w:eastAsia="宋体"/>
                <w:b w:val="0"/>
                <w:sz w:val="17"/>
              </w:rPr>
              <w:t>Ridge</w:t>
            </w:r>
          </w:p>
        </w:tc>
        <w:tc>
          <w:tcPr>
            <w:tcW w:type="dxa" w:w="1792"/>
            <w:vAlign w:val="center"/>
          </w:tcPr>
          <w:p>
            <w:pPr>
              <w:spacing w:after="0"/>
              <w:jc w:val="center"/>
            </w:pPr>
            <w:r/>
            <w:r>
              <w:rPr>
                <w:rFonts w:ascii="宋体" w:hAnsi="宋体" w:eastAsia="宋体"/>
                <w:b w:val="0"/>
                <w:sz w:val="17"/>
              </w:rPr>
              <w:t>0.7652</w:t>
            </w:r>
          </w:p>
        </w:tc>
        <w:tc>
          <w:tcPr>
            <w:tcW w:type="dxa" w:w="1792"/>
            <w:vAlign w:val="center"/>
          </w:tcPr>
          <w:p>
            <w:pPr>
              <w:spacing w:after="0"/>
              <w:jc w:val="center"/>
            </w:pPr>
            <w:r/>
            <w:r>
              <w:rPr>
                <w:rFonts w:ascii="宋体" w:hAnsi="宋体" w:eastAsia="宋体"/>
                <w:b w:val="0"/>
                <w:sz w:val="17"/>
              </w:rPr>
              <w:t>3.6541</w:t>
            </w:r>
          </w:p>
        </w:tc>
        <w:tc>
          <w:tcPr>
            <w:tcW w:type="dxa" w:w="1792"/>
            <w:vAlign w:val="center"/>
          </w:tcPr>
          <w:p>
            <w:pPr>
              <w:spacing w:after="0"/>
              <w:jc w:val="center"/>
            </w:pPr>
            <w:r/>
            <w:r>
              <w:rPr>
                <w:rFonts w:ascii="宋体" w:hAnsi="宋体" w:eastAsia="宋体"/>
                <w:b w:val="0"/>
                <w:sz w:val="17"/>
              </w:rPr>
              <w:t>1.9116</w:t>
            </w:r>
          </w:p>
        </w:tc>
        <w:tc>
          <w:tcPr>
            <w:tcW w:type="dxa" w:w="1792"/>
            <w:vAlign w:val="center"/>
          </w:tcPr>
          <w:p>
            <w:pPr>
              <w:spacing w:after="0"/>
              <w:jc w:val="center"/>
            </w:pPr>
            <w:r/>
            <w:r>
              <w:rPr>
                <w:rFonts w:ascii="宋体" w:hAnsi="宋体" w:eastAsia="宋体"/>
                <w:b w:val="0"/>
                <w:sz w:val="17"/>
              </w:rPr>
              <w:t>0.9813</w:t>
            </w:r>
          </w:p>
        </w:tc>
      </w:tr>
      <w:tr>
        <w:tc>
          <w:tcPr>
            <w:tcW w:type="dxa" w:w="1792"/>
            <w:vAlign w:val="center"/>
          </w:tcPr>
          <w:p>
            <w:pPr>
              <w:spacing w:after="0"/>
              <w:jc w:val="center"/>
            </w:pPr>
            <w:r/>
            <w:r>
              <w:rPr>
                <w:rFonts w:ascii="宋体" w:hAnsi="宋体" w:eastAsia="宋体"/>
                <w:b w:val="0"/>
                <w:sz w:val="17"/>
              </w:rPr>
              <w:t>Linear Regression</w:t>
            </w:r>
          </w:p>
        </w:tc>
        <w:tc>
          <w:tcPr>
            <w:tcW w:type="dxa" w:w="1792"/>
            <w:vAlign w:val="center"/>
          </w:tcPr>
          <w:p>
            <w:pPr>
              <w:spacing w:after="0"/>
              <w:jc w:val="center"/>
            </w:pPr>
            <w:r/>
            <w:r>
              <w:rPr>
                <w:rFonts w:ascii="宋体" w:hAnsi="宋体" w:eastAsia="宋体"/>
                <w:b w:val="0"/>
                <w:sz w:val="17"/>
              </w:rPr>
              <w:t>0.7651</w:t>
            </w:r>
          </w:p>
        </w:tc>
        <w:tc>
          <w:tcPr>
            <w:tcW w:type="dxa" w:w="1792"/>
            <w:vAlign w:val="center"/>
          </w:tcPr>
          <w:p>
            <w:pPr>
              <w:spacing w:after="0"/>
              <w:jc w:val="center"/>
            </w:pPr>
            <w:r/>
            <w:r>
              <w:rPr>
                <w:rFonts w:ascii="宋体" w:hAnsi="宋体" w:eastAsia="宋体"/>
                <w:b w:val="0"/>
                <w:sz w:val="17"/>
              </w:rPr>
              <w:t>3.6538</w:t>
            </w:r>
          </w:p>
        </w:tc>
        <w:tc>
          <w:tcPr>
            <w:tcW w:type="dxa" w:w="1792"/>
            <w:vAlign w:val="center"/>
          </w:tcPr>
          <w:p>
            <w:pPr>
              <w:spacing w:after="0"/>
              <w:jc w:val="center"/>
            </w:pPr>
            <w:r/>
            <w:r>
              <w:rPr>
                <w:rFonts w:ascii="宋体" w:hAnsi="宋体" w:eastAsia="宋体"/>
                <w:b w:val="0"/>
                <w:sz w:val="17"/>
              </w:rPr>
              <w:t>1.9115</w:t>
            </w:r>
          </w:p>
        </w:tc>
        <w:tc>
          <w:tcPr>
            <w:tcW w:type="dxa" w:w="1792"/>
            <w:vAlign w:val="center"/>
          </w:tcPr>
          <w:p>
            <w:pPr>
              <w:spacing w:after="0"/>
              <w:jc w:val="center"/>
            </w:pPr>
            <w:r/>
            <w:r>
              <w:rPr>
                <w:rFonts w:ascii="宋体" w:hAnsi="宋体" w:eastAsia="宋体"/>
                <w:b w:val="0"/>
                <w:sz w:val="17"/>
              </w:rPr>
              <w:t>0.9813</w:t>
            </w:r>
          </w:p>
        </w:tc>
      </w:tr>
      <w:tr>
        <w:tc>
          <w:tcPr>
            <w:tcW w:type="dxa" w:w="1792"/>
            <w:vAlign w:val="center"/>
          </w:tcPr>
          <w:p>
            <w:pPr>
              <w:spacing w:after="0"/>
              <w:jc w:val="center"/>
            </w:pPr>
            <w:r/>
            <w:r>
              <w:rPr>
                <w:rFonts w:ascii="宋体" w:hAnsi="宋体" w:eastAsia="宋体"/>
                <w:b w:val="0"/>
                <w:sz w:val="17"/>
              </w:rPr>
              <w:t>Random Forest</w:t>
            </w:r>
          </w:p>
        </w:tc>
        <w:tc>
          <w:tcPr>
            <w:tcW w:type="dxa" w:w="1792"/>
            <w:vAlign w:val="center"/>
          </w:tcPr>
          <w:p>
            <w:pPr>
              <w:spacing w:after="0"/>
              <w:jc w:val="center"/>
            </w:pPr>
            <w:r/>
            <w:r>
              <w:rPr>
                <w:rFonts w:ascii="宋体" w:hAnsi="宋体" w:eastAsia="宋体"/>
                <w:b w:val="0"/>
                <w:sz w:val="17"/>
              </w:rPr>
              <w:t>1.2680</w:t>
            </w:r>
          </w:p>
        </w:tc>
        <w:tc>
          <w:tcPr>
            <w:tcW w:type="dxa" w:w="1792"/>
            <w:vAlign w:val="center"/>
          </w:tcPr>
          <w:p>
            <w:pPr>
              <w:spacing w:after="0"/>
              <w:jc w:val="center"/>
            </w:pPr>
            <w:r/>
            <w:r>
              <w:rPr>
                <w:rFonts w:ascii="宋体" w:hAnsi="宋体" w:eastAsia="宋体"/>
                <w:b w:val="0"/>
                <w:sz w:val="17"/>
              </w:rPr>
              <w:t>4.3875</w:t>
            </w:r>
          </w:p>
        </w:tc>
        <w:tc>
          <w:tcPr>
            <w:tcW w:type="dxa" w:w="1792"/>
            <w:vAlign w:val="center"/>
          </w:tcPr>
          <w:p>
            <w:pPr>
              <w:spacing w:after="0"/>
              <w:jc w:val="center"/>
            </w:pPr>
            <w:r/>
            <w:r>
              <w:rPr>
                <w:rFonts w:ascii="宋体" w:hAnsi="宋体" w:eastAsia="宋体"/>
                <w:b w:val="0"/>
                <w:sz w:val="17"/>
              </w:rPr>
              <w:t>2.0946</w:t>
            </w:r>
          </w:p>
        </w:tc>
        <w:tc>
          <w:tcPr>
            <w:tcW w:type="dxa" w:w="1792"/>
            <w:vAlign w:val="center"/>
          </w:tcPr>
          <w:p>
            <w:pPr>
              <w:spacing w:after="0"/>
              <w:jc w:val="center"/>
            </w:pPr>
            <w:r/>
            <w:r>
              <w:rPr>
                <w:rFonts w:ascii="宋体" w:hAnsi="宋体" w:eastAsia="宋体"/>
                <w:b w:val="0"/>
                <w:sz w:val="17"/>
              </w:rPr>
              <w:t>0.9776</w:t>
            </w:r>
          </w:p>
        </w:tc>
      </w:tr>
    </w:tbl>
    <w:p/>
    <w:p>
      <w:pPr>
        <w:spacing w:line="300" w:lineRule="auto" w:after="80"/>
        <w:ind w:firstLine="420"/>
      </w:pPr>
      <w:r>
        <w:rPr>
          <w:rFonts w:ascii="宋体" w:hAnsi="宋体" w:eastAsia="宋体"/>
          <w:sz w:val="21"/>
        </w:rPr>
        <w:t>图 fig:regression-target-comparison 展示两个回归目标的指标差异，图 fig:regression-dd-observed 展示数字依赖真实值与预测值对比。数字依赖预测中真实值与预测值接近对角线，说明数字行为变量对数字依赖分数具有较强表征能力。</w:t>
      </w:r>
    </w:p>
    <w:p>
      <w:pPr>
        <w:jc w:val="center"/>
      </w:pPr>
      <w:r>
        <w:drawing>
          <wp:inline xmlns:a="http://schemas.openxmlformats.org/drawingml/2006/main" xmlns:pic="http://schemas.openxmlformats.org/drawingml/2006/picture">
            <wp:extent cx="5166360" cy="2877466"/>
            <wp:docPr id="11" name="Picture 11"/>
            <wp:cNvGraphicFramePr>
              <a:graphicFrameLocks noChangeAspect="1"/>
            </wp:cNvGraphicFramePr>
            <a:graphic>
              <a:graphicData uri="http://schemas.openxmlformats.org/drawingml/2006/picture">
                <pic:pic>
                  <pic:nvPicPr>
                    <pic:cNvPr id="0" name="regression_target_comparison.png"/>
                    <pic:cNvPicPr/>
                  </pic:nvPicPr>
                  <pic:blipFill>
                    <a:blip r:embed="rId20"/>
                    <a:stretch>
                      <a:fillRect/>
                    </a:stretch>
                  </pic:blipFill>
                  <pic:spPr>
                    <a:xfrm>
                      <a:off x="0" y="0"/>
                      <a:ext cx="5166360" cy="2877466"/>
                    </a:xfrm>
                    <a:prstGeom prst="rect"/>
                  </pic:spPr>
                </pic:pic>
              </a:graphicData>
            </a:graphic>
          </wp:inline>
        </w:drawing>
      </w:r>
    </w:p>
    <w:p>
      <w:pPr>
        <w:jc w:val="center"/>
      </w:pPr>
      <w:r>
        <w:rPr>
          <w:rFonts w:ascii="宋体" w:hAnsi="宋体" w:eastAsia="宋体"/>
          <w:b/>
          <w:sz w:val="21"/>
        </w:rPr>
        <w:t>图 5-5 两个回归目标预测效果对比</w:t>
      </w:r>
    </w:p>
    <w:p>
      <w:pPr>
        <w:jc w:val="center"/>
      </w:pPr>
      <w:r>
        <w:drawing>
          <wp:inline xmlns:a="http://schemas.openxmlformats.org/drawingml/2006/main" xmlns:pic="http://schemas.openxmlformats.org/drawingml/2006/picture">
            <wp:extent cx="5166360" cy="5172958"/>
            <wp:docPr id="12" name="Picture 12"/>
            <wp:cNvGraphicFramePr>
              <a:graphicFrameLocks noChangeAspect="1"/>
            </wp:cNvGraphicFramePr>
            <a:graphic>
              <a:graphicData uri="http://schemas.openxmlformats.org/drawingml/2006/picture">
                <pic:pic>
                  <pic:nvPicPr>
                    <pic:cNvPr id="0" name="regression_digital_dependence_observed_vs_predicted.png"/>
                    <pic:cNvPicPr/>
                  </pic:nvPicPr>
                  <pic:blipFill>
                    <a:blip r:embed="rId21"/>
                    <a:stretch>
                      <a:fillRect/>
                    </a:stretch>
                  </pic:blipFill>
                  <pic:spPr>
                    <a:xfrm>
                      <a:off x="0" y="0"/>
                      <a:ext cx="5166360" cy="5172958"/>
                    </a:xfrm>
                    <a:prstGeom prst="rect"/>
                  </pic:spPr>
                </pic:pic>
              </a:graphicData>
            </a:graphic>
          </wp:inline>
        </w:drawing>
      </w:r>
    </w:p>
    <w:p>
      <w:pPr>
        <w:jc w:val="center"/>
      </w:pPr>
      <w:r>
        <w:rPr>
          <w:rFonts w:ascii="宋体" w:hAnsi="宋体" w:eastAsia="宋体"/>
          <w:b/>
          <w:sz w:val="21"/>
        </w:rPr>
        <w:t>图 5-6 数字依赖得分真实值与预测值对比</w:t>
      </w:r>
    </w:p>
    <w:p>
      <w:pPr>
        <w:spacing w:line="300" w:lineRule="auto" w:after="80"/>
        <w:ind w:firstLine="420"/>
      </w:pPr>
      <w:r>
        <w:rPr>
          <w:rFonts w:ascii="宋体" w:hAnsi="宋体" w:eastAsia="宋体"/>
          <w:sz w:val="21"/>
        </w:rPr>
        <w:t>图 fig:regression-dd-importance 展示数字依赖预测的置换重要性。重要变量主要包括 device_hours_per_day、notifications_per_day 和 phone_unlocks，与数字依赖指标的含义一致。但强预测关系不等于因果关系，合成数据结果也不能直接外推到现实场景。</w:t>
      </w:r>
    </w:p>
    <w:p>
      <w:pPr>
        <w:jc w:val="center"/>
      </w:pPr>
      <w:r>
        <w:drawing>
          <wp:inline xmlns:a="http://schemas.openxmlformats.org/drawingml/2006/main" xmlns:pic="http://schemas.openxmlformats.org/drawingml/2006/picture">
            <wp:extent cx="5166360" cy="3858421"/>
            <wp:docPr id="13" name="Picture 13"/>
            <wp:cNvGraphicFramePr>
              <a:graphicFrameLocks noChangeAspect="1"/>
            </wp:cNvGraphicFramePr>
            <a:graphic>
              <a:graphicData uri="http://schemas.openxmlformats.org/drawingml/2006/picture">
                <pic:pic>
                  <pic:nvPicPr>
                    <pic:cNvPr id="0" name="regression_digital_dependence_permutation_importance.png"/>
                    <pic:cNvPicPr/>
                  </pic:nvPicPr>
                  <pic:blipFill>
                    <a:blip r:embed="rId22"/>
                    <a:stretch>
                      <a:fillRect/>
                    </a:stretch>
                  </pic:blipFill>
                  <pic:spPr>
                    <a:xfrm>
                      <a:off x="0" y="0"/>
                      <a:ext cx="5166360" cy="3858421"/>
                    </a:xfrm>
                    <a:prstGeom prst="rect"/>
                  </pic:spPr>
                </pic:pic>
              </a:graphicData>
            </a:graphic>
          </wp:inline>
        </w:drawing>
      </w:r>
    </w:p>
    <w:p>
      <w:pPr>
        <w:jc w:val="center"/>
      </w:pPr>
      <w:r>
        <w:rPr>
          <w:rFonts w:ascii="宋体" w:hAnsi="宋体" w:eastAsia="宋体"/>
          <w:b/>
          <w:sz w:val="21"/>
        </w:rPr>
        <w:t>图 5-7 数字依赖预测置换重要性</w:t>
      </w:r>
    </w:p>
    <w:p>
      <w:pPr>
        <w:spacing w:line="300" w:lineRule="auto" w:after="80"/>
        <w:ind w:firstLine="420"/>
      </w:pPr>
      <w:r>
        <w:rPr>
          <w:rFonts w:ascii="宋体" w:hAnsi="宋体" w:eastAsia="宋体"/>
          <w:sz w:val="21"/>
        </w:rPr>
        <w:t>生产力弱预测结果见表 tab:regression-productivity。负结果说明，同一套数字行为和生活习惯特征并不能稳定解释所有 outcome，报告中不能写成“数字生活方式可以有效预测生产力”。</w:t>
      </w:r>
    </w:p>
    <w:p>
      <w:pPr>
        <w:jc w:val="center"/>
      </w:pPr>
      <w:r>
        <w:rPr>
          <w:rFonts w:ascii="宋体" w:hAnsi="宋体" w:eastAsia="宋体"/>
          <w:b/>
          <w:sz w:val="21"/>
        </w:rPr>
        <w:t>表 5-5 productivity_score 回归模型测试集指标</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92"/>
        <w:gridCol w:w="1792"/>
        <w:gridCol w:w="1792"/>
        <w:gridCol w:w="1792"/>
        <w:gridCol w:w="1792"/>
      </w:tblGrid>
      <w:tr>
        <w:tc>
          <w:tcPr>
            <w:tcW w:type="dxa" w:w="1792"/>
            <w:vAlign w:val="center"/>
            <w:shd w:fill="EAF2F8"/>
          </w:tcPr>
          <w:p>
            <w:pPr>
              <w:spacing w:after="0"/>
              <w:jc w:val="center"/>
            </w:pPr>
            <w:r/>
            <w:r>
              <w:rPr>
                <w:rFonts w:ascii="宋体" w:hAnsi="宋体" w:eastAsia="宋体"/>
                <w:b/>
                <w:sz w:val="17"/>
              </w:rPr>
              <w:t>模型</w:t>
            </w:r>
          </w:p>
        </w:tc>
        <w:tc>
          <w:tcPr>
            <w:tcW w:type="dxa" w:w="1792"/>
            <w:vAlign w:val="center"/>
            <w:shd w:fill="EAF2F8"/>
          </w:tcPr>
          <w:p>
            <w:pPr>
              <w:spacing w:after="0"/>
              <w:jc w:val="center"/>
            </w:pPr>
            <w:r/>
            <w:r>
              <w:rPr>
                <w:rFonts w:ascii="宋体" w:hAnsi="宋体" w:eastAsia="宋体"/>
                <w:b/>
                <w:sz w:val="17"/>
              </w:rPr>
              <w:t>MAE</w:t>
            </w:r>
          </w:p>
        </w:tc>
        <w:tc>
          <w:tcPr>
            <w:tcW w:type="dxa" w:w="1792"/>
            <w:vAlign w:val="center"/>
            <w:shd w:fill="EAF2F8"/>
          </w:tcPr>
          <w:p>
            <w:pPr>
              <w:spacing w:after="0"/>
              <w:jc w:val="center"/>
            </w:pPr>
            <w:r/>
            <w:r>
              <w:rPr>
                <w:rFonts w:ascii="宋体" w:hAnsi="宋体" w:eastAsia="宋体"/>
                <w:b/>
                <w:sz w:val="17"/>
              </w:rPr>
              <w:t>MSE</w:t>
            </w:r>
          </w:p>
        </w:tc>
        <w:tc>
          <w:tcPr>
            <w:tcW w:type="dxa" w:w="1792"/>
            <w:vAlign w:val="center"/>
            <w:shd w:fill="EAF2F8"/>
          </w:tcPr>
          <w:p>
            <w:pPr>
              <w:spacing w:after="0"/>
              <w:jc w:val="center"/>
            </w:pPr>
            <w:r/>
            <w:r>
              <w:rPr>
                <w:rFonts w:ascii="宋体" w:hAnsi="宋体" w:eastAsia="宋体"/>
                <w:b/>
                <w:sz w:val="17"/>
              </w:rPr>
              <w:t>RMSE</w:t>
            </w:r>
          </w:p>
        </w:tc>
        <w:tc>
          <w:tcPr>
            <w:tcW w:type="dxa" w:w="1792"/>
            <w:vAlign w:val="center"/>
            <w:shd w:fill="EAF2F8"/>
          </w:tcPr>
          <w:p>
            <w:pPr>
              <w:spacing w:after="0"/>
              <w:jc w:val="center"/>
            </w:pPr>
            <w:r/>
            <w:r>
              <w:rPr>
                <w:rFonts w:ascii="宋体" w:hAnsi="宋体" w:eastAsia="宋体"/>
                <w:b/>
                <w:sz w:val="17"/>
              </w:rPr>
              <w:t>R²</w:t>
            </w:r>
          </w:p>
        </w:tc>
      </w:tr>
      <w:tr>
        <w:tc>
          <w:tcPr>
            <w:tcW w:type="dxa" w:w="1792"/>
            <w:vAlign w:val="center"/>
          </w:tcPr>
          <w:p>
            <w:pPr>
              <w:spacing w:after="0"/>
              <w:jc w:val="center"/>
            </w:pPr>
            <w:r/>
            <w:r>
              <w:rPr>
                <w:rFonts w:ascii="宋体" w:hAnsi="宋体" w:eastAsia="宋体"/>
                <w:b w:val="0"/>
                <w:sz w:val="17"/>
              </w:rPr>
              <w:t>Gradient Boosting</w:t>
            </w:r>
          </w:p>
        </w:tc>
        <w:tc>
          <w:tcPr>
            <w:tcW w:type="dxa" w:w="1792"/>
            <w:vAlign w:val="center"/>
          </w:tcPr>
          <w:p>
            <w:pPr>
              <w:spacing w:after="0"/>
              <w:jc w:val="center"/>
            </w:pPr>
            <w:r/>
            <w:r>
              <w:rPr>
                <w:rFonts w:ascii="宋体" w:hAnsi="宋体" w:eastAsia="宋体"/>
                <w:b w:val="0"/>
                <w:sz w:val="17"/>
              </w:rPr>
              <w:t>7.1671</w:t>
            </w:r>
          </w:p>
        </w:tc>
        <w:tc>
          <w:tcPr>
            <w:tcW w:type="dxa" w:w="1792"/>
            <w:vAlign w:val="center"/>
          </w:tcPr>
          <w:p>
            <w:pPr>
              <w:spacing w:after="0"/>
              <w:jc w:val="center"/>
            </w:pPr>
            <w:r/>
            <w:r>
              <w:rPr>
                <w:rFonts w:ascii="宋体" w:hAnsi="宋体" w:eastAsia="宋体"/>
                <w:b w:val="0"/>
                <w:sz w:val="17"/>
              </w:rPr>
              <w:t>85.2031</w:t>
            </w:r>
          </w:p>
        </w:tc>
        <w:tc>
          <w:tcPr>
            <w:tcW w:type="dxa" w:w="1792"/>
            <w:vAlign w:val="center"/>
          </w:tcPr>
          <w:p>
            <w:pPr>
              <w:spacing w:after="0"/>
              <w:jc w:val="center"/>
            </w:pPr>
            <w:r/>
            <w:r>
              <w:rPr>
                <w:rFonts w:ascii="宋体" w:hAnsi="宋体" w:eastAsia="宋体"/>
                <w:b w:val="0"/>
                <w:sz w:val="17"/>
              </w:rPr>
              <w:t>9.2306</w:t>
            </w:r>
          </w:p>
        </w:tc>
        <w:tc>
          <w:tcPr>
            <w:tcW w:type="dxa" w:w="1792"/>
            <w:vAlign w:val="center"/>
          </w:tcPr>
          <w:p>
            <w:pPr>
              <w:spacing w:after="0"/>
              <w:jc w:val="center"/>
            </w:pPr>
            <w:r/>
            <w:r>
              <w:rPr>
                <w:rFonts w:ascii="宋体" w:hAnsi="宋体" w:eastAsia="宋体"/>
                <w:b w:val="0"/>
                <w:sz w:val="17"/>
              </w:rPr>
              <w:t>-0.0041</w:t>
            </w:r>
          </w:p>
        </w:tc>
      </w:tr>
      <w:tr>
        <w:tc>
          <w:tcPr>
            <w:tcW w:type="dxa" w:w="1792"/>
            <w:vAlign w:val="center"/>
          </w:tcPr>
          <w:p>
            <w:pPr>
              <w:spacing w:after="0"/>
              <w:jc w:val="center"/>
            </w:pPr>
            <w:r/>
            <w:r>
              <w:rPr>
                <w:rFonts w:ascii="宋体" w:hAnsi="宋体" w:eastAsia="宋体"/>
                <w:b w:val="0"/>
                <w:sz w:val="17"/>
              </w:rPr>
              <w:t>Random Forest</w:t>
            </w:r>
          </w:p>
        </w:tc>
        <w:tc>
          <w:tcPr>
            <w:tcW w:type="dxa" w:w="1792"/>
            <w:vAlign w:val="center"/>
          </w:tcPr>
          <w:p>
            <w:pPr>
              <w:spacing w:after="0"/>
              <w:jc w:val="center"/>
            </w:pPr>
            <w:r/>
            <w:r>
              <w:rPr>
                <w:rFonts w:ascii="宋体" w:hAnsi="宋体" w:eastAsia="宋体"/>
                <w:b w:val="0"/>
                <w:sz w:val="17"/>
              </w:rPr>
              <w:t>7.2088</w:t>
            </w:r>
          </w:p>
        </w:tc>
        <w:tc>
          <w:tcPr>
            <w:tcW w:type="dxa" w:w="1792"/>
            <w:vAlign w:val="center"/>
          </w:tcPr>
          <w:p>
            <w:pPr>
              <w:spacing w:after="0"/>
              <w:jc w:val="center"/>
            </w:pPr>
            <w:r/>
            <w:r>
              <w:rPr>
                <w:rFonts w:ascii="宋体" w:hAnsi="宋体" w:eastAsia="宋体"/>
                <w:b w:val="0"/>
                <w:sz w:val="17"/>
              </w:rPr>
              <w:t>85.9208</w:t>
            </w:r>
          </w:p>
        </w:tc>
        <w:tc>
          <w:tcPr>
            <w:tcW w:type="dxa" w:w="1792"/>
            <w:vAlign w:val="center"/>
          </w:tcPr>
          <w:p>
            <w:pPr>
              <w:spacing w:after="0"/>
              <w:jc w:val="center"/>
            </w:pPr>
            <w:r/>
            <w:r>
              <w:rPr>
                <w:rFonts w:ascii="宋体" w:hAnsi="宋体" w:eastAsia="宋体"/>
                <w:b w:val="0"/>
                <w:sz w:val="17"/>
              </w:rPr>
              <w:t>9.2693</w:t>
            </w:r>
          </w:p>
        </w:tc>
        <w:tc>
          <w:tcPr>
            <w:tcW w:type="dxa" w:w="1792"/>
            <w:vAlign w:val="center"/>
          </w:tcPr>
          <w:p>
            <w:pPr>
              <w:spacing w:after="0"/>
              <w:jc w:val="center"/>
            </w:pPr>
            <w:r/>
            <w:r>
              <w:rPr>
                <w:rFonts w:ascii="宋体" w:hAnsi="宋体" w:eastAsia="宋体"/>
                <w:b w:val="0"/>
                <w:sz w:val="17"/>
              </w:rPr>
              <w:t>-0.0125</w:t>
            </w:r>
          </w:p>
        </w:tc>
      </w:tr>
      <w:tr>
        <w:tc>
          <w:tcPr>
            <w:tcW w:type="dxa" w:w="1792"/>
            <w:vAlign w:val="center"/>
          </w:tcPr>
          <w:p>
            <w:pPr>
              <w:spacing w:after="0"/>
              <w:jc w:val="center"/>
            </w:pPr>
            <w:r/>
            <w:r>
              <w:rPr>
                <w:rFonts w:ascii="宋体" w:hAnsi="宋体" w:eastAsia="宋体"/>
                <w:b w:val="0"/>
                <w:sz w:val="17"/>
              </w:rPr>
              <w:t>Ridge</w:t>
            </w:r>
          </w:p>
        </w:tc>
        <w:tc>
          <w:tcPr>
            <w:tcW w:type="dxa" w:w="1792"/>
            <w:vAlign w:val="center"/>
          </w:tcPr>
          <w:p>
            <w:pPr>
              <w:spacing w:after="0"/>
              <w:jc w:val="center"/>
            </w:pPr>
            <w:r/>
            <w:r>
              <w:rPr>
                <w:rFonts w:ascii="宋体" w:hAnsi="宋体" w:eastAsia="宋体"/>
                <w:b w:val="0"/>
                <w:sz w:val="17"/>
              </w:rPr>
              <w:t>7.1747</w:t>
            </w:r>
          </w:p>
        </w:tc>
        <w:tc>
          <w:tcPr>
            <w:tcW w:type="dxa" w:w="1792"/>
            <w:vAlign w:val="center"/>
          </w:tcPr>
          <w:p>
            <w:pPr>
              <w:spacing w:after="0"/>
              <w:jc w:val="center"/>
            </w:pPr>
            <w:r/>
            <w:r>
              <w:rPr>
                <w:rFonts w:ascii="宋体" w:hAnsi="宋体" w:eastAsia="宋体"/>
                <w:b w:val="0"/>
                <w:sz w:val="17"/>
              </w:rPr>
              <w:t>85.5884</w:t>
            </w:r>
          </w:p>
        </w:tc>
        <w:tc>
          <w:tcPr>
            <w:tcW w:type="dxa" w:w="1792"/>
            <w:vAlign w:val="center"/>
          </w:tcPr>
          <w:p>
            <w:pPr>
              <w:spacing w:after="0"/>
              <w:jc w:val="center"/>
            </w:pPr>
            <w:r/>
            <w:r>
              <w:rPr>
                <w:rFonts w:ascii="宋体" w:hAnsi="宋体" w:eastAsia="宋体"/>
                <w:b w:val="0"/>
                <w:sz w:val="17"/>
              </w:rPr>
              <w:t>9.2514</w:t>
            </w:r>
          </w:p>
        </w:tc>
        <w:tc>
          <w:tcPr>
            <w:tcW w:type="dxa" w:w="1792"/>
            <w:vAlign w:val="center"/>
          </w:tcPr>
          <w:p>
            <w:pPr>
              <w:spacing w:after="0"/>
              <w:jc w:val="center"/>
            </w:pPr>
            <w:r/>
            <w:r>
              <w:rPr>
                <w:rFonts w:ascii="宋体" w:hAnsi="宋体" w:eastAsia="宋体"/>
                <w:b w:val="0"/>
                <w:sz w:val="17"/>
              </w:rPr>
              <w:t>-0.0086</w:t>
            </w:r>
          </w:p>
        </w:tc>
      </w:tr>
      <w:tr>
        <w:tc>
          <w:tcPr>
            <w:tcW w:type="dxa" w:w="1792"/>
            <w:vAlign w:val="center"/>
          </w:tcPr>
          <w:p>
            <w:pPr>
              <w:spacing w:after="0"/>
              <w:jc w:val="center"/>
            </w:pPr>
            <w:r/>
            <w:r>
              <w:rPr>
                <w:rFonts w:ascii="宋体" w:hAnsi="宋体" w:eastAsia="宋体"/>
                <w:b w:val="0"/>
                <w:sz w:val="17"/>
              </w:rPr>
              <w:t>Linear Regression</w:t>
            </w:r>
          </w:p>
        </w:tc>
        <w:tc>
          <w:tcPr>
            <w:tcW w:type="dxa" w:w="1792"/>
            <w:vAlign w:val="center"/>
          </w:tcPr>
          <w:p>
            <w:pPr>
              <w:spacing w:after="0"/>
              <w:jc w:val="center"/>
            </w:pPr>
            <w:r/>
            <w:r>
              <w:rPr>
                <w:rFonts w:ascii="宋体" w:hAnsi="宋体" w:eastAsia="宋体"/>
                <w:b w:val="0"/>
                <w:sz w:val="17"/>
              </w:rPr>
              <w:t>7.1999</w:t>
            </w:r>
          </w:p>
        </w:tc>
        <w:tc>
          <w:tcPr>
            <w:tcW w:type="dxa" w:w="1792"/>
            <w:vAlign w:val="center"/>
          </w:tcPr>
          <w:p>
            <w:pPr>
              <w:spacing w:after="0"/>
              <w:jc w:val="center"/>
            </w:pPr>
            <w:r/>
            <w:r>
              <w:rPr>
                <w:rFonts w:ascii="宋体" w:hAnsi="宋体" w:eastAsia="宋体"/>
                <w:b w:val="0"/>
                <w:sz w:val="17"/>
              </w:rPr>
              <w:t>85.8232</w:t>
            </w:r>
          </w:p>
        </w:tc>
        <w:tc>
          <w:tcPr>
            <w:tcW w:type="dxa" w:w="1792"/>
            <w:vAlign w:val="center"/>
          </w:tcPr>
          <w:p>
            <w:pPr>
              <w:spacing w:after="0"/>
              <w:jc w:val="center"/>
            </w:pPr>
            <w:r/>
            <w:r>
              <w:rPr>
                <w:rFonts w:ascii="宋体" w:hAnsi="宋体" w:eastAsia="宋体"/>
                <w:b w:val="0"/>
                <w:sz w:val="17"/>
              </w:rPr>
              <w:t>9.2641</w:t>
            </w:r>
          </w:p>
        </w:tc>
        <w:tc>
          <w:tcPr>
            <w:tcW w:type="dxa" w:w="1792"/>
            <w:vAlign w:val="center"/>
          </w:tcPr>
          <w:p>
            <w:pPr>
              <w:spacing w:after="0"/>
              <w:jc w:val="center"/>
            </w:pPr>
            <w:r/>
            <w:r>
              <w:rPr>
                <w:rFonts w:ascii="宋体" w:hAnsi="宋体" w:eastAsia="宋体"/>
                <w:b w:val="0"/>
                <w:sz w:val="17"/>
              </w:rPr>
              <w:t>-0.0114</w:t>
            </w:r>
          </w:p>
        </w:tc>
      </w:tr>
    </w:tbl>
    <w:p/>
    <w:p>
      <w:pPr>
        <w:pStyle w:val="Heading2"/>
      </w:pPr>
      <w:r>
        <w:rPr>
          <w:rFonts w:ascii="黑体" w:hAnsi="黑体" w:eastAsia="黑体"/>
          <w:b/>
          <w:sz w:val="26"/>
        </w:rPr>
        <w:t>聚类任务：数字生活方式用户画像</w:t>
      </w:r>
    </w:p>
    <w:p>
      <w:pPr>
        <w:spacing w:line="300" w:lineRule="auto" w:after="80"/>
        <w:ind w:firstLine="420"/>
      </w:pPr>
      <w:r>
        <w:rPr>
          <w:rFonts w:ascii="宋体" w:hAnsi="宋体" w:eastAsia="宋体"/>
          <w:sz w:val="21"/>
        </w:rPr>
        <w:t>聚类任务只使用数字行为与生活习惯数值特征，不使用人口背景类别和 outcome 字段训练。模型比较包括 KMeans、AgglomerativeClustering 和 GaussianMixture。表 tab:clustering-model-comparison 显示，KMeans 在 k=3 时 Silhouette=0.1860，结合可解释性作为最终画像方案。</w:t>
      </w:r>
    </w:p>
    <w:p>
      <w:pPr>
        <w:jc w:val="center"/>
      </w:pPr>
      <w:r>
        <w:rPr>
          <w:rFonts w:ascii="宋体" w:hAnsi="宋体" w:eastAsia="宋体"/>
          <w:b/>
          <w:sz w:val="21"/>
        </w:rPr>
        <w:t>表 5-6 聚类算法与簇数对比摘要</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92"/>
        <w:gridCol w:w="1792"/>
        <w:gridCol w:w="1792"/>
        <w:gridCol w:w="1792"/>
        <w:gridCol w:w="1792"/>
      </w:tblGrid>
      <w:tr>
        <w:tc>
          <w:tcPr>
            <w:tcW w:type="dxa" w:w="1792"/>
            <w:vAlign w:val="center"/>
            <w:shd w:fill="EAF2F8"/>
          </w:tcPr>
          <w:p>
            <w:pPr>
              <w:spacing w:after="0"/>
              <w:jc w:val="center"/>
            </w:pPr>
            <w:r/>
            <w:r>
              <w:rPr>
                <w:rFonts w:ascii="宋体" w:hAnsi="宋体" w:eastAsia="宋体"/>
                <w:b/>
                <w:sz w:val="17"/>
              </w:rPr>
              <w:t>算法</w:t>
            </w:r>
          </w:p>
        </w:tc>
        <w:tc>
          <w:tcPr>
            <w:tcW w:type="dxa" w:w="1792"/>
            <w:vAlign w:val="center"/>
            <w:shd w:fill="EAF2F8"/>
          </w:tcPr>
          <w:p>
            <w:pPr>
              <w:spacing w:after="0"/>
              <w:jc w:val="center"/>
            </w:pPr>
            <w:r/>
            <w:r>
              <w:rPr>
                <w:rFonts w:ascii="宋体" w:hAnsi="宋体" w:eastAsia="宋体"/>
                <w:b/>
                <w:sz w:val="17"/>
              </w:rPr>
              <w:t>k</w:t>
            </w:r>
          </w:p>
        </w:tc>
        <w:tc>
          <w:tcPr>
            <w:tcW w:type="dxa" w:w="1792"/>
            <w:vAlign w:val="center"/>
            <w:shd w:fill="EAF2F8"/>
          </w:tcPr>
          <w:p>
            <w:pPr>
              <w:spacing w:after="0"/>
              <w:jc w:val="center"/>
            </w:pPr>
            <w:r/>
            <w:r>
              <w:rPr>
                <w:rFonts w:ascii="宋体" w:hAnsi="宋体" w:eastAsia="宋体"/>
                <w:b/>
                <w:sz w:val="17"/>
              </w:rPr>
              <w:t>Silhouette</w:t>
            </w:r>
          </w:p>
        </w:tc>
        <w:tc>
          <w:tcPr>
            <w:tcW w:type="dxa" w:w="1792"/>
            <w:vAlign w:val="center"/>
            <w:shd w:fill="EAF2F8"/>
          </w:tcPr>
          <w:p>
            <w:pPr>
              <w:spacing w:after="0"/>
              <w:jc w:val="center"/>
            </w:pPr>
            <w:r/>
            <w:r>
              <w:rPr>
                <w:rFonts w:ascii="宋体" w:hAnsi="宋体" w:eastAsia="宋体"/>
                <w:b/>
                <w:sz w:val="17"/>
              </w:rPr>
              <w:t>Calinski-Harabasz</w:t>
            </w:r>
          </w:p>
        </w:tc>
        <w:tc>
          <w:tcPr>
            <w:tcW w:type="dxa" w:w="1792"/>
            <w:vAlign w:val="center"/>
            <w:shd w:fill="EAF2F8"/>
          </w:tcPr>
          <w:p>
            <w:pPr>
              <w:spacing w:after="0"/>
              <w:jc w:val="center"/>
            </w:pPr>
            <w:r/>
            <w:r>
              <w:rPr>
                <w:rFonts w:ascii="宋体" w:hAnsi="宋体" w:eastAsia="宋体"/>
                <w:b/>
                <w:sz w:val="17"/>
              </w:rPr>
              <w:t>Davies-Bouldin</w:t>
            </w:r>
          </w:p>
        </w:tc>
      </w:tr>
      <w:tr>
        <w:tc>
          <w:tcPr>
            <w:tcW w:type="dxa" w:w="1792"/>
            <w:vAlign w:val="center"/>
          </w:tcPr>
          <w:p>
            <w:pPr>
              <w:spacing w:after="0"/>
              <w:jc w:val="center"/>
            </w:pPr>
            <w:r/>
            <w:r>
              <w:rPr>
                <w:rFonts w:ascii="宋体" w:hAnsi="宋体" w:eastAsia="宋体"/>
                <w:b w:val="0"/>
                <w:sz w:val="17"/>
              </w:rPr>
              <w:t>KMeans</w:t>
            </w:r>
          </w:p>
        </w:tc>
        <w:tc>
          <w:tcPr>
            <w:tcW w:type="dxa" w:w="1792"/>
            <w:vAlign w:val="center"/>
          </w:tcPr>
          <w:p>
            <w:pPr>
              <w:spacing w:after="0"/>
              <w:jc w:val="center"/>
            </w:pPr>
            <w:r/>
            <w:r>
              <w:rPr>
                <w:rFonts w:ascii="宋体" w:hAnsi="宋体" w:eastAsia="宋体"/>
                <w:b w:val="0"/>
                <w:sz w:val="17"/>
              </w:rPr>
              <w:t>2</w:t>
            </w:r>
          </w:p>
        </w:tc>
        <w:tc>
          <w:tcPr>
            <w:tcW w:type="dxa" w:w="1792"/>
            <w:vAlign w:val="center"/>
          </w:tcPr>
          <w:p>
            <w:pPr>
              <w:spacing w:after="0"/>
              <w:jc w:val="center"/>
            </w:pPr>
            <w:r/>
            <w:r>
              <w:rPr>
                <w:rFonts w:ascii="宋体" w:hAnsi="宋体" w:eastAsia="宋体"/>
                <w:b w:val="0"/>
                <w:sz w:val="17"/>
              </w:rPr>
              <w:t>0.1808</w:t>
            </w:r>
          </w:p>
        </w:tc>
        <w:tc>
          <w:tcPr>
            <w:tcW w:type="dxa" w:w="1792"/>
            <w:vAlign w:val="center"/>
          </w:tcPr>
          <w:p>
            <w:pPr>
              <w:spacing w:after="0"/>
              <w:jc w:val="center"/>
            </w:pPr>
            <w:r/>
            <w:r>
              <w:rPr>
                <w:rFonts w:ascii="宋体" w:hAnsi="宋体" w:eastAsia="宋体"/>
                <w:b w:val="0"/>
                <w:sz w:val="17"/>
              </w:rPr>
              <w:t>752.8023</w:t>
            </w:r>
          </w:p>
        </w:tc>
        <w:tc>
          <w:tcPr>
            <w:tcW w:type="dxa" w:w="1792"/>
            <w:vAlign w:val="center"/>
          </w:tcPr>
          <w:p>
            <w:pPr>
              <w:spacing w:after="0"/>
              <w:jc w:val="center"/>
            </w:pPr>
            <w:r/>
            <w:r>
              <w:rPr>
                <w:rFonts w:ascii="宋体" w:hAnsi="宋体" w:eastAsia="宋体"/>
                <w:b w:val="0"/>
                <w:sz w:val="17"/>
              </w:rPr>
              <w:t>1.9065</w:t>
            </w:r>
          </w:p>
        </w:tc>
      </w:tr>
      <w:tr>
        <w:tc>
          <w:tcPr>
            <w:tcW w:type="dxa" w:w="1792"/>
            <w:vAlign w:val="center"/>
          </w:tcPr>
          <w:p>
            <w:pPr>
              <w:spacing w:after="0"/>
              <w:jc w:val="center"/>
            </w:pPr>
            <w:r/>
            <w:r>
              <w:rPr>
                <w:rFonts w:ascii="宋体" w:hAnsi="宋体" w:eastAsia="宋体"/>
                <w:b w:val="0"/>
                <w:sz w:val="17"/>
              </w:rPr>
              <w:t>KMeans</w:t>
            </w:r>
          </w:p>
        </w:tc>
        <w:tc>
          <w:tcPr>
            <w:tcW w:type="dxa" w:w="1792"/>
            <w:vAlign w:val="center"/>
          </w:tcPr>
          <w:p>
            <w:pPr>
              <w:spacing w:after="0"/>
              <w:jc w:val="center"/>
            </w:pPr>
            <w:r/>
            <w:r>
              <w:rPr>
                <w:rFonts w:ascii="宋体" w:hAnsi="宋体" w:eastAsia="宋体"/>
                <w:b w:val="0"/>
                <w:sz w:val="17"/>
              </w:rPr>
              <w:t>3</w:t>
            </w:r>
          </w:p>
        </w:tc>
        <w:tc>
          <w:tcPr>
            <w:tcW w:type="dxa" w:w="1792"/>
            <w:vAlign w:val="center"/>
          </w:tcPr>
          <w:p>
            <w:pPr>
              <w:spacing w:after="0"/>
              <w:jc w:val="center"/>
            </w:pPr>
            <w:r/>
            <w:r>
              <w:rPr>
                <w:rFonts w:ascii="宋体" w:hAnsi="宋体" w:eastAsia="宋体"/>
                <w:b w:val="0"/>
                <w:sz w:val="17"/>
              </w:rPr>
              <w:t>0.1860</w:t>
            </w:r>
          </w:p>
        </w:tc>
        <w:tc>
          <w:tcPr>
            <w:tcW w:type="dxa" w:w="1792"/>
            <w:vAlign w:val="center"/>
          </w:tcPr>
          <w:p>
            <w:pPr>
              <w:spacing w:after="0"/>
              <w:jc w:val="center"/>
            </w:pPr>
            <w:r/>
            <w:r>
              <w:rPr>
                <w:rFonts w:ascii="宋体" w:hAnsi="宋体" w:eastAsia="宋体"/>
                <w:b w:val="0"/>
                <w:sz w:val="17"/>
              </w:rPr>
              <w:t>611.1770</w:t>
            </w:r>
          </w:p>
        </w:tc>
        <w:tc>
          <w:tcPr>
            <w:tcW w:type="dxa" w:w="1792"/>
            <w:vAlign w:val="center"/>
          </w:tcPr>
          <w:p>
            <w:pPr>
              <w:spacing w:after="0"/>
              <w:jc w:val="center"/>
            </w:pPr>
            <w:r/>
            <w:r>
              <w:rPr>
                <w:rFonts w:ascii="宋体" w:hAnsi="宋体" w:eastAsia="宋体"/>
                <w:b w:val="0"/>
                <w:sz w:val="17"/>
              </w:rPr>
              <w:t>1.7959</w:t>
            </w:r>
          </w:p>
        </w:tc>
      </w:tr>
      <w:tr>
        <w:tc>
          <w:tcPr>
            <w:tcW w:type="dxa" w:w="1792"/>
            <w:vAlign w:val="center"/>
          </w:tcPr>
          <w:p>
            <w:pPr>
              <w:spacing w:after="0"/>
              <w:jc w:val="center"/>
            </w:pPr>
            <w:r/>
            <w:r>
              <w:rPr>
                <w:rFonts w:ascii="宋体" w:hAnsi="宋体" w:eastAsia="宋体"/>
                <w:b w:val="0"/>
                <w:sz w:val="17"/>
              </w:rPr>
              <w:t>KMeans</w:t>
            </w:r>
          </w:p>
        </w:tc>
        <w:tc>
          <w:tcPr>
            <w:tcW w:type="dxa" w:w="1792"/>
            <w:vAlign w:val="center"/>
          </w:tcPr>
          <w:p>
            <w:pPr>
              <w:spacing w:after="0"/>
              <w:jc w:val="center"/>
            </w:pPr>
            <w:r/>
            <w:r>
              <w:rPr>
                <w:rFonts w:ascii="宋体" w:hAnsi="宋体" w:eastAsia="宋体"/>
                <w:b w:val="0"/>
                <w:sz w:val="17"/>
              </w:rPr>
              <w:t>4</w:t>
            </w:r>
          </w:p>
        </w:tc>
        <w:tc>
          <w:tcPr>
            <w:tcW w:type="dxa" w:w="1792"/>
            <w:vAlign w:val="center"/>
          </w:tcPr>
          <w:p>
            <w:pPr>
              <w:spacing w:after="0"/>
              <w:jc w:val="center"/>
            </w:pPr>
            <w:r/>
            <w:r>
              <w:rPr>
                <w:rFonts w:ascii="宋体" w:hAnsi="宋体" w:eastAsia="宋体"/>
                <w:b w:val="0"/>
                <w:sz w:val="17"/>
              </w:rPr>
              <w:t>0.1406</w:t>
            </w:r>
          </w:p>
        </w:tc>
        <w:tc>
          <w:tcPr>
            <w:tcW w:type="dxa" w:w="1792"/>
            <w:vAlign w:val="center"/>
          </w:tcPr>
          <w:p>
            <w:pPr>
              <w:spacing w:after="0"/>
              <w:jc w:val="center"/>
            </w:pPr>
            <w:r/>
            <w:r>
              <w:rPr>
                <w:rFonts w:ascii="宋体" w:hAnsi="宋体" w:eastAsia="宋体"/>
                <w:b w:val="0"/>
                <w:sz w:val="17"/>
              </w:rPr>
              <w:t>546.4364</w:t>
            </w:r>
          </w:p>
        </w:tc>
        <w:tc>
          <w:tcPr>
            <w:tcW w:type="dxa" w:w="1792"/>
            <w:vAlign w:val="center"/>
          </w:tcPr>
          <w:p>
            <w:pPr>
              <w:spacing w:after="0"/>
              <w:jc w:val="center"/>
            </w:pPr>
            <w:r/>
            <w:r>
              <w:rPr>
                <w:rFonts w:ascii="宋体" w:hAnsi="宋体" w:eastAsia="宋体"/>
                <w:b w:val="0"/>
                <w:sz w:val="17"/>
              </w:rPr>
              <w:t>1.9615</w:t>
            </w:r>
          </w:p>
        </w:tc>
      </w:tr>
      <w:tr>
        <w:tc>
          <w:tcPr>
            <w:tcW w:type="dxa" w:w="1792"/>
            <w:vAlign w:val="center"/>
          </w:tcPr>
          <w:p>
            <w:pPr>
              <w:spacing w:after="0"/>
              <w:jc w:val="center"/>
            </w:pPr>
            <w:r/>
            <w:r>
              <w:rPr>
                <w:rFonts w:ascii="宋体" w:hAnsi="宋体" w:eastAsia="宋体"/>
                <w:b w:val="0"/>
                <w:sz w:val="17"/>
              </w:rPr>
              <w:t>Agglomerative</w:t>
            </w:r>
          </w:p>
        </w:tc>
        <w:tc>
          <w:tcPr>
            <w:tcW w:type="dxa" w:w="1792"/>
            <w:vAlign w:val="center"/>
          </w:tcPr>
          <w:p>
            <w:pPr>
              <w:spacing w:after="0"/>
              <w:jc w:val="center"/>
            </w:pPr>
            <w:r/>
            <w:r>
              <w:rPr>
                <w:rFonts w:ascii="宋体" w:hAnsi="宋体" w:eastAsia="宋体"/>
                <w:b w:val="0"/>
                <w:sz w:val="17"/>
              </w:rPr>
              <w:t>3</w:t>
            </w:r>
          </w:p>
        </w:tc>
        <w:tc>
          <w:tcPr>
            <w:tcW w:type="dxa" w:w="1792"/>
            <w:vAlign w:val="center"/>
          </w:tcPr>
          <w:p>
            <w:pPr>
              <w:spacing w:after="0"/>
              <w:jc w:val="center"/>
            </w:pPr>
            <w:r/>
            <w:r>
              <w:rPr>
                <w:rFonts w:ascii="宋体" w:hAnsi="宋体" w:eastAsia="宋体"/>
                <w:b w:val="0"/>
                <w:sz w:val="17"/>
              </w:rPr>
              <w:t>0.1518</w:t>
            </w:r>
          </w:p>
        </w:tc>
        <w:tc>
          <w:tcPr>
            <w:tcW w:type="dxa" w:w="1792"/>
            <w:vAlign w:val="center"/>
          </w:tcPr>
          <w:p>
            <w:pPr>
              <w:spacing w:after="0"/>
              <w:jc w:val="center"/>
            </w:pPr>
            <w:r/>
            <w:r>
              <w:rPr>
                <w:rFonts w:ascii="宋体" w:hAnsi="宋体" w:eastAsia="宋体"/>
                <w:b w:val="0"/>
                <w:sz w:val="17"/>
              </w:rPr>
              <w:t>495.8938</w:t>
            </w:r>
          </w:p>
        </w:tc>
        <w:tc>
          <w:tcPr>
            <w:tcW w:type="dxa" w:w="1792"/>
            <w:vAlign w:val="center"/>
          </w:tcPr>
          <w:p>
            <w:pPr>
              <w:spacing w:after="0"/>
              <w:jc w:val="center"/>
            </w:pPr>
            <w:r/>
            <w:r>
              <w:rPr>
                <w:rFonts w:ascii="宋体" w:hAnsi="宋体" w:eastAsia="宋体"/>
                <w:b w:val="0"/>
                <w:sz w:val="17"/>
              </w:rPr>
              <w:t>1.8768</w:t>
            </w:r>
          </w:p>
        </w:tc>
      </w:tr>
      <w:tr>
        <w:tc>
          <w:tcPr>
            <w:tcW w:type="dxa" w:w="1792"/>
            <w:vAlign w:val="center"/>
          </w:tcPr>
          <w:p>
            <w:pPr>
              <w:spacing w:after="0"/>
              <w:jc w:val="center"/>
            </w:pPr>
            <w:r/>
            <w:r>
              <w:rPr>
                <w:rFonts w:ascii="宋体" w:hAnsi="宋体" w:eastAsia="宋体"/>
                <w:b w:val="0"/>
                <w:sz w:val="17"/>
              </w:rPr>
              <w:t>GaussianMixture</w:t>
            </w:r>
          </w:p>
        </w:tc>
        <w:tc>
          <w:tcPr>
            <w:tcW w:type="dxa" w:w="1792"/>
            <w:vAlign w:val="center"/>
          </w:tcPr>
          <w:p>
            <w:pPr>
              <w:spacing w:after="0"/>
              <w:jc w:val="center"/>
            </w:pPr>
            <w:r/>
            <w:r>
              <w:rPr>
                <w:rFonts w:ascii="宋体" w:hAnsi="宋体" w:eastAsia="宋体"/>
                <w:b w:val="0"/>
                <w:sz w:val="17"/>
              </w:rPr>
              <w:t>2</w:t>
            </w:r>
          </w:p>
        </w:tc>
        <w:tc>
          <w:tcPr>
            <w:tcW w:type="dxa" w:w="1792"/>
            <w:vAlign w:val="center"/>
          </w:tcPr>
          <w:p>
            <w:pPr>
              <w:spacing w:after="0"/>
              <w:jc w:val="center"/>
            </w:pPr>
            <w:r/>
            <w:r>
              <w:rPr>
                <w:rFonts w:ascii="宋体" w:hAnsi="宋体" w:eastAsia="宋体"/>
                <w:b w:val="0"/>
                <w:sz w:val="17"/>
              </w:rPr>
              <w:t>0.1478</w:t>
            </w:r>
          </w:p>
        </w:tc>
        <w:tc>
          <w:tcPr>
            <w:tcW w:type="dxa" w:w="1792"/>
            <w:vAlign w:val="center"/>
          </w:tcPr>
          <w:p>
            <w:pPr>
              <w:spacing w:after="0"/>
              <w:jc w:val="center"/>
            </w:pPr>
            <w:r/>
            <w:r>
              <w:rPr>
                <w:rFonts w:ascii="宋体" w:hAnsi="宋体" w:eastAsia="宋体"/>
                <w:b w:val="0"/>
                <w:sz w:val="17"/>
              </w:rPr>
              <w:t>650.8461</w:t>
            </w:r>
          </w:p>
        </w:tc>
        <w:tc>
          <w:tcPr>
            <w:tcW w:type="dxa" w:w="1792"/>
            <w:vAlign w:val="center"/>
          </w:tcPr>
          <w:p>
            <w:pPr>
              <w:spacing w:after="0"/>
              <w:jc w:val="center"/>
            </w:pPr>
            <w:r/>
            <w:r>
              <w:rPr>
                <w:rFonts w:ascii="宋体" w:hAnsi="宋体" w:eastAsia="宋体"/>
                <w:b w:val="0"/>
                <w:sz w:val="17"/>
              </w:rPr>
              <w:t>2.1599</w:t>
            </w:r>
          </w:p>
        </w:tc>
      </w:tr>
      <w:tr>
        <w:tc>
          <w:tcPr>
            <w:tcW w:type="dxa" w:w="1792"/>
            <w:vAlign w:val="center"/>
          </w:tcPr>
          <w:p>
            <w:pPr>
              <w:spacing w:after="0"/>
              <w:jc w:val="center"/>
            </w:pPr>
            <w:r/>
            <w:r>
              <w:rPr>
                <w:rFonts w:ascii="宋体" w:hAnsi="宋体" w:eastAsia="宋体"/>
                <w:b w:val="0"/>
                <w:sz w:val="17"/>
              </w:rPr>
              <w:t>GaussianMixture</w:t>
            </w:r>
          </w:p>
        </w:tc>
        <w:tc>
          <w:tcPr>
            <w:tcW w:type="dxa" w:w="1792"/>
            <w:vAlign w:val="center"/>
          </w:tcPr>
          <w:p>
            <w:pPr>
              <w:spacing w:after="0"/>
              <w:jc w:val="center"/>
            </w:pPr>
            <w:r/>
            <w:r>
              <w:rPr>
                <w:rFonts w:ascii="宋体" w:hAnsi="宋体" w:eastAsia="宋体"/>
                <w:b w:val="0"/>
                <w:sz w:val="17"/>
              </w:rPr>
              <w:t>4</w:t>
            </w:r>
          </w:p>
        </w:tc>
        <w:tc>
          <w:tcPr>
            <w:tcW w:type="dxa" w:w="1792"/>
            <w:vAlign w:val="center"/>
          </w:tcPr>
          <w:p>
            <w:pPr>
              <w:spacing w:after="0"/>
              <w:jc w:val="center"/>
            </w:pPr>
            <w:r/>
            <w:r>
              <w:rPr>
                <w:rFonts w:ascii="宋体" w:hAnsi="宋体" w:eastAsia="宋体"/>
                <w:b w:val="0"/>
                <w:sz w:val="17"/>
              </w:rPr>
              <w:t>0.1225</w:t>
            </w:r>
          </w:p>
        </w:tc>
        <w:tc>
          <w:tcPr>
            <w:tcW w:type="dxa" w:w="1792"/>
            <w:vAlign w:val="center"/>
          </w:tcPr>
          <w:p>
            <w:pPr>
              <w:spacing w:after="0"/>
              <w:jc w:val="center"/>
            </w:pPr>
            <w:r/>
            <w:r>
              <w:rPr>
                <w:rFonts w:ascii="宋体" w:hAnsi="宋体" w:eastAsia="宋体"/>
                <w:b w:val="0"/>
                <w:sz w:val="17"/>
              </w:rPr>
              <w:t>408.1725</w:t>
            </w:r>
          </w:p>
        </w:tc>
        <w:tc>
          <w:tcPr>
            <w:tcW w:type="dxa" w:w="1792"/>
            <w:vAlign w:val="center"/>
          </w:tcPr>
          <w:p>
            <w:pPr>
              <w:spacing w:after="0"/>
              <w:jc w:val="center"/>
            </w:pPr>
            <w:r/>
            <w:r>
              <w:rPr>
                <w:rFonts w:ascii="宋体" w:hAnsi="宋体" w:eastAsia="宋体"/>
                <w:b w:val="0"/>
                <w:sz w:val="17"/>
              </w:rPr>
              <w:t>2.2266</w:t>
            </w:r>
          </w:p>
        </w:tc>
      </w:tr>
    </w:tbl>
    <w:p/>
    <w:p>
      <w:pPr>
        <w:spacing w:line="300" w:lineRule="auto" w:after="80"/>
        <w:ind w:firstLine="420"/>
      </w:pPr>
      <w:r>
        <w:rPr>
          <w:rFonts w:ascii="宋体" w:hAnsi="宋体" w:eastAsia="宋体"/>
          <w:sz w:val="21"/>
        </w:rPr>
        <w:t>图 fig:clustering-elbow 和图 fig:clustering-silhouette 分别展示 KMeans 肘部曲线和不同算法/簇数的 Silhouette 对比。Silhouette 整体较低，说明分群边界偏弱，因此聚类仅用于探索性画像，不代表天然清晰人群边界。</w:t>
      </w:r>
    </w:p>
    <w:p>
      <w:pPr>
        <w:jc w:val="center"/>
      </w:pPr>
      <w:r>
        <w:drawing>
          <wp:inline xmlns:a="http://schemas.openxmlformats.org/drawingml/2006/main" xmlns:pic="http://schemas.openxmlformats.org/drawingml/2006/picture">
            <wp:extent cx="5166360" cy="2920117"/>
            <wp:docPr id="14" name="Picture 14"/>
            <wp:cNvGraphicFramePr>
              <a:graphicFrameLocks noChangeAspect="1"/>
            </wp:cNvGraphicFramePr>
            <a:graphic>
              <a:graphicData uri="http://schemas.openxmlformats.org/drawingml/2006/picture">
                <pic:pic>
                  <pic:nvPicPr>
                    <pic:cNvPr id="0" name="clustering_kmeans_elbow.png"/>
                    <pic:cNvPicPr/>
                  </pic:nvPicPr>
                  <pic:blipFill>
                    <a:blip r:embed="rId23"/>
                    <a:stretch>
                      <a:fillRect/>
                    </a:stretch>
                  </pic:blipFill>
                  <pic:spPr>
                    <a:xfrm>
                      <a:off x="0" y="0"/>
                      <a:ext cx="5166360" cy="2920117"/>
                    </a:xfrm>
                    <a:prstGeom prst="rect"/>
                  </pic:spPr>
                </pic:pic>
              </a:graphicData>
            </a:graphic>
          </wp:inline>
        </w:drawing>
      </w:r>
    </w:p>
    <w:p>
      <w:pPr>
        <w:jc w:val="center"/>
      </w:pPr>
      <w:r>
        <w:rPr>
          <w:rFonts w:ascii="宋体" w:hAnsi="宋体" w:eastAsia="宋体"/>
          <w:b/>
          <w:sz w:val="21"/>
        </w:rPr>
        <w:t>图 5-8 KMeans 肘部曲线</w:t>
      </w:r>
    </w:p>
    <w:p>
      <w:pPr>
        <w:jc w:val="center"/>
      </w:pPr>
      <w:r>
        <w:drawing>
          <wp:inline xmlns:a="http://schemas.openxmlformats.org/drawingml/2006/main" xmlns:pic="http://schemas.openxmlformats.org/drawingml/2006/picture">
            <wp:extent cx="5166360" cy="2920117"/>
            <wp:docPr id="15" name="Picture 15"/>
            <wp:cNvGraphicFramePr>
              <a:graphicFrameLocks noChangeAspect="1"/>
            </wp:cNvGraphicFramePr>
            <a:graphic>
              <a:graphicData uri="http://schemas.openxmlformats.org/drawingml/2006/picture">
                <pic:pic>
                  <pic:nvPicPr>
                    <pic:cNvPr id="0" name="clustering_silhouette_by_k.png"/>
                    <pic:cNvPicPr/>
                  </pic:nvPicPr>
                  <pic:blipFill>
                    <a:blip r:embed="rId24"/>
                    <a:stretch>
                      <a:fillRect/>
                    </a:stretch>
                  </pic:blipFill>
                  <pic:spPr>
                    <a:xfrm>
                      <a:off x="0" y="0"/>
                      <a:ext cx="5166360" cy="2920117"/>
                    </a:xfrm>
                    <a:prstGeom prst="rect"/>
                  </pic:spPr>
                </pic:pic>
              </a:graphicData>
            </a:graphic>
          </wp:inline>
        </w:drawing>
      </w:r>
    </w:p>
    <w:p>
      <w:pPr>
        <w:jc w:val="center"/>
      </w:pPr>
      <w:r>
        <w:rPr>
          <w:rFonts w:ascii="宋体" w:hAnsi="宋体" w:eastAsia="宋体"/>
          <w:b/>
          <w:sz w:val="21"/>
        </w:rPr>
        <w:t>图 5-9 不同聚类算法与簇数的 Silhouette 对比</w:t>
      </w:r>
    </w:p>
    <w:p>
      <w:pPr>
        <w:spacing w:line="300" w:lineRule="auto" w:after="80"/>
        <w:ind w:firstLine="420"/>
      </w:pPr>
      <w:r>
        <w:rPr>
          <w:rFonts w:ascii="宋体" w:hAnsi="宋体" w:eastAsia="宋体"/>
          <w:sz w:val="21"/>
        </w:rPr>
        <w:t>图 fig:pca-explained-variance 展示 PCA 累计解释方差，图 fig:clustering-pca 展示聚类结果在前两个 PCA 维度上的投影。前两个主成分累计解释约 42.41% 方差，PCA 仅用于可视化和辅助理解。</w:t>
      </w:r>
    </w:p>
    <w:p>
      <w:pPr>
        <w:jc w:val="center"/>
      </w:pPr>
      <w:r>
        <w:drawing>
          <wp:inline xmlns:a="http://schemas.openxmlformats.org/drawingml/2006/main" xmlns:pic="http://schemas.openxmlformats.org/drawingml/2006/picture">
            <wp:extent cx="5166360" cy="3295781"/>
            <wp:docPr id="16" name="Picture 16"/>
            <wp:cNvGraphicFramePr>
              <a:graphicFrameLocks noChangeAspect="1"/>
            </wp:cNvGraphicFramePr>
            <a:graphic>
              <a:graphicData uri="http://schemas.openxmlformats.org/drawingml/2006/picture">
                <pic:pic>
                  <pic:nvPicPr>
                    <pic:cNvPr id="0" name="pca_explained_variance.png"/>
                    <pic:cNvPicPr/>
                  </pic:nvPicPr>
                  <pic:blipFill>
                    <a:blip r:embed="rId25"/>
                    <a:stretch>
                      <a:fillRect/>
                    </a:stretch>
                  </pic:blipFill>
                  <pic:spPr>
                    <a:xfrm>
                      <a:off x="0" y="0"/>
                      <a:ext cx="5166360" cy="3295781"/>
                    </a:xfrm>
                    <a:prstGeom prst="rect"/>
                  </pic:spPr>
                </pic:pic>
              </a:graphicData>
            </a:graphic>
          </wp:inline>
        </w:drawing>
      </w:r>
    </w:p>
    <w:p>
      <w:pPr>
        <w:jc w:val="center"/>
      </w:pPr>
      <w:r>
        <w:rPr>
          <w:rFonts w:ascii="宋体" w:hAnsi="宋体" w:eastAsia="宋体"/>
          <w:b/>
          <w:sz w:val="21"/>
        </w:rPr>
        <w:t>图 5-10 PCA 累计解释方差曲线</w:t>
      </w:r>
    </w:p>
    <w:p>
      <w:pPr>
        <w:jc w:val="center"/>
      </w:pPr>
      <w:r>
        <w:drawing>
          <wp:inline xmlns:a="http://schemas.openxmlformats.org/drawingml/2006/main" xmlns:pic="http://schemas.openxmlformats.org/drawingml/2006/picture">
            <wp:extent cx="5166360" cy="3668864"/>
            <wp:docPr id="17" name="Picture 17"/>
            <wp:cNvGraphicFramePr>
              <a:graphicFrameLocks noChangeAspect="1"/>
            </wp:cNvGraphicFramePr>
            <a:graphic>
              <a:graphicData uri="http://schemas.openxmlformats.org/drawingml/2006/picture">
                <pic:pic>
                  <pic:nvPicPr>
                    <pic:cNvPr id="0" name="clustering_lifestyle_pca.png"/>
                    <pic:cNvPicPr/>
                  </pic:nvPicPr>
                  <pic:blipFill>
                    <a:blip r:embed="rId26"/>
                    <a:stretch>
                      <a:fillRect/>
                    </a:stretch>
                  </pic:blipFill>
                  <pic:spPr>
                    <a:xfrm>
                      <a:off x="0" y="0"/>
                      <a:ext cx="5166360" cy="3668864"/>
                    </a:xfrm>
                    <a:prstGeom prst="rect"/>
                  </pic:spPr>
                </pic:pic>
              </a:graphicData>
            </a:graphic>
          </wp:inline>
        </w:drawing>
      </w:r>
    </w:p>
    <w:p>
      <w:pPr>
        <w:jc w:val="center"/>
      </w:pPr>
      <w:r>
        <w:rPr>
          <w:rFonts w:ascii="宋体" w:hAnsi="宋体" w:eastAsia="宋体"/>
          <w:b/>
          <w:sz w:val="21"/>
        </w:rPr>
        <w:t>图 5-11 数字生活方式聚类的 PCA 可视化</w:t>
      </w:r>
    </w:p>
    <w:p>
      <w:pPr>
        <w:spacing w:line="300" w:lineRule="auto" w:after="80"/>
        <w:ind w:firstLine="420"/>
      </w:pPr>
      <w:r>
        <w:rPr>
          <w:rFonts w:ascii="宋体" w:hAnsi="宋体" w:eastAsia="宋体"/>
          <w:sz w:val="21"/>
        </w:rPr>
        <w:t>表 tab:clustering-profiles-compact 和图 fig:clustering-heatmap 总结三类画像：高社交媒体使用型、高设备依赖型和低负荷均衡型。这些名称只用于描述簇均值特征，不是固定人群标签。</w:t>
      </w:r>
    </w:p>
    <w:p>
      <w:pPr>
        <w:jc w:val="center"/>
      </w:pPr>
      <w:r>
        <w:rPr>
          <w:rFonts w:ascii="宋体" w:hAnsi="宋体" w:eastAsia="宋体"/>
          <w:b/>
          <w:sz w:val="21"/>
        </w:rPr>
        <w:t>表 5-7 数字生活方式聚类画像精简表</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5"/>
        <w:gridCol w:w="995"/>
        <w:gridCol w:w="995"/>
        <w:gridCol w:w="995"/>
        <w:gridCol w:w="995"/>
        <w:gridCol w:w="995"/>
        <w:gridCol w:w="995"/>
        <w:gridCol w:w="995"/>
        <w:gridCol w:w="995"/>
      </w:tblGrid>
      <w:tr>
        <w:tc>
          <w:tcPr>
            <w:tcW w:type="dxa" w:w="995"/>
            <w:vAlign w:val="center"/>
            <w:shd w:fill="EAF2F8"/>
          </w:tcPr>
          <w:p>
            <w:pPr>
              <w:spacing w:after="0"/>
              <w:jc w:val="center"/>
            </w:pPr>
            <w:r/>
            <w:r>
              <w:rPr>
                <w:rFonts w:ascii="宋体" w:hAnsi="宋体" w:eastAsia="宋体"/>
                <w:b/>
                <w:sz w:val="14"/>
              </w:rPr>
              <w:t>簇</w:t>
            </w:r>
          </w:p>
        </w:tc>
        <w:tc>
          <w:tcPr>
            <w:tcW w:type="dxa" w:w="995"/>
            <w:vAlign w:val="center"/>
            <w:shd w:fill="EAF2F8"/>
          </w:tcPr>
          <w:p>
            <w:pPr>
              <w:spacing w:after="0"/>
              <w:jc w:val="center"/>
            </w:pPr>
            <w:r/>
            <w:r>
              <w:rPr>
                <w:rFonts w:ascii="宋体" w:hAnsi="宋体" w:eastAsia="宋体"/>
                <w:b/>
                <w:sz w:val="14"/>
              </w:rPr>
              <w:t>样本数</w:t>
            </w:r>
          </w:p>
        </w:tc>
        <w:tc>
          <w:tcPr>
            <w:tcW w:type="dxa" w:w="995"/>
            <w:vAlign w:val="center"/>
            <w:shd w:fill="EAF2F8"/>
          </w:tcPr>
          <w:p>
            <w:pPr>
              <w:spacing w:after="0"/>
              <w:jc w:val="center"/>
            </w:pPr>
            <w:r/>
            <w:r>
              <w:rPr>
                <w:rFonts w:ascii="宋体" w:hAnsi="宋体" w:eastAsia="宋体"/>
                <w:b/>
                <w:sz w:val="14"/>
              </w:rPr>
              <w:t>设备时长</w:t>
            </w:r>
          </w:p>
        </w:tc>
        <w:tc>
          <w:tcPr>
            <w:tcW w:type="dxa" w:w="995"/>
            <w:vAlign w:val="center"/>
            <w:shd w:fill="EAF2F8"/>
          </w:tcPr>
          <w:p>
            <w:pPr>
              <w:spacing w:after="0"/>
              <w:jc w:val="center"/>
            </w:pPr>
            <w:r/>
            <w:r>
              <w:rPr>
                <w:rFonts w:ascii="宋体" w:hAnsi="宋体" w:eastAsia="宋体"/>
                <w:b/>
                <w:sz w:val="14"/>
              </w:rPr>
              <w:t>社交媒体分钟</w:t>
            </w:r>
          </w:p>
        </w:tc>
        <w:tc>
          <w:tcPr>
            <w:tcW w:type="dxa" w:w="995"/>
            <w:vAlign w:val="center"/>
            <w:shd w:fill="EAF2F8"/>
          </w:tcPr>
          <w:p>
            <w:pPr>
              <w:spacing w:after="0"/>
              <w:jc w:val="center"/>
            </w:pPr>
            <w:r/>
            <w:r>
              <w:rPr>
                <w:rFonts w:ascii="宋体" w:hAnsi="宋体" w:eastAsia="宋体"/>
                <w:b/>
                <w:sz w:val="14"/>
              </w:rPr>
              <w:t>睡眠时长</w:t>
            </w:r>
          </w:p>
        </w:tc>
        <w:tc>
          <w:tcPr>
            <w:tcW w:type="dxa" w:w="995"/>
            <w:vAlign w:val="center"/>
            <w:shd w:fill="EAF2F8"/>
          </w:tcPr>
          <w:p>
            <w:pPr>
              <w:spacing w:after="0"/>
              <w:jc w:val="center"/>
            </w:pPr>
            <w:r/>
            <w:r>
              <w:rPr>
                <w:rFonts w:ascii="宋体" w:hAnsi="宋体" w:eastAsia="宋体"/>
                <w:b/>
                <w:sz w:val="14"/>
              </w:rPr>
              <w:t>睡眠质量</w:t>
            </w:r>
          </w:p>
        </w:tc>
        <w:tc>
          <w:tcPr>
            <w:tcW w:type="dxa" w:w="995"/>
            <w:vAlign w:val="center"/>
            <w:shd w:fill="EAF2F8"/>
          </w:tcPr>
          <w:p>
            <w:pPr>
              <w:spacing w:after="0"/>
              <w:jc w:val="center"/>
            </w:pPr>
            <w:r/>
            <w:r>
              <w:rPr>
                <w:rFonts w:ascii="宋体" w:hAnsi="宋体" w:eastAsia="宋体"/>
                <w:b/>
                <w:sz w:val="14"/>
              </w:rPr>
              <w:t>高风险比例</w:t>
            </w:r>
          </w:p>
        </w:tc>
        <w:tc>
          <w:tcPr>
            <w:tcW w:type="dxa" w:w="995"/>
            <w:vAlign w:val="center"/>
            <w:shd w:fill="EAF2F8"/>
          </w:tcPr>
          <w:p>
            <w:pPr>
              <w:spacing w:after="0"/>
              <w:jc w:val="center"/>
            </w:pPr>
            <w:r/>
            <w:r>
              <w:rPr>
                <w:rFonts w:ascii="宋体" w:hAnsi="宋体" w:eastAsia="宋体"/>
                <w:b/>
                <w:sz w:val="14"/>
              </w:rPr>
              <w:t>数字依赖分</w:t>
            </w:r>
          </w:p>
        </w:tc>
        <w:tc>
          <w:tcPr>
            <w:tcW w:type="dxa" w:w="995"/>
            <w:vAlign w:val="center"/>
            <w:shd w:fill="EAF2F8"/>
          </w:tcPr>
          <w:p>
            <w:pPr>
              <w:spacing w:after="0"/>
              <w:jc w:val="center"/>
            </w:pPr>
            <w:r/>
            <w:r>
              <w:rPr>
                <w:rFonts w:ascii="宋体" w:hAnsi="宋体" w:eastAsia="宋体"/>
                <w:b/>
                <w:sz w:val="14"/>
              </w:rPr>
              <w:t>建议画像名称</w:t>
            </w:r>
          </w:p>
        </w:tc>
      </w:tr>
      <w:tr>
        <w:tc>
          <w:tcPr>
            <w:tcW w:type="dxa" w:w="995"/>
            <w:vAlign w:val="center"/>
          </w:tcPr>
          <w:p>
            <w:pPr>
              <w:spacing w:after="0"/>
              <w:jc w:val="center"/>
            </w:pPr>
            <w:r/>
            <w:r>
              <w:rPr>
                <w:rFonts w:ascii="宋体" w:hAnsi="宋体" w:eastAsia="宋体"/>
                <w:b w:val="0"/>
                <w:sz w:val="14"/>
              </w:rPr>
              <w:t>Cluster 0</w:t>
            </w:r>
          </w:p>
        </w:tc>
        <w:tc>
          <w:tcPr>
            <w:tcW w:type="dxa" w:w="995"/>
            <w:vAlign w:val="center"/>
          </w:tcPr>
          <w:p>
            <w:pPr>
              <w:spacing w:after="0"/>
              <w:jc w:val="center"/>
            </w:pPr>
            <w:r/>
            <w:r>
              <w:rPr>
                <w:rFonts w:ascii="宋体" w:hAnsi="宋体" w:eastAsia="宋体"/>
                <w:b w:val="0"/>
                <w:sz w:val="14"/>
              </w:rPr>
              <w:t>447</w:t>
            </w:r>
          </w:p>
        </w:tc>
        <w:tc>
          <w:tcPr>
            <w:tcW w:type="dxa" w:w="995"/>
            <w:vAlign w:val="center"/>
          </w:tcPr>
          <w:p>
            <w:pPr>
              <w:spacing w:after="0"/>
              <w:jc w:val="center"/>
            </w:pPr>
            <w:r/>
            <w:r>
              <w:rPr>
                <w:rFonts w:ascii="宋体" w:hAnsi="宋体" w:eastAsia="宋体"/>
                <w:b w:val="0"/>
                <w:sz w:val="14"/>
              </w:rPr>
              <w:t>6.9533</w:t>
            </w:r>
          </w:p>
        </w:tc>
        <w:tc>
          <w:tcPr>
            <w:tcW w:type="dxa" w:w="995"/>
            <w:vAlign w:val="center"/>
          </w:tcPr>
          <w:p>
            <w:pPr>
              <w:spacing w:after="0"/>
              <w:jc w:val="center"/>
            </w:pPr>
            <w:r/>
            <w:r>
              <w:rPr>
                <w:rFonts w:ascii="宋体" w:hAnsi="宋体" w:eastAsia="宋体"/>
                <w:b w:val="0"/>
                <w:sz w:val="14"/>
              </w:rPr>
              <w:t>430.2125</w:t>
            </w:r>
          </w:p>
        </w:tc>
        <w:tc>
          <w:tcPr>
            <w:tcW w:type="dxa" w:w="995"/>
            <w:vAlign w:val="center"/>
          </w:tcPr>
          <w:p>
            <w:pPr>
              <w:spacing w:after="0"/>
              <w:jc w:val="center"/>
            </w:pPr>
            <w:r/>
            <w:r>
              <w:rPr>
                <w:rFonts w:ascii="宋体" w:hAnsi="宋体" w:eastAsia="宋体"/>
                <w:b w:val="0"/>
                <w:sz w:val="14"/>
              </w:rPr>
              <w:t>7.3816</w:t>
            </w:r>
          </w:p>
        </w:tc>
        <w:tc>
          <w:tcPr>
            <w:tcW w:type="dxa" w:w="995"/>
            <w:vAlign w:val="center"/>
          </w:tcPr>
          <w:p>
            <w:pPr>
              <w:spacing w:after="0"/>
              <w:jc w:val="center"/>
            </w:pPr>
            <w:r/>
            <w:r>
              <w:rPr>
                <w:rFonts w:ascii="宋体" w:hAnsi="宋体" w:eastAsia="宋体"/>
                <w:b w:val="0"/>
                <w:sz w:val="14"/>
              </w:rPr>
              <w:t>2.7899</w:t>
            </w:r>
          </w:p>
        </w:tc>
        <w:tc>
          <w:tcPr>
            <w:tcW w:type="dxa" w:w="995"/>
            <w:vAlign w:val="center"/>
          </w:tcPr>
          <w:p>
            <w:pPr>
              <w:spacing w:after="0"/>
              <w:jc w:val="center"/>
            </w:pPr>
            <w:r/>
            <w:r>
              <w:rPr>
                <w:rFonts w:ascii="宋体" w:hAnsi="宋体" w:eastAsia="宋体"/>
                <w:b w:val="0"/>
                <w:sz w:val="14"/>
              </w:rPr>
              <w:t>0.1969</w:t>
            </w:r>
          </w:p>
        </w:tc>
        <w:tc>
          <w:tcPr>
            <w:tcW w:type="dxa" w:w="995"/>
            <w:vAlign w:val="center"/>
          </w:tcPr>
          <w:p>
            <w:pPr>
              <w:spacing w:after="0"/>
              <w:jc w:val="center"/>
            </w:pPr>
            <w:r/>
            <w:r>
              <w:rPr>
                <w:rFonts w:ascii="宋体" w:hAnsi="宋体" w:eastAsia="宋体"/>
                <w:b w:val="0"/>
                <w:sz w:val="14"/>
              </w:rPr>
              <w:t>34.3296</w:t>
            </w:r>
          </w:p>
        </w:tc>
        <w:tc>
          <w:tcPr>
            <w:tcW w:type="dxa" w:w="995"/>
            <w:vAlign w:val="center"/>
          </w:tcPr>
          <w:p>
            <w:pPr>
              <w:spacing w:after="0"/>
              <w:jc w:val="center"/>
            </w:pPr>
            <w:r/>
            <w:r>
              <w:rPr>
                <w:rFonts w:ascii="宋体" w:hAnsi="宋体" w:eastAsia="宋体"/>
                <w:b w:val="0"/>
                <w:sz w:val="14"/>
              </w:rPr>
              <w:t>高社交媒体使用型</w:t>
            </w:r>
          </w:p>
        </w:tc>
      </w:tr>
      <w:tr>
        <w:tc>
          <w:tcPr>
            <w:tcW w:type="dxa" w:w="995"/>
            <w:vAlign w:val="center"/>
          </w:tcPr>
          <w:p>
            <w:pPr>
              <w:spacing w:after="0"/>
              <w:jc w:val="center"/>
            </w:pPr>
            <w:r/>
            <w:r>
              <w:rPr>
                <w:rFonts w:ascii="宋体" w:hAnsi="宋体" w:eastAsia="宋体"/>
                <w:b w:val="0"/>
                <w:sz w:val="14"/>
              </w:rPr>
              <w:t>Cluster 1</w:t>
            </w:r>
          </w:p>
        </w:tc>
        <w:tc>
          <w:tcPr>
            <w:tcW w:type="dxa" w:w="995"/>
            <w:vAlign w:val="center"/>
          </w:tcPr>
          <w:p>
            <w:pPr>
              <w:spacing w:after="0"/>
              <w:jc w:val="center"/>
            </w:pPr>
            <w:r/>
            <w:r>
              <w:rPr>
                <w:rFonts w:ascii="宋体" w:hAnsi="宋体" w:eastAsia="宋体"/>
                <w:b w:val="0"/>
                <w:sz w:val="14"/>
              </w:rPr>
              <w:t>1039</w:t>
            </w:r>
          </w:p>
        </w:tc>
        <w:tc>
          <w:tcPr>
            <w:tcW w:type="dxa" w:w="995"/>
            <w:vAlign w:val="center"/>
          </w:tcPr>
          <w:p>
            <w:pPr>
              <w:spacing w:after="0"/>
              <w:jc w:val="center"/>
            </w:pPr>
            <w:r/>
            <w:r>
              <w:rPr>
                <w:rFonts w:ascii="宋体" w:hAnsi="宋体" w:eastAsia="宋体"/>
                <w:b w:val="0"/>
                <w:sz w:val="14"/>
              </w:rPr>
              <w:t>11.0538</w:t>
            </w:r>
          </w:p>
        </w:tc>
        <w:tc>
          <w:tcPr>
            <w:tcW w:type="dxa" w:w="995"/>
            <w:vAlign w:val="center"/>
          </w:tcPr>
          <w:p>
            <w:pPr>
              <w:spacing w:after="0"/>
              <w:jc w:val="center"/>
            </w:pPr>
            <w:r/>
            <w:r>
              <w:rPr>
                <w:rFonts w:ascii="宋体" w:hAnsi="宋体" w:eastAsia="宋体"/>
                <w:b w:val="0"/>
                <w:sz w:val="14"/>
              </w:rPr>
              <w:t>131.8787</w:t>
            </w:r>
          </w:p>
        </w:tc>
        <w:tc>
          <w:tcPr>
            <w:tcW w:type="dxa" w:w="995"/>
            <w:vAlign w:val="center"/>
          </w:tcPr>
          <w:p>
            <w:pPr>
              <w:spacing w:after="0"/>
              <w:jc w:val="center"/>
            </w:pPr>
            <w:r/>
            <w:r>
              <w:rPr>
                <w:rFonts w:ascii="宋体" w:hAnsi="宋体" w:eastAsia="宋体"/>
                <w:b w:val="0"/>
                <w:sz w:val="14"/>
              </w:rPr>
              <w:t>6.1218</w:t>
            </w:r>
          </w:p>
        </w:tc>
        <w:tc>
          <w:tcPr>
            <w:tcW w:type="dxa" w:w="995"/>
            <w:vAlign w:val="center"/>
          </w:tcPr>
          <w:p>
            <w:pPr>
              <w:spacing w:after="0"/>
              <w:jc w:val="center"/>
            </w:pPr>
            <w:r/>
            <w:r>
              <w:rPr>
                <w:rFonts w:ascii="宋体" w:hAnsi="宋体" w:eastAsia="宋体"/>
                <w:b w:val="0"/>
                <w:sz w:val="14"/>
              </w:rPr>
              <w:t>1.6953</w:t>
            </w:r>
          </w:p>
        </w:tc>
        <w:tc>
          <w:tcPr>
            <w:tcW w:type="dxa" w:w="995"/>
            <w:vAlign w:val="center"/>
          </w:tcPr>
          <w:p>
            <w:pPr>
              <w:spacing w:after="0"/>
              <w:jc w:val="center"/>
            </w:pPr>
            <w:r/>
            <w:r>
              <w:rPr>
                <w:rFonts w:ascii="宋体" w:hAnsi="宋体" w:eastAsia="宋体"/>
                <w:b w:val="0"/>
                <w:sz w:val="14"/>
              </w:rPr>
              <w:t>0.3725</w:t>
            </w:r>
          </w:p>
        </w:tc>
        <w:tc>
          <w:tcPr>
            <w:tcW w:type="dxa" w:w="995"/>
            <w:vAlign w:val="center"/>
          </w:tcPr>
          <w:p>
            <w:pPr>
              <w:spacing w:after="0"/>
              <w:jc w:val="center"/>
            </w:pPr>
            <w:r/>
            <w:r>
              <w:rPr>
                <w:rFonts w:ascii="宋体" w:hAnsi="宋体" w:eastAsia="宋体"/>
                <w:b w:val="0"/>
                <w:sz w:val="14"/>
              </w:rPr>
              <w:t>51.2425</w:t>
            </w:r>
          </w:p>
        </w:tc>
        <w:tc>
          <w:tcPr>
            <w:tcW w:type="dxa" w:w="995"/>
            <w:vAlign w:val="center"/>
          </w:tcPr>
          <w:p>
            <w:pPr>
              <w:spacing w:after="0"/>
              <w:jc w:val="center"/>
            </w:pPr>
            <w:r/>
            <w:r>
              <w:rPr>
                <w:rFonts w:ascii="宋体" w:hAnsi="宋体" w:eastAsia="宋体"/>
                <w:b w:val="0"/>
                <w:sz w:val="14"/>
              </w:rPr>
              <w:t>高设备依赖型</w:t>
            </w:r>
          </w:p>
        </w:tc>
      </w:tr>
      <w:tr>
        <w:tc>
          <w:tcPr>
            <w:tcW w:type="dxa" w:w="995"/>
            <w:vAlign w:val="center"/>
          </w:tcPr>
          <w:p>
            <w:pPr>
              <w:spacing w:after="0"/>
              <w:jc w:val="center"/>
            </w:pPr>
            <w:r/>
            <w:r>
              <w:rPr>
                <w:rFonts w:ascii="宋体" w:hAnsi="宋体" w:eastAsia="宋体"/>
                <w:b w:val="0"/>
                <w:sz w:val="14"/>
              </w:rPr>
              <w:t>Cluster 2</w:t>
            </w:r>
          </w:p>
        </w:tc>
        <w:tc>
          <w:tcPr>
            <w:tcW w:type="dxa" w:w="995"/>
            <w:vAlign w:val="center"/>
          </w:tcPr>
          <w:p>
            <w:pPr>
              <w:spacing w:after="0"/>
              <w:jc w:val="center"/>
            </w:pPr>
            <w:r/>
            <w:r>
              <w:rPr>
                <w:rFonts w:ascii="宋体" w:hAnsi="宋体" w:eastAsia="宋体"/>
                <w:b w:val="0"/>
                <w:sz w:val="14"/>
              </w:rPr>
              <w:t>2014</w:t>
            </w:r>
          </w:p>
        </w:tc>
        <w:tc>
          <w:tcPr>
            <w:tcW w:type="dxa" w:w="995"/>
            <w:vAlign w:val="center"/>
          </w:tcPr>
          <w:p>
            <w:pPr>
              <w:spacing w:after="0"/>
              <w:jc w:val="center"/>
            </w:pPr>
            <w:r/>
            <w:r>
              <w:rPr>
                <w:rFonts w:ascii="宋体" w:hAnsi="宋体" w:eastAsia="宋体"/>
                <w:b w:val="0"/>
                <w:sz w:val="14"/>
              </w:rPr>
              <w:t>5.4711</w:t>
            </w:r>
          </w:p>
        </w:tc>
        <w:tc>
          <w:tcPr>
            <w:tcW w:type="dxa" w:w="995"/>
            <w:vAlign w:val="center"/>
          </w:tcPr>
          <w:p>
            <w:pPr>
              <w:spacing w:after="0"/>
              <w:jc w:val="center"/>
            </w:pPr>
            <w:r/>
            <w:r>
              <w:rPr>
                <w:rFonts w:ascii="宋体" w:hAnsi="宋体" w:eastAsia="宋体"/>
                <w:b w:val="0"/>
                <w:sz w:val="14"/>
              </w:rPr>
              <w:t>113.4275</w:t>
            </w:r>
          </w:p>
        </w:tc>
        <w:tc>
          <w:tcPr>
            <w:tcW w:type="dxa" w:w="995"/>
            <w:vAlign w:val="center"/>
          </w:tcPr>
          <w:p>
            <w:pPr>
              <w:spacing w:after="0"/>
              <w:jc w:val="center"/>
            </w:pPr>
            <w:r/>
            <w:r>
              <w:rPr>
                <w:rFonts w:ascii="宋体" w:hAnsi="宋体" w:eastAsia="宋体"/>
                <w:b w:val="0"/>
                <w:sz w:val="14"/>
              </w:rPr>
              <w:t>7.8106</w:t>
            </w:r>
          </w:p>
        </w:tc>
        <w:tc>
          <w:tcPr>
            <w:tcW w:type="dxa" w:w="995"/>
            <w:vAlign w:val="center"/>
          </w:tcPr>
          <w:p>
            <w:pPr>
              <w:spacing w:after="0"/>
              <w:jc w:val="center"/>
            </w:pPr>
            <w:r/>
            <w:r>
              <w:rPr>
                <w:rFonts w:ascii="宋体" w:hAnsi="宋体" w:eastAsia="宋体"/>
                <w:b w:val="0"/>
                <w:sz w:val="14"/>
              </w:rPr>
              <w:t>3.2137</w:t>
            </w:r>
          </w:p>
        </w:tc>
        <w:tc>
          <w:tcPr>
            <w:tcW w:type="dxa" w:w="995"/>
            <w:vAlign w:val="center"/>
          </w:tcPr>
          <w:p>
            <w:pPr>
              <w:spacing w:after="0"/>
              <w:jc w:val="center"/>
            </w:pPr>
            <w:r/>
            <w:r>
              <w:rPr>
                <w:rFonts w:ascii="宋体" w:hAnsi="宋体" w:eastAsia="宋体"/>
                <w:b w:val="0"/>
                <w:sz w:val="14"/>
              </w:rPr>
              <w:t>0.1142</w:t>
            </w:r>
          </w:p>
        </w:tc>
        <w:tc>
          <w:tcPr>
            <w:tcW w:type="dxa" w:w="995"/>
            <w:vAlign w:val="center"/>
          </w:tcPr>
          <w:p>
            <w:pPr>
              <w:spacing w:after="0"/>
              <w:jc w:val="center"/>
            </w:pPr>
            <w:r/>
            <w:r>
              <w:rPr>
                <w:rFonts w:ascii="宋体" w:hAnsi="宋体" w:eastAsia="宋体"/>
                <w:b w:val="0"/>
                <w:sz w:val="14"/>
              </w:rPr>
              <w:t>29.6962</w:t>
            </w:r>
          </w:p>
        </w:tc>
        <w:tc>
          <w:tcPr>
            <w:tcW w:type="dxa" w:w="995"/>
            <w:vAlign w:val="center"/>
          </w:tcPr>
          <w:p>
            <w:pPr>
              <w:spacing w:after="0"/>
              <w:jc w:val="center"/>
            </w:pPr>
            <w:r/>
            <w:r>
              <w:rPr>
                <w:rFonts w:ascii="宋体" w:hAnsi="宋体" w:eastAsia="宋体"/>
                <w:b w:val="0"/>
                <w:sz w:val="14"/>
              </w:rPr>
              <w:t>低负荷均衡型</w:t>
            </w:r>
          </w:p>
        </w:tc>
      </w:tr>
    </w:tbl>
    <w:p/>
    <w:p>
      <w:pPr>
        <w:jc w:val="center"/>
      </w:pPr>
      <w:r>
        <w:drawing>
          <wp:inline xmlns:a="http://schemas.openxmlformats.org/drawingml/2006/main" xmlns:pic="http://schemas.openxmlformats.org/drawingml/2006/picture">
            <wp:extent cx="5166360" cy="2482494"/>
            <wp:docPr id="18" name="Picture 18"/>
            <wp:cNvGraphicFramePr>
              <a:graphicFrameLocks noChangeAspect="1"/>
            </wp:cNvGraphicFramePr>
            <a:graphic>
              <a:graphicData uri="http://schemas.openxmlformats.org/drawingml/2006/picture">
                <pic:pic>
                  <pic:nvPicPr>
                    <pic:cNvPr id="0" name="clustering_lifestyle_profile_heatmap.png"/>
                    <pic:cNvPicPr/>
                  </pic:nvPicPr>
                  <pic:blipFill>
                    <a:blip r:embed="rId27"/>
                    <a:stretch>
                      <a:fillRect/>
                    </a:stretch>
                  </pic:blipFill>
                  <pic:spPr>
                    <a:xfrm>
                      <a:off x="0" y="0"/>
                      <a:ext cx="5166360" cy="2482494"/>
                    </a:xfrm>
                    <a:prstGeom prst="rect"/>
                  </pic:spPr>
                </pic:pic>
              </a:graphicData>
            </a:graphic>
          </wp:inline>
        </w:drawing>
      </w:r>
    </w:p>
    <w:p>
      <w:pPr>
        <w:jc w:val="center"/>
      </w:pPr>
      <w:r>
        <w:rPr>
          <w:rFonts w:ascii="宋体" w:hAnsi="宋体" w:eastAsia="宋体"/>
          <w:b/>
          <w:sz w:val="21"/>
        </w:rPr>
        <w:t>图 5-12 聚类画像标准化特征热力图</w:t>
      </w:r>
    </w:p>
    <w:p>
      <w:pPr>
        <w:pStyle w:val="Heading2"/>
      </w:pPr>
      <w:r>
        <w:rPr>
          <w:rFonts w:ascii="黑体" w:hAnsi="黑体" w:eastAsia="黑体"/>
          <w:b/>
          <w:sz w:val="26"/>
        </w:rPr>
        <w:t>模型结果综合分析</w:t>
      </w:r>
    </w:p>
    <w:p>
      <w:pPr>
        <w:spacing w:line="300" w:lineRule="auto" w:after="80"/>
        <w:ind w:firstLine="420"/>
      </w:pPr>
      <w:r>
        <w:rPr>
          <w:rFonts w:ascii="宋体" w:hAnsi="宋体" w:eastAsia="宋体"/>
          <w:sz w:val="21"/>
        </w:rPr>
        <w:t>综合三类任务，分类模型可作为高风险初筛，但需要人工复核；数字依赖回归效果较好，是本文回归主线；生产力预测为弱预测/负结果，说明当前特征不足以稳定解释该目标；聚类画像具有解释价值，但 Silhouette 较低，边界不强。</w:t>
      </w:r>
    </w:p>
    <w:p>
      <w:pPr>
        <w:pStyle w:val="Heading2"/>
      </w:pPr>
      <w:r>
        <w:rPr>
          <w:rFonts w:ascii="黑体" w:hAnsi="黑体" w:eastAsia="黑体"/>
          <w:b/>
          <w:sz w:val="26"/>
        </w:rPr>
        <w:t>业务场景解释与结果边界</w:t>
      </w:r>
    </w:p>
    <w:p>
      <w:pPr>
        <w:spacing w:line="300" w:lineRule="auto" w:after="80"/>
        <w:ind w:firstLine="420"/>
      </w:pPr>
      <w:r>
        <w:rPr>
          <w:rFonts w:ascii="宋体" w:hAnsi="宋体" w:eastAsia="宋体"/>
          <w:sz w:val="21"/>
        </w:rPr>
        <w:t>本文结果可用于数字生活方式管理参考，例如关注设备使用时长、通知干扰、社交媒体使用、睡眠和身体活动平衡。分类结果只适合初筛，不应用于医学诊断、自动化惩罚或强制干预。由于数据为合成数据，所有结论都应作为课程建模和行为分析结果谨慎解释。</w:t>
      </w:r>
    </w:p>
    <w:p>
      <w:r>
        <w:br w:type="page"/>
      </w:r>
    </w:p>
    <w:p>
      <w:pPr>
        <w:pStyle w:val="Heading1"/>
        <w:jc w:val="center"/>
      </w:pPr>
      <w:r>
        <w:rPr>
          <w:rFonts w:ascii="黑体" w:hAnsi="黑体" w:eastAsia="黑体"/>
          <w:b/>
          <w:sz w:val="32"/>
        </w:rPr>
        <w:t>第6章 报告架构与代码规范呈现</w:t>
      </w:r>
    </w:p>
    <w:p>
      <w:pPr>
        <w:pStyle w:val="Heading2"/>
      </w:pPr>
      <w:r>
        <w:rPr>
          <w:rFonts w:ascii="黑体" w:hAnsi="黑体" w:eastAsia="黑体"/>
          <w:b/>
          <w:sz w:val="26"/>
        </w:rPr>
        <w:t>项目目录与工程结构</w:t>
      </w:r>
    </w:p>
    <w:p>
      <w:pPr>
        <w:spacing w:line="300" w:lineRule="auto" w:after="80"/>
        <w:ind w:firstLine="420"/>
      </w:pPr>
      <w:r>
        <w:rPr>
          <w:rFonts w:ascii="宋体" w:hAnsi="宋体" w:eastAsia="宋体"/>
          <w:sz w:val="21"/>
        </w:rPr>
        <w:t>本章对应课程评分标准中的“报告架构与代码规范呈现”。本文按标准数据分析流程组织项目：明确分析目标，介绍数据集，完成数据预处理，进行统计分析与可视化，开展机器学习建模调参与评估，解释结果，最后完成总结反思和复现归档。</w:t>
      </w:r>
    </w:p>
    <w:p>
      <w:pPr>
        <w:spacing w:line="300" w:lineRule="auto" w:after="80"/>
        <w:ind w:firstLine="420"/>
      </w:pPr>
      <w:r>
        <w:rPr>
          <w:rFonts w:ascii="宋体" w:hAnsi="宋体" w:eastAsia="宋体"/>
          <w:sz w:val="21"/>
        </w:rPr>
        <w:t>figure[H] tabularp0.28p0.58 目录 &amp; 作用 \\ data/ &amp; 保存原始数据与处理后数据。\\ notebooks/ &amp; 保存数据选择、预处理、EDA、分类、回归、聚类和结果汇总 notebook。\\ src/ &amp; 保存配置、数据工具、特征工程、模型评估和可视化函数。\\ scripts/ &amp; 保存证据增强和报告辅助脚本。\\ figures/ &amp; 保存 EDA、模型评估、聚类和 PCA 图片。\\ results/ &amp; 保存分类、回归、聚类、EDA、PCA 和预处理检查结果。\\ overleaf_final/ &amp; 保存最终 LaTeX 源码、表格、图片和 PDF。\\ tabular 项目目录结构与文件职责 fig:project-structure-rubric figure</w:t>
      </w:r>
    </w:p>
    <w:p>
      <w:pPr>
        <w:pStyle w:val="Heading2"/>
      </w:pPr>
      <w:r>
        <w:rPr>
          <w:rFonts w:ascii="黑体" w:hAnsi="黑体" w:eastAsia="黑体"/>
          <w:b/>
          <w:sz w:val="26"/>
        </w:rPr>
        <w:t>Notebook 与 Python 源码组织</w:t>
      </w:r>
    </w:p>
    <w:p>
      <w:pPr>
        <w:spacing w:line="300" w:lineRule="auto" w:after="80"/>
        <w:ind w:firstLine="420"/>
      </w:pPr>
      <w:r>
        <w:rPr>
          <w:rFonts w:ascii="宋体" w:hAnsi="宋体" w:eastAsia="宋体"/>
          <w:sz w:val="21"/>
        </w:rPr>
        <w:t>Notebook 执行顺序如下：00_dataset_selection_and_compliance.ipynb、01_data_preprocessing_and_eda.ipynb、02_classification_high_risk.ipynb、03_regression_productivity.ipynb、04_clustering_lifestyle_profiles.ipynb、05_result_summary_for_report.ipynb。这样的顺序保证数据合规性、预处理、可视化、模型训练和结果汇总之间具有清晰依赖关系。</w:t>
      </w:r>
    </w:p>
    <w:p>
      <w:pPr>
        <w:spacing w:line="300" w:lineRule="auto" w:after="80"/>
        <w:ind w:firstLine="420"/>
      </w:pPr>
      <w:r>
        <w:rPr>
          <w:rFonts w:ascii="宋体" w:hAnsi="宋体" w:eastAsia="宋体"/>
          <w:sz w:val="21"/>
        </w:rPr>
        <w:t>Python 源码组织包括：src/config.py 用于配置随机种子、路径和目标变量；src/data_utils.py 用于数据读取和合规性检查；src/feature_engineering.py 用于工程特征和特征筛选；src/model_utils.py 用于模型评估；src/visualization.py 用于图表绘制。</w:t>
      </w:r>
    </w:p>
    <w:p>
      <w:pPr>
        <w:pStyle w:val="Heading2"/>
      </w:pPr>
      <w:r>
        <w:rPr>
          <w:rFonts w:ascii="黑体" w:hAnsi="黑体" w:eastAsia="黑体"/>
          <w:b/>
          <w:sz w:val="26"/>
        </w:rPr>
        <w:t>核心代码片段与说明</w:t>
      </w:r>
    </w:p>
    <w:p>
      <w:pPr>
        <w:spacing w:line="300" w:lineRule="auto" w:after="80"/>
        <w:ind w:firstLine="420"/>
      </w:pPr>
      <w:r>
        <w:rPr>
          <w:rFonts w:ascii="宋体" w:hAnsi="宋体" w:eastAsia="宋体"/>
          <w:sz w:val="21"/>
        </w:rPr>
        <w:t>正文只展示关键代码片段，完整代码保存在项目目录。下面的片段展示了模型训练中统一随机种子和传统机器学习模型的组织方式。</w:t>
      </w:r>
    </w:p>
    <w:p>
      <w:pPr>
        <w:jc w:val="center"/>
      </w:pPr>
      <w:r>
        <w:rPr>
          <w:rFonts w:ascii="宋体" w:hAnsi="宋体" w:eastAsia="宋体"/>
          <w:b/>
          <w:sz w:val="21"/>
        </w:rPr>
        <w:t>代码 6-1 模型配置与随机种子片段</w:t>
      </w:r>
    </w:p>
    <w:p>
      <w:pPr>
        <w:spacing w:after="0"/>
        <w:ind w:left="280"/>
      </w:pPr>
      <w:r>
        <w:rPr>
          <w:rFonts w:ascii="Consolas" w:hAnsi="Consolas" w:eastAsia="Consolas"/>
          <w:sz w:val="17"/>
        </w:rPr>
        <w:t>RANDOM_STATE = 42</w:t>
      </w:r>
    </w:p>
    <w:p>
      <w:pPr>
        <w:spacing w:after="0"/>
        <w:ind w:left="280"/>
      </w:pPr>
      <w:r>
        <w:rPr>
          <w:rFonts w:ascii="Consolas" w:hAnsi="Consolas" w:eastAsia="Consolas"/>
          <w:sz w:val="17"/>
        </w:rPr>
      </w:r>
    </w:p>
    <w:p>
      <w:pPr>
        <w:spacing w:after="0"/>
        <w:ind w:left="280"/>
      </w:pPr>
      <w:r>
        <w:rPr>
          <w:rFonts w:ascii="Consolas" w:hAnsi="Consolas" w:eastAsia="Consolas"/>
          <w:sz w:val="17"/>
        </w:rPr>
        <w:t>classifiers = {</w:t>
      </w:r>
    </w:p>
    <w:p>
      <w:pPr>
        <w:spacing w:after="0"/>
        <w:ind w:left="280"/>
      </w:pPr>
      <w:r>
        <w:rPr>
          <w:rFonts w:ascii="Consolas" w:hAnsi="Consolas" w:eastAsia="Consolas"/>
          <w:sz w:val="17"/>
        </w:rPr>
        <w:t xml:space="preserve">    "logistic_regression": LogisticRegression(max_iter=2000),</w:t>
      </w:r>
    </w:p>
    <w:p>
      <w:pPr>
        <w:spacing w:after="0"/>
        <w:ind w:left="280"/>
      </w:pPr>
      <w:r>
        <w:rPr>
          <w:rFonts w:ascii="Consolas" w:hAnsi="Consolas" w:eastAsia="Consolas"/>
          <w:sz w:val="17"/>
        </w:rPr>
        <w:t xml:space="preserve">    "random_forest": RandomForestClassifier(random_state=RANDOM_STATE),</w:t>
      </w:r>
    </w:p>
    <w:p>
      <w:pPr>
        <w:spacing w:after="0"/>
        <w:ind w:left="280"/>
      </w:pPr>
      <w:r>
        <w:rPr>
          <w:rFonts w:ascii="Consolas" w:hAnsi="Consolas" w:eastAsia="Consolas"/>
          <w:sz w:val="17"/>
        </w:rPr>
        <w:t xml:space="preserve">    "gradient_boosting": GradientBoostingClassifier(random_state=RANDOM_STATE),</w:t>
      </w:r>
    </w:p>
    <w:p>
      <w:pPr>
        <w:spacing w:after="0"/>
        <w:ind w:left="280"/>
      </w:pPr>
      <w:r>
        <w:rPr>
          <w:rFonts w:ascii="Consolas" w:hAnsi="Consolas" w:eastAsia="Consolas"/>
          <w:sz w:val="17"/>
        </w:rPr>
        <w:t>}</w:t>
      </w:r>
    </w:p>
    <w:p>
      <w:pPr>
        <w:pStyle w:val="Heading2"/>
      </w:pPr>
      <w:r>
        <w:rPr>
          <w:rFonts w:ascii="黑体" w:hAnsi="黑体" w:eastAsia="黑体"/>
          <w:b/>
          <w:sz w:val="26"/>
        </w:rPr>
        <w:t>图表、结果文件与复现说明</w:t>
      </w:r>
    </w:p>
    <w:p>
      <w:pPr>
        <w:spacing w:line="300" w:lineRule="auto" w:after="80"/>
        <w:ind w:firstLine="420"/>
      </w:pPr>
      <w:r>
        <w:rPr>
          <w:rFonts w:ascii="宋体" w:hAnsi="宋体" w:eastAsia="宋体"/>
          <w:sz w:val="21"/>
        </w:rPr>
        <w:t>所有结果文件均保存在 results/ 中，包括分类调参结果、阈值选择结果、回归指标、聚类比较、PCA 解释方差和预处理质量检查。所有图表保存在 figures/ 中，最终报告引用的图片已复制到 overleaf_final/figures/。</w:t>
      </w:r>
    </w:p>
    <w:p>
      <w:pPr>
        <w:spacing w:line="300" w:lineRule="auto" w:after="80"/>
        <w:ind w:firstLine="420"/>
      </w:pPr>
      <w:r>
        <w:rPr>
          <w:rFonts w:ascii="宋体" w:hAnsi="宋体" w:eastAsia="宋体"/>
          <w:sz w:val="21"/>
        </w:rPr>
        <w:t>复现方式为：先运行 pip install -r requirements.txt 安装依赖，再按 notebook 顺序执行；若只需重新生成 Stage 2.5 证据增强结果，可运行 python scripts/stage2_5_evidence_enhancement.py；最终报告在 Overleaf 中选择 XeLaTeX 编译 main.tex。</w:t>
      </w:r>
    </w:p>
    <w:p>
      <w:pPr>
        <w:pStyle w:val="Heading2"/>
      </w:pPr>
      <w:r>
        <w:rPr>
          <w:rFonts w:ascii="黑体" w:hAnsi="黑体" w:eastAsia="黑体"/>
          <w:b/>
          <w:sz w:val="26"/>
        </w:rPr>
        <w:t>完整代码附录说明</w:t>
      </w:r>
    </w:p>
    <w:p>
      <w:pPr>
        <w:spacing w:line="300" w:lineRule="auto" w:after="80"/>
        <w:ind w:firstLine="420"/>
      </w:pPr>
      <w:r>
        <w:rPr>
          <w:rFonts w:ascii="宋体" w:hAnsi="宋体" w:eastAsia="宋体"/>
          <w:sz w:val="21"/>
        </w:rPr>
        <w:t>完整 notebook、Python 源码、脚本和结果 CSV 不全部贴入正文，以避免报告正文被代码淹没。正文只保留与方法理解直接相关的片段，完整代码路径和运行说明见附录 A 与附录 B。</w:t>
      </w:r>
    </w:p>
    <w:p>
      <w:r>
        <w:br w:type="page"/>
      </w:r>
    </w:p>
    <w:p>
      <w:pPr>
        <w:pStyle w:val="Heading1"/>
        <w:jc w:val="center"/>
      </w:pPr>
      <w:r>
        <w:rPr>
          <w:rFonts w:ascii="黑体" w:hAnsi="黑体" w:eastAsia="黑体"/>
          <w:b/>
          <w:sz w:val="32"/>
        </w:rPr>
        <w:t>第7章 实验结论与个人反思</w:t>
      </w:r>
    </w:p>
    <w:p>
      <w:pPr>
        <w:pStyle w:val="Heading2"/>
      </w:pPr>
      <w:r>
        <w:rPr>
          <w:rFonts w:ascii="黑体" w:hAnsi="黑体" w:eastAsia="黑体"/>
          <w:b/>
          <w:sz w:val="26"/>
        </w:rPr>
        <w:t>核心实验结论</w:t>
      </w:r>
    </w:p>
    <w:p>
      <w:pPr>
        <w:spacing w:line="300" w:lineRule="auto" w:after="80"/>
        <w:ind w:firstLine="420"/>
      </w:pPr>
      <w:r>
        <w:rPr>
          <w:rFonts w:ascii="宋体" w:hAnsi="宋体" w:eastAsia="宋体"/>
          <w:sz w:val="21"/>
        </w:rPr>
        <w:t>本章对应课程评分标准中的“实验结论与个人反思”。本文完成了合规数据集选择、数据预处理、EDA 可视化、分类、回归和聚类三类任务。分类任务得到一个偏召回的高风险筛查方案；回归任务显示数字依赖得分可以被当前数字行为特征较好预测；生产力得分预测较弱，作为负结果分析；聚类任务形成了三类探索性数字生活方式画像。</w:t>
      </w:r>
    </w:p>
    <w:p>
      <w:pPr>
        <w:pStyle w:val="Heading2"/>
      </w:pPr>
      <w:r>
        <w:rPr>
          <w:rFonts w:ascii="黑体" w:hAnsi="黑体" w:eastAsia="黑体"/>
          <w:b/>
          <w:sz w:val="26"/>
        </w:rPr>
        <w:t>数据规律与应用价值</w:t>
      </w:r>
    </w:p>
    <w:p>
      <w:pPr>
        <w:spacing w:line="300" w:lineRule="auto" w:after="80"/>
        <w:ind w:firstLine="420"/>
      </w:pPr>
      <w:r>
        <w:rPr>
          <w:rFonts w:ascii="宋体" w:hAnsi="宋体" w:eastAsia="宋体"/>
          <w:sz w:val="21"/>
        </w:rPr>
        <w:t>从已有图表和模型结果看，高设备使用、高通知、高社交媒体使用与高风险标记和数字依赖得分存在一定关联。数字依赖预测效果好，说明设备时长、通知数和解锁次数等行为变量对该目标有较强表征能力。生产力得分预测较弱，说明当前特征不足以稳定解释该目标。聚类可以形成“高社交媒体使用型”“高设备依赖型”和“低负荷均衡型”三类画像，但边界不强。</w:t>
      </w:r>
    </w:p>
    <w:p>
      <w:pPr>
        <w:spacing w:line="300" w:lineRule="auto" w:after="80"/>
        <w:ind w:firstLine="420"/>
      </w:pPr>
      <w:r>
        <w:rPr>
          <w:rFonts w:ascii="宋体" w:hAnsi="宋体" w:eastAsia="宋体"/>
          <w:sz w:val="21"/>
        </w:rPr>
        <w:t>这些结果可为数字生活方式管理提供参考，例如控制设备使用时长、管理通知干扰、合理安排社交媒体使用、保证睡眠和身体活动，以及对高风险初筛结果进行人工复核。</w:t>
      </w:r>
    </w:p>
    <w:p>
      <w:pPr>
        <w:pStyle w:val="Heading2"/>
      </w:pPr>
      <w:r>
        <w:rPr>
          <w:rFonts w:ascii="黑体" w:hAnsi="黑体" w:eastAsia="黑体"/>
          <w:b/>
          <w:sz w:val="26"/>
        </w:rPr>
        <w:t>模型优点、不足与局限性</w:t>
      </w:r>
    </w:p>
    <w:p>
      <w:pPr>
        <w:spacing w:line="300" w:lineRule="auto" w:after="80"/>
        <w:ind w:firstLine="420"/>
      </w:pPr>
      <w:r>
        <w:rPr>
          <w:rFonts w:ascii="宋体" w:hAnsi="宋体" w:eastAsia="宋体"/>
          <w:sz w:val="21"/>
        </w:rPr>
        <w:t>分类模型通过阈值调优提升了高风险召回，但误报也随之增加。回归模型对数字依赖得分表现较好，但对生产力得分表现较弱。聚类画像具有解释性，但 Silhouette=0.1860，说明聚类边界较弱。数据层面，由于数据集为合成数据，本文结果不能用于医学诊断或现实因果结论。</w:t>
      </w:r>
    </w:p>
    <w:p>
      <w:pPr>
        <w:pStyle w:val="Heading2"/>
      </w:pPr>
      <w:r>
        <w:rPr>
          <w:rFonts w:ascii="黑体" w:hAnsi="黑体" w:eastAsia="黑体"/>
          <w:b/>
          <w:sz w:val="26"/>
        </w:rPr>
        <w:t>后续改进方向</w:t>
      </w:r>
    </w:p>
    <w:p>
      <w:pPr>
        <w:spacing w:line="300" w:lineRule="auto" w:after="80"/>
        <w:ind w:firstLine="420"/>
      </w:pPr>
      <w:r>
        <w:rPr>
          <w:rFonts w:ascii="宋体" w:hAnsi="宋体" w:eastAsia="宋体"/>
          <w:sz w:val="21"/>
        </w:rPr>
        <w:t>后续可以从三方面改进。第一，使用真实、合规、匿名化的数据验证模型稳定性。第二，引入更细粒度的时间特征，例如夜间设备使用、通知集中度和连续睡眠变化。第三，进一步比较模型解释方法、阈值选择策略和人工复核流程，使筛查结果更适合实际管理场景。</w:t>
      </w:r>
    </w:p>
    <w:p>
      <w:pPr>
        <w:pStyle w:val="Heading2"/>
      </w:pPr>
      <w:r>
        <w:rPr>
          <w:rFonts w:ascii="黑体" w:hAnsi="黑体" w:eastAsia="黑体"/>
          <w:b/>
          <w:sz w:val="26"/>
        </w:rPr>
        <w:t>课程学习反思</w:t>
      </w:r>
    </w:p>
    <w:p>
      <w:pPr>
        <w:spacing w:line="300" w:lineRule="auto" w:after="80"/>
        <w:ind w:firstLine="420"/>
      </w:pPr>
      <w:r>
        <w:rPr>
          <w:rFonts w:ascii="宋体" w:hAnsi="宋体" w:eastAsia="宋体"/>
          <w:sz w:val="21"/>
        </w:rPr>
        <w:t>通过本项目，我进一步认识到数据合规性、目标泄漏控制和指标选择的重要性。分类任务不能只看 Accuracy，而要结合业务目标关注 Recall 和 F1；回归任务不能只挑效果好的目标，也要诚实解释弱预测和负结果；聚类任务不能因为能分成三类就写成天然群体边界。报告复现性、代码组织、结果文件命名和图表管理同样会影响最终质量。</w:t>
      </w:r>
    </w:p>
    <w:p>
      <w:r>
        <w:br w:type="page"/>
      </w:r>
    </w:p>
    <w:p>
      <w:pPr>
        <w:pStyle w:val="Heading1"/>
        <w:jc w:val="center"/>
      </w:pPr>
      <w:r>
        <w:rPr>
          <w:rFonts w:ascii="黑体" w:hAnsi="黑体" w:eastAsia="黑体"/>
          <w:b/>
          <w:sz w:val="32"/>
        </w:rPr>
        <w:t xml:space="preserve">第6章 </w:t>
      </w:r>
    </w:p>
    <w:p>
      <w:pPr>
        <w:pStyle w:val="ListNumber"/>
      </w:pPr>
      <w:r>
        <w:rPr>
          <w:rFonts w:ascii="宋体" w:hAnsi="宋体" w:eastAsia="宋体"/>
          <w:sz w:val="21"/>
        </w:rPr>
        <w:t>Digital Lifestyle Benchmark Dataset (2025). Hugging Face Dataset: https://huggingface.co/datasets/tarekmasryo/digital-lifestyle-benchmark-dataset.</w:t>
      </w:r>
    </w:p>
    <w:p>
      <w:pPr>
        <w:pStyle w:val="ListNumber"/>
      </w:pPr>
      <w:r>
        <w:rPr>
          <w:rFonts w:ascii="宋体" w:hAnsi="宋体" w:eastAsia="宋体"/>
          <w:sz w:val="21"/>
        </w:rPr>
        <w:t>scikit-learn 官方文档：https://scikit-learn.org/stable/.</w:t>
      </w:r>
    </w:p>
    <w:p>
      <w:pPr>
        <w:pStyle w:val="ListNumber"/>
      </w:pPr>
      <w:r>
        <w:rPr>
          <w:rFonts w:ascii="宋体" w:hAnsi="宋体" w:eastAsia="宋体"/>
          <w:sz w:val="21"/>
        </w:rPr>
        <w:t>Pedregosa F, Varoquaux G, Gramfort A, et al. Scikit-learn: Machine Learning in Python. Journal of Machine Learning Research, 2011, 12: 2825-2830.</w:t>
      </w:r>
    </w:p>
    <w:p>
      <w:pPr>
        <w:pStyle w:val="ListNumber"/>
      </w:pPr>
      <w:r>
        <w:rPr>
          <w:rFonts w:ascii="宋体" w:hAnsi="宋体" w:eastAsia="宋体"/>
          <w:sz w:val="21"/>
        </w:rPr>
        <w:t>pandas 官方文档：https://pandas.pydata.org/docs/.</w:t>
      </w:r>
    </w:p>
    <w:p>
      <w:pPr>
        <w:pStyle w:val="ListNumber"/>
      </w:pPr>
      <w:r>
        <w:rPr>
          <w:rFonts w:ascii="宋体" w:hAnsi="宋体" w:eastAsia="宋体"/>
          <w:sz w:val="21"/>
        </w:rPr>
        <w:t>NumPy 官方文档：https://numpy.org/doc/.</w:t>
      </w:r>
    </w:p>
    <w:p>
      <w:pPr>
        <w:pStyle w:val="ListNumber"/>
      </w:pPr>
      <w:r>
        <w:rPr>
          <w:rFonts w:ascii="宋体" w:hAnsi="宋体" w:eastAsia="宋体"/>
          <w:sz w:val="21"/>
        </w:rPr>
        <w:t>Matplotlib 官方文档：https://matplotlib.org/stable/contents.html.</w:t>
      </w:r>
    </w:p>
    <w:p>
      <w:pPr>
        <w:pStyle w:val="ListNumber"/>
      </w:pPr>
      <w:r>
        <w:rPr>
          <w:rFonts w:ascii="宋体" w:hAnsi="宋体" w:eastAsia="宋体"/>
          <w:sz w:val="21"/>
        </w:rPr>
        <w:t>《大数据分析与应用》课程考查报告要求。</w:t>
      </w:r>
    </w:p>
    <w:p>
      <w:r>
        <w:br w:type="page"/>
      </w:r>
    </w:p>
    <w:p>
      <w:pPr>
        <w:pStyle w:val="Heading1"/>
        <w:jc w:val="center"/>
      </w:pPr>
      <w:r>
        <w:rPr>
          <w:rFonts w:ascii="黑体" w:hAnsi="黑体" w:eastAsia="黑体"/>
          <w:b/>
          <w:sz w:val="32"/>
        </w:rPr>
        <w:t>附录A 核心代码</w:t>
      </w:r>
    </w:p>
    <w:p>
      <w:pPr>
        <w:spacing w:line="300" w:lineRule="auto" w:after="80"/>
        <w:ind w:firstLine="420"/>
      </w:pPr>
      <w:r>
        <w:rPr>
          <w:rFonts w:ascii="宋体" w:hAnsi="宋体" w:eastAsia="宋体"/>
          <w:sz w:val="21"/>
        </w:rPr>
        <w:t>本附录对应正文第 6 章的代码规范说明。完整代码位于项目目录中的 notebooks/、src/ 和 scripts/，此处只列出核心结构和关键片段。</w:t>
      </w:r>
    </w:p>
    <w:p>
      <w:pPr>
        <w:pStyle w:val="Heading2"/>
      </w:pPr>
      <w:r>
        <w:rPr>
          <w:rFonts w:ascii="黑体" w:hAnsi="黑体" w:eastAsia="黑体"/>
          <w:b/>
          <w:sz w:val="26"/>
        </w:rPr>
        <w:t>核心源码文件</w:t>
      </w:r>
    </w:p>
    <w:p>
      <w:pPr>
        <w:pStyle w:val="ListBullet"/>
      </w:pPr>
      <w:r>
        <w:rPr>
          <w:rFonts w:ascii="宋体" w:hAnsi="宋体" w:eastAsia="宋体"/>
          <w:sz w:val="21"/>
        </w:rPr>
        <w:t>src/config.py：路径、随机种子、目标变量、泄漏字段和聚类输入白名单。</w:t>
      </w:r>
    </w:p>
    <w:p>
      <w:pPr>
        <w:pStyle w:val="ListBullet"/>
      </w:pPr>
      <w:r>
        <w:rPr>
          <w:rFonts w:ascii="宋体" w:hAnsi="宋体" w:eastAsia="宋体"/>
          <w:sz w:val="21"/>
        </w:rPr>
        <w:t>src/data_utils.py：数据下载、读取、合规性检查和摘要输出。</w:t>
      </w:r>
    </w:p>
    <w:p>
      <w:pPr>
        <w:pStyle w:val="ListBullet"/>
      </w:pPr>
      <w:r>
        <w:rPr>
          <w:rFonts w:ascii="宋体" w:hAnsi="宋体" w:eastAsia="宋体"/>
          <w:sz w:val="21"/>
        </w:rPr>
        <w:t>src/feature_engineering.py：工程特征生成、任务级特征筛选和预处理管道。</w:t>
      </w:r>
    </w:p>
    <w:p>
      <w:pPr>
        <w:pStyle w:val="ListBullet"/>
      </w:pPr>
      <w:r>
        <w:rPr>
          <w:rFonts w:ascii="宋体" w:hAnsi="宋体" w:eastAsia="宋体"/>
          <w:sz w:val="21"/>
        </w:rPr>
        <w:t>src/model_utils.py：分类、回归、聚类评估指标与结果保存。</w:t>
      </w:r>
    </w:p>
    <w:p>
      <w:pPr>
        <w:pStyle w:val="ListBullet"/>
      </w:pPr>
      <w:r>
        <w:rPr>
          <w:rFonts w:ascii="宋体" w:hAnsi="宋体" w:eastAsia="宋体"/>
          <w:sz w:val="21"/>
        </w:rPr>
        <w:t>src/visualization.py：EDA、模型评估、聚类画像和 PCA 图绘制。</w:t>
      </w:r>
    </w:p>
    <w:p>
      <w:pPr>
        <w:pStyle w:val="Heading2"/>
      </w:pPr>
      <w:r>
        <w:rPr>
          <w:rFonts w:ascii="黑体" w:hAnsi="黑体" w:eastAsia="黑体"/>
          <w:b/>
          <w:sz w:val="26"/>
        </w:rPr>
        <w:t>核心代码片段</w:t>
      </w:r>
    </w:p>
    <w:p>
      <w:pPr>
        <w:jc w:val="center"/>
      </w:pPr>
      <w:r>
        <w:rPr>
          <w:rFonts w:ascii="宋体" w:hAnsi="宋体" w:eastAsia="宋体"/>
          <w:b/>
          <w:sz w:val="21"/>
        </w:rPr>
        <w:t>代码 9-1 统一随机种子与模型配置</w:t>
      </w:r>
    </w:p>
    <w:p>
      <w:pPr>
        <w:spacing w:after="0"/>
        <w:ind w:left="280"/>
      </w:pPr>
      <w:r>
        <w:rPr>
          <w:rFonts w:ascii="Consolas" w:hAnsi="Consolas" w:eastAsia="Consolas"/>
          <w:sz w:val="17"/>
        </w:rPr>
        <w:t>RANDOM_STATE = 42</w:t>
      </w:r>
    </w:p>
    <w:p>
      <w:pPr>
        <w:spacing w:after="0"/>
        <w:ind w:left="280"/>
      </w:pPr>
      <w:r>
        <w:rPr>
          <w:rFonts w:ascii="Consolas" w:hAnsi="Consolas" w:eastAsia="Consolas"/>
          <w:sz w:val="17"/>
        </w:rPr>
      </w:r>
    </w:p>
    <w:p>
      <w:pPr>
        <w:spacing w:after="0"/>
        <w:ind w:left="280"/>
      </w:pPr>
      <w:r>
        <w:rPr>
          <w:rFonts w:ascii="Consolas" w:hAnsi="Consolas" w:eastAsia="Consolas"/>
          <w:sz w:val="17"/>
        </w:rPr>
        <w:t>regressors = {</w:t>
      </w:r>
    </w:p>
    <w:p>
      <w:pPr>
        <w:spacing w:after="0"/>
        <w:ind w:left="280"/>
      </w:pPr>
      <w:r>
        <w:rPr>
          <w:rFonts w:ascii="Consolas" w:hAnsi="Consolas" w:eastAsia="Consolas"/>
          <w:sz w:val="17"/>
        </w:rPr>
        <w:t xml:space="preserve">    "linear_regression": LinearRegression(),</w:t>
      </w:r>
    </w:p>
    <w:p>
      <w:pPr>
        <w:spacing w:after="0"/>
        <w:ind w:left="280"/>
      </w:pPr>
      <w:r>
        <w:rPr>
          <w:rFonts w:ascii="Consolas" w:hAnsi="Consolas" w:eastAsia="Consolas"/>
          <w:sz w:val="17"/>
        </w:rPr>
        <w:t xml:space="preserve">    "ridge": Ridge(),</w:t>
      </w:r>
    </w:p>
    <w:p>
      <w:pPr>
        <w:spacing w:after="0"/>
        <w:ind w:left="280"/>
      </w:pPr>
      <w:r>
        <w:rPr>
          <w:rFonts w:ascii="Consolas" w:hAnsi="Consolas" w:eastAsia="Consolas"/>
          <w:sz w:val="17"/>
        </w:rPr>
        <w:t xml:space="preserve">    "random_forest": RandomForestRegressor(random_state=RANDOM_STATE),</w:t>
      </w:r>
    </w:p>
    <w:p>
      <w:pPr>
        <w:spacing w:after="0"/>
        <w:ind w:left="280"/>
      </w:pPr>
      <w:r>
        <w:rPr>
          <w:rFonts w:ascii="Consolas" w:hAnsi="Consolas" w:eastAsia="Consolas"/>
          <w:sz w:val="17"/>
        </w:rPr>
        <w:t xml:space="preserve">    "gradient_boosting": GradientBoostingRegressor(random_state=RANDOM_STATE),</w:t>
      </w:r>
    </w:p>
    <w:p>
      <w:pPr>
        <w:spacing w:after="0"/>
        <w:ind w:left="280"/>
      </w:pPr>
      <w:r>
        <w:rPr>
          <w:rFonts w:ascii="Consolas" w:hAnsi="Consolas" w:eastAsia="Consolas"/>
          <w:sz w:val="17"/>
        </w:rPr>
        <w:t>}</w:t>
      </w:r>
    </w:p>
    <w:p>
      <w:pPr>
        <w:jc w:val="center"/>
      </w:pPr>
      <w:r>
        <w:rPr>
          <w:rFonts w:ascii="宋体" w:hAnsi="宋体" w:eastAsia="宋体"/>
          <w:b/>
          <w:sz w:val="21"/>
        </w:rPr>
        <w:t>代码 9-2 聚类输入白名单示意</w:t>
      </w:r>
    </w:p>
    <w:p>
      <w:pPr>
        <w:spacing w:after="0"/>
        <w:ind w:left="280"/>
      </w:pPr>
      <w:r>
        <w:rPr>
          <w:rFonts w:ascii="Consolas" w:hAnsi="Consolas" w:eastAsia="Consolas"/>
          <w:sz w:val="17"/>
        </w:rPr>
        <w:t>CLUSTERING_FEATURES = [</w:t>
      </w:r>
    </w:p>
    <w:p>
      <w:pPr>
        <w:spacing w:after="0"/>
        <w:ind w:left="280"/>
      </w:pPr>
      <w:r>
        <w:rPr>
          <w:rFonts w:ascii="Consolas" w:hAnsi="Consolas" w:eastAsia="Consolas"/>
          <w:sz w:val="17"/>
        </w:rPr>
        <w:t xml:space="preserve">    "device_hours_per_day", "phone_unlocks", "notifications_per_day",</w:t>
      </w:r>
    </w:p>
    <w:p>
      <w:pPr>
        <w:spacing w:after="0"/>
        <w:ind w:left="280"/>
      </w:pPr>
      <w:r>
        <w:rPr>
          <w:rFonts w:ascii="Consolas" w:hAnsi="Consolas" w:eastAsia="Consolas"/>
          <w:sz w:val="17"/>
        </w:rPr>
        <w:t xml:space="preserve">    "social_media_mins", "study_mins", "physical_activity_days",</w:t>
      </w:r>
    </w:p>
    <w:p>
      <w:pPr>
        <w:spacing w:after="0"/>
        <w:ind w:left="280"/>
      </w:pPr>
      <w:r>
        <w:rPr>
          <w:rFonts w:ascii="Consolas" w:hAnsi="Consolas" w:eastAsia="Consolas"/>
          <w:sz w:val="17"/>
        </w:rPr>
        <w:t xml:space="preserve">    "sleep_hours", "sleep_quality", "social_media_hours",</w:t>
      </w:r>
    </w:p>
    <w:p>
      <w:pPr>
        <w:spacing w:after="0"/>
        <w:ind w:left="280"/>
      </w:pPr>
      <w:r>
        <w:rPr>
          <w:rFonts w:ascii="Consolas" w:hAnsi="Consolas" w:eastAsia="Consolas"/>
          <w:sz w:val="17"/>
        </w:rPr>
        <w:t xml:space="preserve">    "study_hours", "notifications_per_device_hour",</w:t>
      </w:r>
    </w:p>
    <w:p>
      <w:pPr>
        <w:spacing w:after="0"/>
        <w:ind w:left="280"/>
      </w:pPr>
      <w:r>
        <w:rPr>
          <w:rFonts w:ascii="Consolas" w:hAnsi="Consolas" w:eastAsia="Consolas"/>
          <w:sz w:val="17"/>
        </w:rPr>
        <w:t xml:space="preserve">    "unlocks_per_device_hour", "device_to_sleep_ratio",</w:t>
      </w:r>
    </w:p>
    <w:p>
      <w:pPr>
        <w:spacing w:after="0"/>
        <w:ind w:left="280"/>
      </w:pPr>
      <w:r>
        <w:rPr>
          <w:rFonts w:ascii="Consolas" w:hAnsi="Consolas" w:eastAsia="Consolas"/>
          <w:sz w:val="17"/>
        </w:rPr>
        <w:t xml:space="preserve">    "activity_sleep_interaction", "social_to_study_ratio",</w:t>
      </w:r>
    </w:p>
    <w:p>
      <w:pPr>
        <w:spacing w:after="0"/>
        <w:ind w:left="280"/>
      </w:pPr>
      <w:r>
        <w:rPr>
          <w:rFonts w:ascii="Consolas" w:hAnsi="Consolas" w:eastAsia="Consolas"/>
          <w:sz w:val="17"/>
        </w:rPr>
        <w:t>]</w:t>
      </w:r>
    </w:p>
    <w:p>
      <w:r>
        <w:br w:type="page"/>
      </w:r>
    </w:p>
    <w:p>
      <w:pPr>
        <w:pStyle w:val="Heading1"/>
        <w:jc w:val="center"/>
      </w:pPr>
      <w:r>
        <w:rPr>
          <w:rFonts w:ascii="黑体" w:hAnsi="黑体" w:eastAsia="黑体"/>
          <w:b/>
          <w:sz w:val="32"/>
        </w:rPr>
        <w:t>附录B 完整实验运行说明</w:t>
      </w:r>
    </w:p>
    <w:p>
      <w:pPr>
        <w:pStyle w:val="Heading2"/>
      </w:pPr>
      <w:r>
        <w:rPr>
          <w:rFonts w:ascii="黑体" w:hAnsi="黑体" w:eastAsia="黑体"/>
          <w:b/>
          <w:sz w:val="26"/>
        </w:rPr>
        <w:t>环境安装</w:t>
      </w:r>
    </w:p>
    <w:p>
      <w:pPr>
        <w:spacing w:line="300" w:lineRule="auto" w:after="80"/>
        <w:ind w:firstLine="420"/>
      </w:pPr>
      <w:r>
        <w:rPr>
          <w:rFonts w:ascii="宋体" w:hAnsi="宋体" w:eastAsia="宋体"/>
          <w:sz w:val="21"/>
        </w:rPr>
        <w:t>本项目使用 Python、pandas、numpy、scipy、matplotlib 和 scikit-learn，所有实验均在 CPU 环境下运行。复现时可在项目根目录执行：</w:t>
      </w:r>
    </w:p>
    <w:p>
      <w:pPr>
        <w:jc w:val="center"/>
      </w:pPr>
      <w:r>
        <w:rPr>
          <w:rFonts w:ascii="宋体" w:hAnsi="宋体" w:eastAsia="宋体"/>
          <w:b/>
          <w:sz w:val="21"/>
        </w:rPr>
        <w:t>代码 10-1 依赖安装命令</w:t>
      </w:r>
    </w:p>
    <w:p>
      <w:pPr>
        <w:spacing w:after="0"/>
        <w:ind w:left="280"/>
      </w:pPr>
      <w:r>
        <w:rPr>
          <w:rFonts w:ascii="Consolas" w:hAnsi="Consolas" w:eastAsia="Consolas"/>
          <w:sz w:val="17"/>
        </w:rPr>
        <w:t>pip install -r requirements.txt</w:t>
      </w:r>
    </w:p>
    <w:p>
      <w:pPr>
        <w:pStyle w:val="Heading2"/>
      </w:pPr>
      <w:r>
        <w:rPr>
          <w:rFonts w:ascii="黑体" w:hAnsi="黑体" w:eastAsia="黑体"/>
          <w:b/>
          <w:sz w:val="26"/>
        </w:rPr>
        <w:t>Notebook 执行顺序</w:t>
      </w:r>
    </w:p>
    <w:p>
      <w:pPr>
        <w:spacing w:line="300" w:lineRule="auto" w:after="80"/>
        <w:ind w:firstLine="420"/>
      </w:pPr>
      <w:r>
        <w:rPr>
          <w:rFonts w:ascii="宋体" w:hAnsi="宋体" w:eastAsia="宋体"/>
          <w:sz w:val="21"/>
        </w:rPr>
        <w:t>建议按以下顺序执行 notebook：</w:t>
      </w:r>
    </w:p>
    <w:p>
      <w:pPr>
        <w:pStyle w:val="ListNumber"/>
      </w:pPr>
      <w:r>
        <w:rPr>
          <w:rFonts w:ascii="宋体" w:hAnsi="宋体" w:eastAsia="宋体"/>
          <w:sz w:val="21"/>
        </w:rPr>
        <w:t>notebooks/00_dataset_selection_and_compliance.ipynb</w:t>
      </w:r>
    </w:p>
    <w:p>
      <w:pPr>
        <w:pStyle w:val="ListNumber"/>
      </w:pPr>
      <w:r>
        <w:rPr>
          <w:rFonts w:ascii="宋体" w:hAnsi="宋体" w:eastAsia="宋体"/>
          <w:sz w:val="21"/>
        </w:rPr>
        <w:t>notebooks/01_data_preprocessing_and_eda.ipynb</w:t>
      </w:r>
    </w:p>
    <w:p>
      <w:pPr>
        <w:pStyle w:val="ListNumber"/>
      </w:pPr>
      <w:r>
        <w:rPr>
          <w:rFonts w:ascii="宋体" w:hAnsi="宋体" w:eastAsia="宋体"/>
          <w:sz w:val="21"/>
        </w:rPr>
        <w:t>notebooks/02_classification_high_risk.ipynb</w:t>
      </w:r>
    </w:p>
    <w:p>
      <w:pPr>
        <w:pStyle w:val="ListNumber"/>
      </w:pPr>
      <w:r>
        <w:rPr>
          <w:rFonts w:ascii="宋体" w:hAnsi="宋体" w:eastAsia="宋体"/>
          <w:sz w:val="21"/>
        </w:rPr>
        <w:t>notebooks/03_regression_productivity.ipynb</w:t>
      </w:r>
    </w:p>
    <w:p>
      <w:pPr>
        <w:pStyle w:val="ListNumber"/>
      </w:pPr>
      <w:r>
        <w:rPr>
          <w:rFonts w:ascii="宋体" w:hAnsi="宋体" w:eastAsia="宋体"/>
          <w:sz w:val="21"/>
        </w:rPr>
        <w:t>notebooks/04_clustering_lifestyle_profiles.ipynb</w:t>
      </w:r>
    </w:p>
    <w:p>
      <w:pPr>
        <w:pStyle w:val="ListNumber"/>
      </w:pPr>
      <w:r>
        <w:rPr>
          <w:rFonts w:ascii="宋体" w:hAnsi="宋体" w:eastAsia="宋体"/>
          <w:sz w:val="21"/>
        </w:rPr>
        <w:t>notebooks/05_result_summary_for_report.ipynb</w:t>
      </w:r>
    </w:p>
    <w:p>
      <w:pPr>
        <w:pStyle w:val="Heading2"/>
      </w:pPr>
      <w:r>
        <w:rPr>
          <w:rFonts w:ascii="黑体" w:hAnsi="黑体" w:eastAsia="黑体"/>
          <w:b/>
          <w:sz w:val="26"/>
        </w:rPr>
        <w:t>关键脚本运行</w:t>
      </w:r>
    </w:p>
    <w:p>
      <w:pPr>
        <w:spacing w:line="300" w:lineRule="auto" w:after="80"/>
        <w:ind w:firstLine="420"/>
      </w:pPr>
      <w:r>
        <w:rPr>
          <w:rFonts w:ascii="宋体" w:hAnsi="宋体" w:eastAsia="宋体"/>
          <w:sz w:val="21"/>
        </w:rPr>
        <w:t>Stage 2.5 中用于补充预处理质量检查、PCA 解释方差和最终报告图表筛选清单的脚本为：</w:t>
      </w:r>
    </w:p>
    <w:p>
      <w:pPr>
        <w:jc w:val="center"/>
      </w:pPr>
      <w:r>
        <w:rPr>
          <w:rFonts w:ascii="宋体" w:hAnsi="宋体" w:eastAsia="宋体"/>
          <w:b/>
          <w:sz w:val="21"/>
        </w:rPr>
        <w:t>代码 10-2 证据增强脚本</w:t>
      </w:r>
    </w:p>
    <w:p>
      <w:pPr>
        <w:spacing w:after="0"/>
        <w:ind w:left="280"/>
      </w:pPr>
      <w:r>
        <w:rPr>
          <w:rFonts w:ascii="Consolas" w:hAnsi="Consolas" w:eastAsia="Consolas"/>
          <w:sz w:val="17"/>
        </w:rPr>
        <w:t>python scripts/stage2_5_evidence_enhancement.py</w:t>
      </w:r>
    </w:p>
    <w:p>
      <w:pPr>
        <w:pStyle w:val="Heading2"/>
      </w:pPr>
      <w:r>
        <w:rPr>
          <w:rFonts w:ascii="黑体" w:hAnsi="黑体" w:eastAsia="黑体"/>
          <w:b/>
          <w:sz w:val="26"/>
        </w:rPr>
        <w:t>Overleaf 编译方式</w:t>
      </w:r>
    </w:p>
    <w:p>
      <w:pPr>
        <w:spacing w:line="300" w:lineRule="auto" w:after="80"/>
        <w:ind w:firstLine="420"/>
      </w:pPr>
      <w:r>
        <w:rPr>
          <w:rFonts w:ascii="宋体" w:hAnsi="宋体" w:eastAsia="宋体"/>
          <w:sz w:val="21"/>
        </w:rPr>
        <w:t>最终 LaTeX 编译包位于 期末考查报告_数字生活方式分析/overleaf_final/。上传该目录到 Overleaf 后，Compiler 选择 XeLaTeX，主文档选择 main.tex。最终提交前，填写封面中的学号、姓名、学院、专业年级、Institution 和 Grade and major 后，再编译一次即可。</w:t>
      </w:r>
    </w:p>
    <w:p>
      <w:r>
        <w:br w:type="page"/>
      </w:r>
    </w:p>
    <w:p>
      <w:pPr>
        <w:pStyle w:val="Heading1"/>
        <w:jc w:val="center"/>
      </w:pPr>
      <w:r>
        <w:rPr>
          <w:rFonts w:ascii="黑体" w:hAnsi="黑体" w:eastAsia="黑体"/>
          <w:b/>
          <w:sz w:val="32"/>
        </w:rPr>
        <w:t>附录C 结果文件与图表清单</w:t>
      </w:r>
    </w:p>
    <w:p>
      <w:pPr>
        <w:pStyle w:val="Heading2"/>
      </w:pPr>
      <w:r>
        <w:rPr>
          <w:rFonts w:ascii="黑体" w:hAnsi="黑体" w:eastAsia="黑体"/>
          <w:b/>
          <w:sz w:val="26"/>
        </w:rPr>
        <w:t>结果文件说明</w:t>
      </w:r>
    </w:p>
    <w:p>
      <w:pPr>
        <w:spacing w:line="300" w:lineRule="auto" w:after="80"/>
        <w:ind w:firstLine="420"/>
      </w:pPr>
      <w:r>
        <w:rPr>
          <w:rFonts w:ascii="宋体" w:hAnsi="宋体" w:eastAsia="宋体"/>
          <w:sz w:val="21"/>
        </w:rPr>
        <w:t>项目的核心结果保存在 results/ 目录中。正文只引用精简表，完整 CSV 作为电子附录保留。</w:t>
      </w:r>
    </w:p>
    <w:p>
      <w:pPr>
        <w:pStyle w:val="ListBullet"/>
      </w:pPr>
      <w:r>
        <w:rPr>
          <w:rFonts w:ascii="宋体" w:hAnsi="宋体" w:eastAsia="宋体"/>
          <w:sz w:val="21"/>
        </w:rPr>
        <w:t>dataset_compliance_summary.csv：数据集合规性摘要。</w:t>
      </w:r>
    </w:p>
    <w:p>
      <w:pPr>
        <w:pStyle w:val="ListBullet"/>
      </w:pPr>
      <w:r>
        <w:rPr>
          <w:rFonts w:ascii="宋体" w:hAnsi="宋体" w:eastAsia="宋体"/>
          <w:sz w:val="21"/>
        </w:rPr>
        <w:t>preprocessing_quality_check.csv：预处理质量检查。</w:t>
      </w:r>
    </w:p>
    <w:p>
      <w:pPr>
        <w:pStyle w:val="ListBullet"/>
      </w:pPr>
      <w:r>
        <w:rPr>
          <w:rFonts w:ascii="宋体" w:hAnsi="宋体" w:eastAsia="宋体"/>
          <w:sz w:val="21"/>
        </w:rPr>
        <w:t>classification_cv_results.csv：分类调参完整结果。</w:t>
      </w:r>
    </w:p>
    <w:p>
      <w:pPr>
        <w:pStyle w:val="ListBullet"/>
      </w:pPr>
      <w:r>
        <w:rPr>
          <w:rFonts w:ascii="宋体" w:hAnsi="宋体" w:eastAsia="宋体"/>
          <w:sz w:val="21"/>
        </w:rPr>
        <w:t>classification_tuned_metrics.csv：分类测试集阈值策略指标。</w:t>
      </w:r>
    </w:p>
    <w:p>
      <w:pPr>
        <w:pStyle w:val="ListBullet"/>
      </w:pPr>
      <w:r>
        <w:rPr>
          <w:rFonts w:ascii="宋体" w:hAnsi="宋体" w:eastAsia="宋体"/>
          <w:sz w:val="21"/>
        </w:rPr>
        <w:t>classification_threshold_tuning.csv：验证集阈值选择结果。</w:t>
      </w:r>
    </w:p>
    <w:p>
      <w:pPr>
        <w:pStyle w:val="ListBullet"/>
      </w:pPr>
      <w:r>
        <w:rPr>
          <w:rFonts w:ascii="宋体" w:hAnsi="宋体" w:eastAsia="宋体"/>
          <w:sz w:val="21"/>
        </w:rPr>
        <w:t>regression_target_comparison.csv：两个回归目标对比。</w:t>
      </w:r>
    </w:p>
    <w:p>
      <w:pPr>
        <w:pStyle w:val="ListBullet"/>
      </w:pPr>
      <w:r>
        <w:rPr>
          <w:rFonts w:ascii="宋体" w:hAnsi="宋体" w:eastAsia="宋体"/>
          <w:sz w:val="21"/>
        </w:rPr>
        <w:t>regression_digital_dependence_metrics.csv：数字依赖回归指标。</w:t>
      </w:r>
    </w:p>
    <w:p>
      <w:pPr>
        <w:pStyle w:val="ListBullet"/>
      </w:pPr>
      <w:r>
        <w:rPr>
          <w:rFonts w:ascii="宋体" w:hAnsi="宋体" w:eastAsia="宋体"/>
          <w:sz w:val="21"/>
        </w:rPr>
        <w:t>regression_productivity_metrics.csv：生产力弱预测指标。</w:t>
      </w:r>
    </w:p>
    <w:p>
      <w:pPr>
        <w:pStyle w:val="ListBullet"/>
      </w:pPr>
      <w:r>
        <w:rPr>
          <w:rFonts w:ascii="宋体" w:hAnsi="宋体" w:eastAsia="宋体"/>
          <w:sz w:val="21"/>
        </w:rPr>
        <w:t>clustering_model_comparison.csv：聚类算法和簇数对比。</w:t>
      </w:r>
    </w:p>
    <w:p>
      <w:pPr>
        <w:pStyle w:val="ListBullet"/>
      </w:pPr>
      <w:r>
        <w:rPr>
          <w:rFonts w:ascii="宋体" w:hAnsi="宋体" w:eastAsia="宋体"/>
          <w:sz w:val="21"/>
        </w:rPr>
        <w:t>clustering_lifestyle_profiles.csv：完整聚类画像表。</w:t>
      </w:r>
    </w:p>
    <w:p>
      <w:pPr>
        <w:pStyle w:val="ListBullet"/>
      </w:pPr>
      <w:r>
        <w:rPr>
          <w:rFonts w:ascii="宋体" w:hAnsi="宋体" w:eastAsia="宋体"/>
          <w:sz w:val="21"/>
        </w:rPr>
        <w:t>pca_explained_variance.csv：PCA 解释方差表。</w:t>
      </w:r>
    </w:p>
    <w:p>
      <w:pPr>
        <w:pStyle w:val="Heading2"/>
      </w:pPr>
      <w:r>
        <w:rPr>
          <w:rFonts w:ascii="黑体" w:hAnsi="黑体" w:eastAsia="黑体"/>
          <w:b/>
          <w:sz w:val="26"/>
        </w:rPr>
        <w:t>图表文件说明</w:t>
      </w:r>
    </w:p>
    <w:p>
      <w:pPr>
        <w:spacing w:line="300" w:lineRule="auto" w:after="80"/>
        <w:ind w:firstLine="420"/>
      </w:pPr>
      <w:r>
        <w:rPr>
          <w:rFonts w:ascii="宋体" w:hAnsi="宋体" w:eastAsia="宋体"/>
          <w:sz w:val="21"/>
        </w:rPr>
        <w:t>主要图表保存在 figures/ 目录中，包括 EDA 图、分类评估图、回归评估图、聚类图和 PCA 图。最终报告引用的图片已复制到 overleaf_final/figures/，用于 Overleaf 自包含编译。</w:t>
      </w:r>
    </w:p>
    <w:p>
      <w:pPr>
        <w:pStyle w:val="Heading2"/>
      </w:pPr>
      <w:r>
        <w:rPr>
          <w:rFonts w:ascii="黑体" w:hAnsi="黑体" w:eastAsia="黑体"/>
          <w:b/>
          <w:sz w:val="26"/>
        </w:rPr>
        <w:t>补充图表</w:t>
      </w:r>
    </w:p>
    <w:p>
      <w:pPr>
        <w:spacing w:line="300" w:lineRule="auto" w:after="80"/>
        <w:ind w:firstLine="420"/>
      </w:pPr>
      <w:r>
        <w:rPr>
          <w:rFonts w:ascii="宋体" w:hAnsi="宋体" w:eastAsia="宋体"/>
          <w:sz w:val="21"/>
        </w:rPr>
        <w:t>图 fig:appendix-productivity-prediction 展示生产力得分真实值与预测值对比，作为弱预测结果的补充证据。图 fig:appendix-classification-importance 展示分类任务置换重要性，用于辅助理解分类模型主要依赖的输入变量。</w:t>
      </w:r>
    </w:p>
    <w:p>
      <w:pPr>
        <w:jc w:val="center"/>
      </w:pPr>
      <w:r>
        <w:drawing>
          <wp:inline xmlns:a="http://schemas.openxmlformats.org/drawingml/2006/main" xmlns:pic="http://schemas.openxmlformats.org/drawingml/2006/picture">
            <wp:extent cx="5166360" cy="5166360"/>
            <wp:docPr id="19" name="Picture 19"/>
            <wp:cNvGraphicFramePr>
              <a:graphicFrameLocks noChangeAspect="1"/>
            </wp:cNvGraphicFramePr>
            <a:graphic>
              <a:graphicData uri="http://schemas.openxmlformats.org/drawingml/2006/picture">
                <pic:pic>
                  <pic:nvPicPr>
                    <pic:cNvPr id="0" name="regression_productivity_observed_vs_predicted.png"/>
                    <pic:cNvPicPr/>
                  </pic:nvPicPr>
                  <pic:blipFill>
                    <a:blip r:embed="rId28"/>
                    <a:stretch>
                      <a:fillRect/>
                    </a:stretch>
                  </pic:blipFill>
                  <pic:spPr>
                    <a:xfrm>
                      <a:off x="0" y="0"/>
                      <a:ext cx="5166360" cy="5166360"/>
                    </a:xfrm>
                    <a:prstGeom prst="rect"/>
                  </pic:spPr>
                </pic:pic>
              </a:graphicData>
            </a:graphic>
          </wp:inline>
        </w:drawing>
      </w:r>
    </w:p>
    <w:p>
      <w:pPr>
        <w:jc w:val="center"/>
      </w:pPr>
      <w:r>
        <w:rPr>
          <w:rFonts w:ascii="宋体" w:hAnsi="宋体" w:eastAsia="宋体"/>
          <w:b/>
          <w:sz w:val="21"/>
        </w:rPr>
        <w:t>图 11-1 生产力得分真实值与预测值对比</w:t>
      </w:r>
    </w:p>
    <w:p>
      <w:pPr>
        <w:jc w:val="center"/>
      </w:pPr>
      <w:r>
        <w:drawing>
          <wp:inline xmlns:a="http://schemas.openxmlformats.org/drawingml/2006/main" xmlns:pic="http://schemas.openxmlformats.org/drawingml/2006/picture">
            <wp:extent cx="5166360" cy="3858421"/>
            <wp:docPr id="20" name="Picture 20"/>
            <wp:cNvGraphicFramePr>
              <a:graphicFrameLocks noChangeAspect="1"/>
            </wp:cNvGraphicFramePr>
            <a:graphic>
              <a:graphicData uri="http://schemas.openxmlformats.org/drawingml/2006/picture">
                <pic:pic>
                  <pic:nvPicPr>
                    <pic:cNvPr id="0" name="classification_permutation_importance.png"/>
                    <pic:cNvPicPr/>
                  </pic:nvPicPr>
                  <pic:blipFill>
                    <a:blip r:embed="rId29"/>
                    <a:stretch>
                      <a:fillRect/>
                    </a:stretch>
                  </pic:blipFill>
                  <pic:spPr>
                    <a:xfrm>
                      <a:off x="0" y="0"/>
                      <a:ext cx="5166360" cy="3858421"/>
                    </a:xfrm>
                    <a:prstGeom prst="rect"/>
                  </pic:spPr>
                </pic:pic>
              </a:graphicData>
            </a:graphic>
          </wp:inline>
        </w:drawing>
      </w:r>
    </w:p>
    <w:p>
      <w:pPr>
        <w:jc w:val="center"/>
      </w:pPr>
      <w:r>
        <w:rPr>
          <w:rFonts w:ascii="宋体" w:hAnsi="宋体" w:eastAsia="宋体"/>
          <w:b/>
          <w:sz w:val="21"/>
        </w:rPr>
        <w:t>图 11-2 分类任务置换重要性</w:t>
      </w:r>
    </w:p>
    <w:p>
      <w:pPr>
        <w:pStyle w:val="Heading2"/>
      </w:pPr>
      <w:r>
        <w:rPr>
          <w:rFonts w:ascii="黑体" w:hAnsi="黑体" w:eastAsia="黑体"/>
          <w:b/>
          <w:sz w:val="26"/>
        </w:rPr>
        <w:t>PCA 解释方差表</w:t>
      </w:r>
    </w:p>
    <w:p>
      <w:pPr>
        <w:spacing w:line="300" w:lineRule="auto" w:after="80"/>
        <w:ind w:firstLine="420"/>
      </w:pPr>
      <w:r>
        <w:rPr>
          <w:rFonts w:ascii="宋体" w:hAnsi="宋体" w:eastAsia="宋体"/>
          <w:sz w:val="21"/>
        </w:rPr>
        <w:t>表 tab:pca-explained-variance 列出前 10 个主成分的解释方差比例。PCA 仅用于聚类可视化和辅助理解，不作为分类或回归模型输入。</w:t>
      </w:r>
    </w:p>
    <w:p>
      <w:pPr>
        <w:jc w:val="center"/>
      </w:pPr>
      <w:r>
        <w:rPr>
          <w:rFonts w:ascii="宋体" w:hAnsi="宋体" w:eastAsia="宋体"/>
          <w:b/>
          <w:sz w:val="21"/>
        </w:rPr>
        <w:t>表 11-1 PCA 解释方差附录表（前 10 个主成分）</w:t>
      </w:r>
    </w:p>
    <w:tbl>
      <w:tblPr>
        <w:tblW w:type="auto" w:w="0"/>
        <w:jc w:val="center"/>
        <w:tblLayout w:type="autofit"/>
        <w:tblLook w:firstColumn="1" w:firstRow="1" w:lastColumn="0" w:lastRow="0" w:noHBand="0" w:noVBand="1" w:val="04A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86"/>
        <w:gridCol w:w="2986"/>
        <w:gridCol w:w="2986"/>
      </w:tblGrid>
      <w:tr>
        <w:tc>
          <w:tcPr>
            <w:tcW w:type="dxa" w:w="2986"/>
            <w:vAlign w:val="center"/>
            <w:shd w:fill="EAF2F8"/>
          </w:tcPr>
          <w:p>
            <w:pPr>
              <w:spacing w:after="0"/>
              <w:jc w:val="center"/>
            </w:pPr>
            <w:r/>
            <w:r>
              <w:rPr>
                <w:rFonts w:ascii="宋体" w:hAnsi="宋体" w:eastAsia="宋体"/>
                <w:b/>
                <w:sz w:val="19"/>
              </w:rPr>
              <w:t>主成分</w:t>
            </w:r>
          </w:p>
        </w:tc>
        <w:tc>
          <w:tcPr>
            <w:tcW w:type="dxa" w:w="2986"/>
            <w:vAlign w:val="center"/>
            <w:shd w:fill="EAF2F8"/>
          </w:tcPr>
          <w:p>
            <w:pPr>
              <w:spacing w:after="0"/>
              <w:jc w:val="center"/>
            </w:pPr>
            <w:r/>
            <w:r>
              <w:rPr>
                <w:rFonts w:ascii="宋体" w:hAnsi="宋体" w:eastAsia="宋体"/>
                <w:b/>
                <w:sz w:val="19"/>
              </w:rPr>
              <w:t>解释方差比例</w:t>
            </w:r>
          </w:p>
        </w:tc>
        <w:tc>
          <w:tcPr>
            <w:tcW w:type="dxa" w:w="2986"/>
            <w:vAlign w:val="center"/>
            <w:shd w:fill="EAF2F8"/>
          </w:tcPr>
          <w:p>
            <w:pPr>
              <w:spacing w:after="0"/>
              <w:jc w:val="center"/>
            </w:pPr>
            <w:r/>
            <w:r>
              <w:rPr>
                <w:rFonts w:ascii="宋体" w:hAnsi="宋体" w:eastAsia="宋体"/>
                <w:b/>
                <w:sz w:val="19"/>
              </w:rPr>
              <w:t>累计解释方差</w:t>
            </w:r>
          </w:p>
        </w:tc>
      </w:tr>
      <w:tr>
        <w:tc>
          <w:tcPr>
            <w:tcW w:type="dxa" w:w="2986"/>
            <w:vAlign w:val="center"/>
          </w:tcPr>
          <w:p>
            <w:pPr>
              <w:spacing w:after="0"/>
              <w:jc w:val="center"/>
            </w:pPr>
            <w:r/>
            <w:r>
              <w:rPr>
                <w:rFonts w:ascii="宋体" w:hAnsi="宋体" w:eastAsia="宋体"/>
                <w:b w:val="0"/>
                <w:sz w:val="19"/>
              </w:rPr>
              <w:t>PC1</w:t>
            </w:r>
          </w:p>
        </w:tc>
        <w:tc>
          <w:tcPr>
            <w:tcW w:type="dxa" w:w="2986"/>
            <w:vAlign w:val="center"/>
          </w:tcPr>
          <w:p>
            <w:pPr>
              <w:spacing w:after="0"/>
              <w:jc w:val="center"/>
            </w:pPr>
            <w:r/>
            <w:r>
              <w:rPr>
                <w:rFonts w:ascii="宋体" w:hAnsi="宋体" w:eastAsia="宋体"/>
                <w:b w:val="0"/>
                <w:sz w:val="19"/>
              </w:rPr>
              <w:t>0.2694</w:t>
            </w:r>
          </w:p>
        </w:tc>
        <w:tc>
          <w:tcPr>
            <w:tcW w:type="dxa" w:w="2986"/>
            <w:vAlign w:val="center"/>
          </w:tcPr>
          <w:p>
            <w:pPr>
              <w:spacing w:after="0"/>
              <w:jc w:val="center"/>
            </w:pPr>
            <w:r/>
            <w:r>
              <w:rPr>
                <w:rFonts w:ascii="宋体" w:hAnsi="宋体" w:eastAsia="宋体"/>
                <w:b w:val="0"/>
                <w:sz w:val="19"/>
              </w:rPr>
              <w:t>0.2694</w:t>
            </w:r>
          </w:p>
        </w:tc>
      </w:tr>
      <w:tr>
        <w:tc>
          <w:tcPr>
            <w:tcW w:type="dxa" w:w="2986"/>
            <w:vAlign w:val="center"/>
          </w:tcPr>
          <w:p>
            <w:pPr>
              <w:spacing w:after="0"/>
              <w:jc w:val="center"/>
            </w:pPr>
            <w:r/>
            <w:r>
              <w:rPr>
                <w:rFonts w:ascii="宋体" w:hAnsi="宋体" w:eastAsia="宋体"/>
                <w:b w:val="0"/>
                <w:sz w:val="19"/>
              </w:rPr>
              <w:t>PC2</w:t>
            </w:r>
          </w:p>
        </w:tc>
        <w:tc>
          <w:tcPr>
            <w:tcW w:type="dxa" w:w="2986"/>
            <w:vAlign w:val="center"/>
          </w:tcPr>
          <w:p>
            <w:pPr>
              <w:spacing w:after="0"/>
              <w:jc w:val="center"/>
            </w:pPr>
            <w:r/>
            <w:r>
              <w:rPr>
                <w:rFonts w:ascii="宋体" w:hAnsi="宋体" w:eastAsia="宋体"/>
                <w:b w:val="0"/>
                <w:sz w:val="19"/>
              </w:rPr>
              <w:t>0.1547</w:t>
            </w:r>
          </w:p>
        </w:tc>
        <w:tc>
          <w:tcPr>
            <w:tcW w:type="dxa" w:w="2986"/>
            <w:vAlign w:val="center"/>
          </w:tcPr>
          <w:p>
            <w:pPr>
              <w:spacing w:after="0"/>
              <w:jc w:val="center"/>
            </w:pPr>
            <w:r/>
            <w:r>
              <w:rPr>
                <w:rFonts w:ascii="宋体" w:hAnsi="宋体" w:eastAsia="宋体"/>
                <w:b w:val="0"/>
                <w:sz w:val="19"/>
              </w:rPr>
              <w:t>0.4241</w:t>
            </w:r>
          </w:p>
        </w:tc>
      </w:tr>
      <w:tr>
        <w:tc>
          <w:tcPr>
            <w:tcW w:type="dxa" w:w="2986"/>
            <w:vAlign w:val="center"/>
          </w:tcPr>
          <w:p>
            <w:pPr>
              <w:spacing w:after="0"/>
              <w:jc w:val="center"/>
            </w:pPr>
            <w:r/>
            <w:r>
              <w:rPr>
                <w:rFonts w:ascii="宋体" w:hAnsi="宋体" w:eastAsia="宋体"/>
                <w:b w:val="0"/>
                <w:sz w:val="19"/>
              </w:rPr>
              <w:t>PC3</w:t>
            </w:r>
          </w:p>
        </w:tc>
        <w:tc>
          <w:tcPr>
            <w:tcW w:type="dxa" w:w="2986"/>
            <w:vAlign w:val="center"/>
          </w:tcPr>
          <w:p>
            <w:pPr>
              <w:spacing w:after="0"/>
              <w:jc w:val="center"/>
            </w:pPr>
            <w:r/>
            <w:r>
              <w:rPr>
                <w:rFonts w:ascii="宋体" w:hAnsi="宋体" w:eastAsia="宋体"/>
                <w:b w:val="0"/>
                <w:sz w:val="19"/>
              </w:rPr>
              <w:t>0.1366</w:t>
            </w:r>
          </w:p>
        </w:tc>
        <w:tc>
          <w:tcPr>
            <w:tcW w:type="dxa" w:w="2986"/>
            <w:vAlign w:val="center"/>
          </w:tcPr>
          <w:p>
            <w:pPr>
              <w:spacing w:after="0"/>
              <w:jc w:val="center"/>
            </w:pPr>
            <w:r/>
            <w:r>
              <w:rPr>
                <w:rFonts w:ascii="宋体" w:hAnsi="宋体" w:eastAsia="宋体"/>
                <w:b w:val="0"/>
                <w:sz w:val="19"/>
              </w:rPr>
              <w:t>0.5607</w:t>
            </w:r>
          </w:p>
        </w:tc>
      </w:tr>
      <w:tr>
        <w:tc>
          <w:tcPr>
            <w:tcW w:type="dxa" w:w="2986"/>
            <w:vAlign w:val="center"/>
          </w:tcPr>
          <w:p>
            <w:pPr>
              <w:spacing w:after="0"/>
              <w:jc w:val="center"/>
            </w:pPr>
            <w:r/>
            <w:r>
              <w:rPr>
                <w:rFonts w:ascii="宋体" w:hAnsi="宋体" w:eastAsia="宋体"/>
                <w:b w:val="0"/>
                <w:sz w:val="19"/>
              </w:rPr>
              <w:t>PC4</w:t>
            </w:r>
          </w:p>
        </w:tc>
        <w:tc>
          <w:tcPr>
            <w:tcW w:type="dxa" w:w="2986"/>
            <w:vAlign w:val="center"/>
          </w:tcPr>
          <w:p>
            <w:pPr>
              <w:spacing w:after="0"/>
              <w:jc w:val="center"/>
            </w:pPr>
            <w:r/>
            <w:r>
              <w:rPr>
                <w:rFonts w:ascii="宋体" w:hAnsi="宋体" w:eastAsia="宋体"/>
                <w:b w:val="0"/>
                <w:sz w:val="19"/>
              </w:rPr>
              <w:t>0.1258</w:t>
            </w:r>
          </w:p>
        </w:tc>
        <w:tc>
          <w:tcPr>
            <w:tcW w:type="dxa" w:w="2986"/>
            <w:vAlign w:val="center"/>
          </w:tcPr>
          <w:p>
            <w:pPr>
              <w:spacing w:after="0"/>
              <w:jc w:val="center"/>
            </w:pPr>
            <w:r/>
            <w:r>
              <w:rPr>
                <w:rFonts w:ascii="宋体" w:hAnsi="宋体" w:eastAsia="宋体"/>
                <w:b w:val="0"/>
                <w:sz w:val="19"/>
              </w:rPr>
              <w:t>0.6865</w:t>
            </w:r>
          </w:p>
        </w:tc>
      </w:tr>
      <w:tr>
        <w:tc>
          <w:tcPr>
            <w:tcW w:type="dxa" w:w="2986"/>
            <w:vAlign w:val="center"/>
          </w:tcPr>
          <w:p>
            <w:pPr>
              <w:spacing w:after="0"/>
              <w:jc w:val="center"/>
            </w:pPr>
            <w:r/>
            <w:r>
              <w:rPr>
                <w:rFonts w:ascii="宋体" w:hAnsi="宋体" w:eastAsia="宋体"/>
                <w:b w:val="0"/>
                <w:sz w:val="19"/>
              </w:rPr>
              <w:t>PC5</w:t>
            </w:r>
          </w:p>
        </w:tc>
        <w:tc>
          <w:tcPr>
            <w:tcW w:type="dxa" w:w="2986"/>
            <w:vAlign w:val="center"/>
          </w:tcPr>
          <w:p>
            <w:pPr>
              <w:spacing w:after="0"/>
              <w:jc w:val="center"/>
            </w:pPr>
            <w:r/>
            <w:r>
              <w:rPr>
                <w:rFonts w:ascii="宋体" w:hAnsi="宋体" w:eastAsia="宋体"/>
                <w:b w:val="0"/>
                <w:sz w:val="19"/>
              </w:rPr>
              <w:t>0.1030</w:t>
            </w:r>
          </w:p>
        </w:tc>
        <w:tc>
          <w:tcPr>
            <w:tcW w:type="dxa" w:w="2986"/>
            <w:vAlign w:val="center"/>
          </w:tcPr>
          <w:p>
            <w:pPr>
              <w:spacing w:after="0"/>
              <w:jc w:val="center"/>
            </w:pPr>
            <w:r/>
            <w:r>
              <w:rPr>
                <w:rFonts w:ascii="宋体" w:hAnsi="宋体" w:eastAsia="宋体"/>
                <w:b w:val="0"/>
                <w:sz w:val="19"/>
              </w:rPr>
              <w:t>0.7895</w:t>
            </w:r>
          </w:p>
        </w:tc>
      </w:tr>
      <w:tr>
        <w:tc>
          <w:tcPr>
            <w:tcW w:type="dxa" w:w="2986"/>
            <w:vAlign w:val="center"/>
          </w:tcPr>
          <w:p>
            <w:pPr>
              <w:spacing w:after="0"/>
              <w:jc w:val="center"/>
            </w:pPr>
            <w:r/>
            <w:r>
              <w:rPr>
                <w:rFonts w:ascii="宋体" w:hAnsi="宋体" w:eastAsia="宋体"/>
                <w:b w:val="0"/>
                <w:sz w:val="19"/>
              </w:rPr>
              <w:t>PC6</w:t>
            </w:r>
          </w:p>
        </w:tc>
        <w:tc>
          <w:tcPr>
            <w:tcW w:type="dxa" w:w="2986"/>
            <w:vAlign w:val="center"/>
          </w:tcPr>
          <w:p>
            <w:pPr>
              <w:spacing w:after="0"/>
              <w:jc w:val="center"/>
            </w:pPr>
            <w:r/>
            <w:r>
              <w:rPr>
                <w:rFonts w:ascii="宋体" w:hAnsi="宋体" w:eastAsia="宋体"/>
                <w:b w:val="0"/>
                <w:sz w:val="19"/>
              </w:rPr>
              <w:t>0.0759</w:t>
            </w:r>
          </w:p>
        </w:tc>
        <w:tc>
          <w:tcPr>
            <w:tcW w:type="dxa" w:w="2986"/>
            <w:vAlign w:val="center"/>
          </w:tcPr>
          <w:p>
            <w:pPr>
              <w:spacing w:after="0"/>
              <w:jc w:val="center"/>
            </w:pPr>
            <w:r/>
            <w:r>
              <w:rPr>
                <w:rFonts w:ascii="宋体" w:hAnsi="宋体" w:eastAsia="宋体"/>
                <w:b w:val="0"/>
                <w:sz w:val="19"/>
              </w:rPr>
              <w:t>0.8654</w:t>
            </w:r>
          </w:p>
        </w:tc>
      </w:tr>
      <w:tr>
        <w:tc>
          <w:tcPr>
            <w:tcW w:type="dxa" w:w="2986"/>
            <w:vAlign w:val="center"/>
          </w:tcPr>
          <w:p>
            <w:pPr>
              <w:spacing w:after="0"/>
              <w:jc w:val="center"/>
            </w:pPr>
            <w:r/>
            <w:r>
              <w:rPr>
                <w:rFonts w:ascii="宋体" w:hAnsi="宋体" w:eastAsia="宋体"/>
                <w:b w:val="0"/>
                <w:sz w:val="19"/>
              </w:rPr>
              <w:t>PC7</w:t>
            </w:r>
          </w:p>
        </w:tc>
        <w:tc>
          <w:tcPr>
            <w:tcW w:type="dxa" w:w="2986"/>
            <w:vAlign w:val="center"/>
          </w:tcPr>
          <w:p>
            <w:pPr>
              <w:spacing w:after="0"/>
              <w:jc w:val="center"/>
            </w:pPr>
            <w:r/>
            <w:r>
              <w:rPr>
                <w:rFonts w:ascii="宋体" w:hAnsi="宋体" w:eastAsia="宋体"/>
                <w:b w:val="0"/>
                <w:sz w:val="19"/>
              </w:rPr>
              <w:t>0.0430</w:t>
            </w:r>
          </w:p>
        </w:tc>
        <w:tc>
          <w:tcPr>
            <w:tcW w:type="dxa" w:w="2986"/>
            <w:vAlign w:val="center"/>
          </w:tcPr>
          <w:p>
            <w:pPr>
              <w:spacing w:after="0"/>
              <w:jc w:val="center"/>
            </w:pPr>
            <w:r/>
            <w:r>
              <w:rPr>
                <w:rFonts w:ascii="宋体" w:hAnsi="宋体" w:eastAsia="宋体"/>
                <w:b w:val="0"/>
                <w:sz w:val="19"/>
              </w:rPr>
              <w:t>0.9084</w:t>
            </w:r>
          </w:p>
        </w:tc>
      </w:tr>
      <w:tr>
        <w:tc>
          <w:tcPr>
            <w:tcW w:type="dxa" w:w="2986"/>
            <w:vAlign w:val="center"/>
          </w:tcPr>
          <w:p>
            <w:pPr>
              <w:spacing w:after="0"/>
              <w:jc w:val="center"/>
            </w:pPr>
            <w:r/>
            <w:r>
              <w:rPr>
                <w:rFonts w:ascii="宋体" w:hAnsi="宋体" w:eastAsia="宋体"/>
                <w:b w:val="0"/>
                <w:sz w:val="19"/>
              </w:rPr>
              <w:t>PC8</w:t>
            </w:r>
          </w:p>
        </w:tc>
        <w:tc>
          <w:tcPr>
            <w:tcW w:type="dxa" w:w="2986"/>
            <w:vAlign w:val="center"/>
          </w:tcPr>
          <w:p>
            <w:pPr>
              <w:spacing w:after="0"/>
              <w:jc w:val="center"/>
            </w:pPr>
            <w:r/>
            <w:r>
              <w:rPr>
                <w:rFonts w:ascii="宋体" w:hAnsi="宋体" w:eastAsia="宋体"/>
                <w:b w:val="0"/>
                <w:sz w:val="19"/>
              </w:rPr>
              <w:t>0.0425</w:t>
            </w:r>
          </w:p>
        </w:tc>
        <w:tc>
          <w:tcPr>
            <w:tcW w:type="dxa" w:w="2986"/>
            <w:vAlign w:val="center"/>
          </w:tcPr>
          <w:p>
            <w:pPr>
              <w:spacing w:after="0"/>
              <w:jc w:val="center"/>
            </w:pPr>
            <w:r/>
            <w:r>
              <w:rPr>
                <w:rFonts w:ascii="宋体" w:hAnsi="宋体" w:eastAsia="宋体"/>
                <w:b w:val="0"/>
                <w:sz w:val="19"/>
              </w:rPr>
              <w:t>0.9509</w:t>
            </w:r>
          </w:p>
        </w:tc>
      </w:tr>
      <w:tr>
        <w:tc>
          <w:tcPr>
            <w:tcW w:type="dxa" w:w="2986"/>
            <w:vAlign w:val="center"/>
          </w:tcPr>
          <w:p>
            <w:pPr>
              <w:spacing w:after="0"/>
              <w:jc w:val="center"/>
            </w:pPr>
            <w:r/>
            <w:r>
              <w:rPr>
                <w:rFonts w:ascii="宋体" w:hAnsi="宋体" w:eastAsia="宋体"/>
                <w:b w:val="0"/>
                <w:sz w:val="19"/>
              </w:rPr>
              <w:t>PC9</w:t>
            </w:r>
          </w:p>
        </w:tc>
        <w:tc>
          <w:tcPr>
            <w:tcW w:type="dxa" w:w="2986"/>
            <w:vAlign w:val="center"/>
          </w:tcPr>
          <w:p>
            <w:pPr>
              <w:spacing w:after="0"/>
              <w:jc w:val="center"/>
            </w:pPr>
            <w:r/>
            <w:r>
              <w:rPr>
                <w:rFonts w:ascii="宋体" w:hAnsi="宋体" w:eastAsia="宋体"/>
                <w:b w:val="0"/>
                <w:sz w:val="19"/>
              </w:rPr>
              <w:t>0.0274</w:t>
            </w:r>
          </w:p>
        </w:tc>
        <w:tc>
          <w:tcPr>
            <w:tcW w:type="dxa" w:w="2986"/>
            <w:vAlign w:val="center"/>
          </w:tcPr>
          <w:p>
            <w:pPr>
              <w:spacing w:after="0"/>
              <w:jc w:val="center"/>
            </w:pPr>
            <w:r/>
            <w:r>
              <w:rPr>
                <w:rFonts w:ascii="宋体" w:hAnsi="宋体" w:eastAsia="宋体"/>
                <w:b w:val="0"/>
                <w:sz w:val="19"/>
              </w:rPr>
              <w:t>0.9783</w:t>
            </w:r>
          </w:p>
        </w:tc>
      </w:tr>
      <w:tr>
        <w:tc>
          <w:tcPr>
            <w:tcW w:type="dxa" w:w="2986"/>
            <w:vAlign w:val="center"/>
          </w:tcPr>
          <w:p>
            <w:pPr>
              <w:spacing w:after="0"/>
              <w:jc w:val="center"/>
            </w:pPr>
            <w:r/>
            <w:r>
              <w:rPr>
                <w:rFonts w:ascii="宋体" w:hAnsi="宋体" w:eastAsia="宋体"/>
                <w:b w:val="0"/>
                <w:sz w:val="19"/>
              </w:rPr>
              <w:t>PC10</w:t>
            </w:r>
          </w:p>
        </w:tc>
        <w:tc>
          <w:tcPr>
            <w:tcW w:type="dxa" w:w="2986"/>
            <w:vAlign w:val="center"/>
          </w:tcPr>
          <w:p>
            <w:pPr>
              <w:spacing w:after="0"/>
              <w:jc w:val="center"/>
            </w:pPr>
            <w:r/>
            <w:r>
              <w:rPr>
                <w:rFonts w:ascii="宋体" w:hAnsi="宋体" w:eastAsia="宋体"/>
                <w:b w:val="0"/>
                <w:sz w:val="19"/>
              </w:rPr>
              <w:t>0.0152</w:t>
            </w:r>
          </w:p>
        </w:tc>
        <w:tc>
          <w:tcPr>
            <w:tcW w:type="dxa" w:w="2986"/>
            <w:vAlign w:val="center"/>
          </w:tcPr>
          <w:p>
            <w:pPr>
              <w:spacing w:after="0"/>
              <w:jc w:val="center"/>
            </w:pPr>
            <w:r/>
            <w:r>
              <w:rPr>
                <w:rFonts w:ascii="宋体" w:hAnsi="宋体" w:eastAsia="宋体"/>
                <w:b w:val="0"/>
                <w:sz w:val="19"/>
              </w:rPr>
              <w:t>0.9935</w:t>
            </w:r>
          </w:p>
        </w:tc>
      </w:tr>
    </w:tbl>
    <w:p/>
    <w:p>
      <w:r>
        <w:br w:type="page"/>
      </w:r>
    </w:p>
    <w:p>
      <w:pPr>
        <w:pStyle w:val="Heading1"/>
        <w:jc w:val="center"/>
      </w:pPr>
      <w:r>
        <w:rPr>
          <w:rFonts w:ascii="黑体" w:hAnsi="黑体" w:eastAsia="黑体"/>
          <w:b/>
          <w:sz w:val="32"/>
        </w:rPr>
        <w:t>附录D 个人完成情况与独立性说明</w:t>
      </w:r>
    </w:p>
    <w:p>
      <w:pPr>
        <w:spacing w:line="300" w:lineRule="auto" w:after="80"/>
        <w:ind w:firstLine="420"/>
      </w:pPr>
      <w:r>
        <w:rPr>
          <w:rFonts w:ascii="宋体" w:hAnsi="宋体" w:eastAsia="宋体"/>
          <w:sz w:val="21"/>
        </w:rPr>
        <w:t>本报告由本人独立完成，旧实验三、实验四仅用于参考数据分析流程和报告组织经验。最终选题、数据集、任务设计、图表、建模过程与结论均围绕 2025 Digital Lifestyle Benchmark Dataset 重新设计，未复制旧实验报告。</w:t>
      </w:r>
    </w:p>
    <w:p>
      <w:pPr>
        <w:spacing w:line="300" w:lineRule="auto" w:after="80"/>
        <w:ind w:firstLine="420"/>
      </w:pPr>
      <w:r>
        <w:rPr>
          <w:rFonts w:ascii="宋体" w:hAnsi="宋体" w:eastAsia="宋体"/>
          <w:sz w:val="21"/>
        </w:rPr>
        <w:t>个人完成工作包括：</w:t>
      </w:r>
    </w:p>
    <w:p>
      <w:pPr>
        <w:pStyle w:val="ListBullet"/>
      </w:pPr>
      <w:r>
        <w:rPr>
          <w:rFonts w:ascii="宋体" w:hAnsi="宋体" w:eastAsia="宋体"/>
          <w:sz w:val="21"/>
        </w:rPr>
        <w:t>自主筛选并确定最终数据集，完成与课程数据集要求的逐项对照。</w:t>
      </w:r>
    </w:p>
    <w:p>
      <w:pPr>
        <w:pStyle w:val="ListBullet"/>
      </w:pPr>
      <w:r>
        <w:rPr>
          <w:rFonts w:ascii="宋体" w:hAnsi="宋体" w:eastAsia="宋体"/>
          <w:sz w:val="21"/>
        </w:rPr>
        <w:t>设计数字生活方式高风险识别、数字依赖预测和用户画像分析主题。</w:t>
      </w:r>
    </w:p>
    <w:p>
      <w:pPr>
        <w:pStyle w:val="ListBullet"/>
      </w:pPr>
      <w:r>
        <w:rPr>
          <w:rFonts w:ascii="宋体" w:hAnsi="宋体" w:eastAsia="宋体"/>
          <w:sz w:val="21"/>
        </w:rPr>
        <w:t>完成数据读取、字段检查、缺失值检查、重复值检查、合理范围检查和工程特征生成。</w:t>
      </w:r>
    </w:p>
    <w:p>
      <w:pPr>
        <w:pStyle w:val="ListBullet"/>
      </w:pPr>
      <w:r>
        <w:rPr>
          <w:rFonts w:ascii="宋体" w:hAnsi="宋体" w:eastAsia="宋体"/>
          <w:sz w:val="21"/>
        </w:rPr>
        <w:t>完成 EDA 图表绘制，包括目标变量分布、数值变量分布、相关性热力图、风险组差异、类别风险率和行为变量关系图。</w:t>
      </w:r>
    </w:p>
    <w:p>
      <w:pPr>
        <w:pStyle w:val="ListBullet"/>
      </w:pPr>
      <w:r>
        <w:rPr>
          <w:rFonts w:ascii="宋体" w:hAnsi="宋体" w:eastAsia="宋体"/>
          <w:sz w:val="21"/>
        </w:rPr>
        <w:t>完成分类、回归和聚类三类机器学习任务，并进行调参、阈值选择和模型评估。</w:t>
      </w:r>
    </w:p>
    <w:p>
      <w:pPr>
        <w:pStyle w:val="ListBullet"/>
      </w:pPr>
      <w:r>
        <w:rPr>
          <w:rFonts w:ascii="宋体" w:hAnsi="宋体" w:eastAsia="宋体"/>
          <w:sz w:val="21"/>
        </w:rPr>
        <w:t>整理 results、figures、tables 和 overleaf_final，完成 LaTeX 报告撰写与最终 PDF 编译。</w:t>
      </w:r>
    </w:p>
    <w:p>
      <w:pPr>
        <w:spacing w:line="300" w:lineRule="auto" w:after="80"/>
        <w:ind w:firstLine="420"/>
      </w:pPr>
      <w:r>
        <w:rPr>
          <w:rFonts w:ascii="宋体" w:hAnsi="宋体" w:eastAsia="宋体"/>
          <w:sz w:val="21"/>
        </w:rPr>
        <w:t>报告中所有核心指标均来自已运行生成的结果文件。对于 productivity_score 弱预测和聚类 Silhouette 较低等不利结果，本文如实报告，没有将其写成强结论。</w:t>
      </w:r>
    </w:p>
    <w:sectPr>
      <w:headerReference r:id="rId3" w:type="default"/>
      <w:footerReference r:id="rId4" w:type="default"/>
      <w:pgSz w:w="11906" w:h="16838"/>
      <w:pgMar w:top="1474" w:right="1474" w:bottom="1361" w:left="1474" w:header="794" w:footer="510" w:gutter="0"/>
      <w:pgBorders>
        <w:top w:val="single" w:color="auto" w:sz="4" w:space="1"/>
        <w:left w:val="single" w:color="auto" w:sz="4" w:space="4"/>
        <w:bottom w:val="single" w:color="auto" w:sz="4" w:space="1"/>
        <w:right w:val="single" w:color="auto" w:sz="4" w:space="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8ED13">
    <w:pPr>
      <w:pStyle w:val="2"/>
      <w:rPr>
        <w:rFonts w:hint="eastAsia"/>
      </w:rPr>
    </w:pPr>
  </w:p>
  <w:p w14:paraId="5085E763">
    <w:pPr>
      <w:pStyle w:val="2"/>
      <w:rPr>
        <w:rFonts w:hint="eastAsia"/>
        <w:b/>
        <w:bCs/>
      </w:rPr>
    </w:pPr>
    <w:r>
      <w:rPr>
        <w:rFonts w:hint="eastAsia"/>
      </w:rPr>
      <w:t xml:space="preserve">  </w:t>
    </w:r>
    <w:r>
      <w:rPr>
        <w:rFonts w:hint="eastAsia"/>
        <w:b/>
        <w:bCs/>
      </w:rPr>
      <w:t xml:space="preserve">                              第</w:t>
    </w:r>
    <w:r>
      <w:fldChar w:fldCharType="begin"/>
    </w:r>
    <w:r>
      <w:rPr>
        <w:rStyle w:val="6"/>
      </w:rPr>
      <w:instrText xml:space="preserve"> PAGE </w:instrText>
    </w:r>
    <w:r>
      <w:fldChar w:fldCharType="separate"/>
    </w:r>
    <w:r>
      <w:rPr>
        <w:rStyle w:val="6"/>
      </w:rPr>
      <w:t>1</w:t>
    </w:r>
    <w:r>
      <w:fldChar w:fldCharType="end"/>
    </w:r>
    <w:r>
      <w:rPr>
        <w:rFonts w:hint="eastAsia"/>
        <w:b/>
        <w:bCs/>
      </w:rPr>
      <w:t xml:space="preserve"> 页     共</w:t>
    </w:r>
    <w:r>
      <w:fldChar w:fldCharType="begin"/>
    </w:r>
    <w:r>
      <w:rPr>
        <w:rStyle w:val="6"/>
      </w:rPr>
      <w:instrText xml:space="preserve"> NUMPAGES </w:instrText>
    </w:r>
    <w:r>
      <w:fldChar w:fldCharType="separate"/>
    </w:r>
    <w:r>
      <w:rPr>
        <w:rStyle w:val="6"/>
      </w:rPr>
      <w:t>4</w:t>
    </w:r>
    <w:r>
      <w:fldChar w:fldCharType="end"/>
    </w:r>
    <w:r>
      <w:rPr>
        <w:rFonts w:hint="eastAsia"/>
        <w:b/>
        <w:bCs/>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0AA5F">
    <w:pPr>
      <w:pStyle w:val="3"/>
      <w:pBdr>
        <w:bottom w:val="none" w:color="auto" w:sz="0" w:space="0"/>
      </w:pBdr>
      <w:rPr>
        <w:b/>
        <w:bCs/>
      </w:rPr>
    </w:pPr>
    <w:r>
      <w:rPr>
        <w:rFonts w:hint="eastAsia" w:ascii="宋体" w:hAnsi="宋体"/>
        <w:b/>
        <w:bCs/>
        <w:color w:val="000000"/>
      </w:rPr>
      <w:t>湖北大学20</w:t>
    </w:r>
    <w:r>
      <w:rPr>
        <w:rFonts w:hint="eastAsia" w:ascii="宋体" w:hAnsi="宋体"/>
        <w:b/>
        <w:bCs/>
        <w:color w:val="000000"/>
        <w:lang w:val="en-US" w:eastAsia="zh-CN"/>
      </w:rPr>
      <w:t>25</w:t>
    </w:r>
    <w:r>
      <w:rPr>
        <w:rFonts w:hint="eastAsia" w:ascii="宋体" w:hAnsi="宋体"/>
        <w:b/>
        <w:bCs/>
        <w:color w:val="000000"/>
      </w:rPr>
      <w:t xml:space="preserve"> —</w:t>
    </w:r>
    <w:r>
      <w:rPr>
        <w:rFonts w:hint="eastAsia" w:ascii="宋体" w:hAnsi="宋体"/>
        <w:b/>
        <w:bCs/>
        <w:color w:val="000000"/>
        <w:lang w:val="en-US" w:eastAsia="zh-CN"/>
      </w:rPr>
      <w:t xml:space="preserve"> </w:t>
    </w:r>
    <w:r>
      <w:rPr>
        <w:rFonts w:hint="eastAsia" w:ascii="宋体" w:hAnsi="宋体"/>
        <w:b/>
        <w:bCs/>
        <w:color w:val="000000"/>
      </w:rPr>
      <w:t>20</w:t>
    </w:r>
    <w:r>
      <w:rPr>
        <w:rFonts w:hint="eastAsia" w:ascii="宋体" w:hAnsi="宋体"/>
        <w:b/>
        <w:bCs/>
        <w:color w:val="000000"/>
        <w:lang w:val="en-US" w:eastAsia="zh-CN"/>
      </w:rPr>
      <w:t>26</w:t>
    </w:r>
    <w:bookmarkStart w:id="1" w:name="_GoBack"/>
    <w:bookmarkEnd w:id="1"/>
    <w:r>
      <w:rPr>
        <w:rFonts w:hint="eastAsia" w:ascii="宋体" w:hAnsi="宋体"/>
        <w:b/>
        <w:bCs/>
        <w:color w:val="000000"/>
      </w:rPr>
      <w:t xml:space="preserve">  学年度第 </w:t>
    </w:r>
    <w:r>
      <w:rPr>
        <w:rFonts w:hint="eastAsia" w:ascii="宋体" w:hAnsi="宋体"/>
        <w:b/>
        <w:bCs/>
        <w:color w:val="000000"/>
        <w:lang w:val="en-US" w:eastAsia="zh-CN"/>
      </w:rPr>
      <w:t xml:space="preserve">2  </w:t>
    </w:r>
    <w:r>
      <w:rPr>
        <w:rFonts w:hint="eastAsia" w:ascii="宋体" w:hAnsi="宋体"/>
        <w:b/>
        <w:bCs/>
        <w:color w:val="000000"/>
      </w:rPr>
      <w:t>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gyMTg0NTI0MDQ5MzE5ZmJiODgzN2MwZDkxNzBhOTAifQ=="/>
  </w:docVars>
  <w:rsids>
    <w:rsidRoot w:val="009176CF"/>
    <w:rsid w:val="00071603"/>
    <w:rsid w:val="00080DAC"/>
    <w:rsid w:val="003C480C"/>
    <w:rsid w:val="00451DA9"/>
    <w:rsid w:val="006B46E4"/>
    <w:rsid w:val="006C0912"/>
    <w:rsid w:val="009176CF"/>
    <w:rsid w:val="00956577"/>
    <w:rsid w:val="00A77A81"/>
    <w:rsid w:val="00A9635C"/>
    <w:rsid w:val="00AE3283"/>
    <w:rsid w:val="00B25C64"/>
    <w:rsid w:val="00D74589"/>
    <w:rsid w:val="00D94C69"/>
    <w:rsid w:val="00DA06E9"/>
    <w:rsid w:val="00F72D74"/>
    <w:rsid w:val="00F76D73"/>
    <w:rsid w:val="03FA636D"/>
    <w:rsid w:val="048A503A"/>
    <w:rsid w:val="08285814"/>
    <w:rsid w:val="09810469"/>
    <w:rsid w:val="0A133973"/>
    <w:rsid w:val="0A3C4A9C"/>
    <w:rsid w:val="13923C1E"/>
    <w:rsid w:val="17950CFF"/>
    <w:rsid w:val="19917499"/>
    <w:rsid w:val="2ADE6B87"/>
    <w:rsid w:val="2F183527"/>
    <w:rsid w:val="2F32203A"/>
    <w:rsid w:val="423D09FA"/>
    <w:rsid w:val="56370A26"/>
    <w:rsid w:val="5A6900B2"/>
    <w:rsid w:val="61DF1870"/>
    <w:rsid w:val="6C4A1CD4"/>
    <w:rsid w:val="7EC3462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b w:val="0"/>
      <w:kern w:val="2"/>
      <w:sz w:val="21"/>
      <w:szCs w:val="24"/>
      <w:lang w:val="en-US" w:eastAsia="zh-CN" w:bidi="ar-SA"/>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styleId="6">
    <w:name w:val="page number"/>
    <w:basedOn w:val="5"/>
    <w:qFormat/>
    <w:uiPriority w:val="0"/>
  </w:style>
  <w:style w:type="paragraph" w:customStyle="1" w:styleId="Heading1">
    <w:name w:val="heading 1"/>
    <w:rPr>
      <w:rFonts w:ascii="黑体" w:hAnsi="黑体" w:eastAsia="黑体"/>
      <w:b/>
      <w:color w:val="000000"/>
      <w:sz w:val="32"/>
    </w:rPr>
  </w:style>
  <w:style w:type="paragraph" w:customStyle="1" w:styleId="Heading2">
    <w:name w:val="heading 2"/>
    <w:rPr>
      <w:rFonts w:ascii="黑体" w:hAnsi="黑体" w:eastAsia="黑体"/>
      <w:b/>
      <w:color w:val="000000"/>
      <w:sz w:val="28"/>
    </w:rPr>
  </w:style>
  <w:style w:type="paragraph" w:customStyle="1" w:styleId="Heading3">
    <w:name w:val="heading 3"/>
    <w:rPr>
      <w:rFonts w:ascii="黑体" w:hAnsi="黑体" w:eastAsia="黑体"/>
      <w:b/>
      <w:color w:val="000000"/>
      <w:sz w:val="24"/>
    </w:rPr>
  </w:style>
  <w:style w:type="paragraph" w:customStyle="1" w:styleId="ListBullet">
    <w:name w:val="List Bullet"/>
    <w:rPr>
      <w:rFonts w:ascii="宋体" w:hAnsi="宋体" w:eastAsia="宋体"/>
      <w:b w:val="0"/>
      <w:color w:val="000000"/>
      <w:sz w:val="21"/>
    </w:rPr>
  </w:style>
  <w:style w:type="paragraph" w:customStyle="1" w:styleId="ListNumber">
    <w:name w:val="List Number"/>
    <w:rPr>
      <w:rFonts w:ascii="宋体" w:hAnsi="宋体" w:eastAsia="宋体"/>
      <w:b w:val="0"/>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7"/>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Legend (Beijing) Limited</Company>
  <Pages>2</Pages>
  <Words>77</Words>
  <Characters>224</Characters>
  <Lines>3</Lines>
  <Paragraphs>1</Paragraphs>
  <TotalTime>71</TotalTime>
  <ScaleCrop>false</ScaleCrop>
  <LinksUpToDate>false</LinksUpToDate>
  <CharactersWithSpaces>382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2021-12-22T01:47:00Z</dcterms:created>
  <dc:creator>Legend User</dc:creator>
  <cp:lastModifiedBy>15940485904</cp:lastModifiedBy>
  <cp:lastPrinted>2004-10-16T06:38:00Z</cp:lastPrinted>
  <dcterms:modified xsi:type="dcterms:W3CDTF">2026-06-05T08:36:44Z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8873E7A233C6447EB9ACD071CB07D257_13</vt:lpwstr>
  </property>
  <property fmtid="{D5CDD505-2E9C-101B-9397-08002B2CF9AE}" pid="4" name="KSOTemplateDocerSaveRecord">
    <vt:lpwstr>eyJoZGlkIjoiZjgyMTg0NTI0MDQ5MzE5ZmJiODgzN2MwZDkxNzBhOTAiLCJ1c2VySWQiOiI3MTQxMjk1MDkifQ==</vt:lpwstr>
  </property>
</Properties>
</file>