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400" w:lineRule="exact"/>
      </w:pPr>
      <w:r>
        <w:rPr>
          <w:rFonts w:ascii="標楷體" w:hAnsi="標楷體"/>
          <w:b/>
          <w:sz w:val="28"/>
        </w:rPr>
        <w:t>表 1.1-2a　各計畫區基本資料與地質特性一覽表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c>
          <w:tcPr>
            <w:tcW w:type="dxa" w:w="53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編號</w:t>
            </w:r>
          </w:p>
        </w:tc>
        <w:tc>
          <w:tcPr>
            <w:tcW w:type="dxa" w:w="161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優先辦理區編號</w:t>
            </w:r>
          </w:p>
        </w:tc>
        <w:tc>
          <w:tcPr>
            <w:tcW w:type="dxa" w:w="208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大規模崩塌潛勢區</w:t>
            </w:r>
          </w:p>
        </w:tc>
        <w:tc>
          <w:tcPr>
            <w:tcW w:type="dxa" w:w="129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面積 (ha)</w:t>
            </w:r>
          </w:p>
        </w:tc>
        <w:tc>
          <w:tcPr>
            <w:tcW w:type="dxa" w:w="1184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邊坡傾向傾角</w:t>
            </w:r>
          </w:p>
        </w:tc>
        <w:tc>
          <w:tcPr>
            <w:tcW w:type="dxa" w:w="177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邊坡坡度 (°)</w:t>
            </w:r>
          </w:p>
        </w:tc>
        <w:tc>
          <w:tcPr>
            <w:tcW w:type="dxa" w:w="3101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地質</w:t>
            </w:r>
          </w:p>
        </w:tc>
        <w:tc>
          <w:tcPr>
            <w:tcW w:type="dxa" w:w="237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層面位態</w:t>
            </w:r>
          </w:p>
        </w:tc>
      </w:tr>
      <w:tr>
        <w:tc>
          <w:tcPr>
            <w:tcW w:type="dxa" w:w="5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1</w:t>
            </w:r>
          </w:p>
        </w:tc>
        <w:tc>
          <w:tcPr>
            <w:tcW w:type="dxa" w:w="161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DS144</w:t>
            </w:r>
          </w:p>
        </w:tc>
        <w:tc>
          <w:tcPr>
            <w:tcW w:type="dxa" w:w="20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高雄市-杉林區-D021 (新庄)</w:t>
            </w:r>
          </w:p>
        </w:tc>
        <w:tc>
          <w:tcPr>
            <w:tcW w:type="dxa" w:w="12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10.3</w:t>
            </w:r>
          </w:p>
        </w:tc>
        <w:tc>
          <w:tcPr>
            <w:tcW w:type="dxa" w:w="11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N60°W / 23°</w:t>
            </w:r>
          </w:p>
        </w:tc>
        <w:tc>
          <w:tcPr>
            <w:tcW w:type="dxa" w:w="177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23°</w:t>
            </w:r>
          </w:p>
        </w:tc>
        <w:tc>
          <w:tcPr>
            <w:tcW w:type="dxa" w:w="31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中新世三峽群：上盤為長枝坑層 (砂頁岩互層)；下盤為隘寮腳層</w:t>
            </w:r>
          </w:p>
        </w:tc>
        <w:tc>
          <w:tcPr>
            <w:tcW w:type="dxa" w:w="237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N30°E / 40°NW (層面位態)</w:t>
            </w:r>
          </w:p>
        </w:tc>
      </w:tr>
      <w:tr>
        <w:tc>
          <w:tcPr>
            <w:tcW w:type="dxa" w:w="5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2</w:t>
            </w:r>
          </w:p>
        </w:tc>
        <w:tc>
          <w:tcPr>
            <w:tcW w:type="dxa" w:w="161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DS002</w:t>
            </w:r>
          </w:p>
        </w:tc>
        <w:tc>
          <w:tcPr>
            <w:tcW w:type="dxa" w:w="20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高雄市-茂林區-D048 (萬山)</w:t>
            </w:r>
          </w:p>
        </w:tc>
        <w:tc>
          <w:tcPr>
            <w:tcW w:type="dxa" w:w="12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125</w:t>
            </w:r>
          </w:p>
        </w:tc>
        <w:tc>
          <w:tcPr>
            <w:tcW w:type="dxa" w:w="11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東南向 (SE)</w:t>
            </w:r>
          </w:p>
        </w:tc>
        <w:tc>
          <w:tcPr>
            <w:tcW w:type="dxa" w:w="177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25°~45°</w:t>
            </w:r>
          </w:p>
        </w:tc>
        <w:tc>
          <w:tcPr>
            <w:tcW w:type="dxa" w:w="31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中新世潮州層 (板岩、硬頁岩)</w:t>
            </w:r>
          </w:p>
        </w:tc>
        <w:tc>
          <w:tcPr>
            <w:tcW w:type="dxa" w:w="237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　</w:t>
            </w:r>
          </w:p>
        </w:tc>
      </w:tr>
      <w:tr>
        <w:tc>
          <w:tcPr>
            <w:tcW w:type="dxa" w:w="5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3</w:t>
            </w:r>
          </w:p>
        </w:tc>
        <w:tc>
          <w:tcPr>
            <w:tcW w:type="dxa" w:w="161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DS145</w:t>
            </w:r>
          </w:p>
        </w:tc>
        <w:tc>
          <w:tcPr>
            <w:tcW w:type="dxa" w:w="20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高雄市-六龜區-T001 (藤枝)</w:t>
            </w:r>
          </w:p>
        </w:tc>
        <w:tc>
          <w:tcPr>
            <w:tcW w:type="dxa" w:w="12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15.2</w:t>
            </w:r>
          </w:p>
        </w:tc>
        <w:tc>
          <w:tcPr>
            <w:tcW w:type="dxa" w:w="11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N55°E / 33°NW</w:t>
            </w:r>
          </w:p>
        </w:tc>
        <w:tc>
          <w:tcPr>
            <w:tcW w:type="dxa" w:w="177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平均 33° (局部 60°)</w:t>
            </w:r>
          </w:p>
        </w:tc>
        <w:tc>
          <w:tcPr>
            <w:tcW w:type="dxa" w:w="31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中新世樟山層下段 (板岩、風化擾動板岩)</w:t>
            </w:r>
          </w:p>
        </w:tc>
        <w:tc>
          <w:tcPr>
            <w:tcW w:type="dxa" w:w="237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N45°W / 45°SW</w:t>
            </w:r>
          </w:p>
        </w:tc>
      </w:tr>
      <w:tr>
        <w:tc>
          <w:tcPr>
            <w:tcW w:type="dxa" w:w="5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4</w:t>
            </w:r>
          </w:p>
        </w:tc>
        <w:tc>
          <w:tcPr>
            <w:tcW w:type="dxa" w:w="161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DS011</w:t>
            </w:r>
          </w:p>
        </w:tc>
        <w:tc>
          <w:tcPr>
            <w:tcW w:type="dxa" w:w="20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高雄市-桃源區-D382 (寶山)</w:t>
            </w:r>
          </w:p>
        </w:tc>
        <w:tc>
          <w:tcPr>
            <w:tcW w:type="dxa" w:w="12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51.8</w:t>
            </w:r>
          </w:p>
        </w:tc>
        <w:tc>
          <w:tcPr>
            <w:tcW w:type="dxa" w:w="11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南向至東南向</w:t>
            </w:r>
          </w:p>
        </w:tc>
        <w:tc>
          <w:tcPr>
            <w:tcW w:type="dxa" w:w="177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五級坡以上佔 77.3%</w:t>
            </w:r>
          </w:p>
        </w:tc>
        <w:tc>
          <w:tcPr>
            <w:tcW w:type="dxa" w:w="31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中新世樟山層下段 (板岩為主)</w:t>
            </w:r>
          </w:p>
        </w:tc>
        <w:tc>
          <w:tcPr>
            <w:tcW w:type="dxa" w:w="237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　</w:t>
            </w:r>
          </w:p>
        </w:tc>
      </w:tr>
      <w:tr>
        <w:tc>
          <w:tcPr>
            <w:tcW w:type="dxa" w:w="5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5</w:t>
            </w:r>
          </w:p>
        </w:tc>
        <w:tc>
          <w:tcPr>
            <w:tcW w:type="dxa" w:w="161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DS009 </w:t>
            </w:r>
          </w:p>
        </w:tc>
        <w:tc>
          <w:tcPr>
            <w:tcW w:type="dxa" w:w="208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屏東縣-來義鄉-T001 (來義)</w:t>
            </w:r>
          </w:p>
        </w:tc>
        <w:tc>
          <w:tcPr>
            <w:tcW w:type="dxa" w:w="129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78.8</w:t>
            </w:r>
          </w:p>
        </w:tc>
        <w:tc>
          <w:tcPr>
            <w:tcW w:type="dxa" w:w="1184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南及東南向 </w:t>
            </w:r>
          </w:p>
        </w:tc>
        <w:tc>
          <w:tcPr>
            <w:tcW w:type="dxa" w:w="177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以六級坡 (&gt;55%) 佔最多 </w:t>
            </w:r>
          </w:p>
        </w:tc>
        <w:tc>
          <w:tcPr>
            <w:tcW w:type="dxa" w:w="3101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中新世潮州層 (板岩、硬頁岩為主，夾變質砂岩) </w:t>
            </w:r>
          </w:p>
        </w:tc>
        <w:tc>
          <w:tcPr>
            <w:tcW w:type="dxa" w:w="237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　</w:t>
            </w:r>
          </w:p>
        </w:tc>
      </w:tr>
    </w:tbl>
    <w:p/>
    <w:p>
      <w:pPr>
        <w:jc w:val="center"/>
        <w:spacing w:line="400" w:lineRule="exact"/>
      </w:pPr>
      <w:r>
        <w:rPr>
          <w:rFonts w:ascii="標楷體" w:hAnsi="標楷體"/>
          <w:b/>
          <w:sz w:val="28"/>
        </w:rPr>
        <w:t>表 1.1-2b　各計畫區不連續面分析與邊坡活動性一覽表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  <w:gridCol w:w="1994"/>
        <w:gridCol w:w="1994"/>
      </w:tblGrid>
      <w:tr>
        <w:tc>
          <w:tcPr>
            <w:tcW w:type="dxa" w:w="44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編號</w:t>
            </w:r>
          </w:p>
        </w:tc>
        <w:tc>
          <w:tcPr>
            <w:tcW w:type="dxa" w:w="3477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不連續面位態</w:t>
            </w:r>
          </w:p>
        </w:tc>
        <w:tc>
          <w:tcPr>
            <w:tcW w:type="dxa" w:w="1668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不連續面與坡面關係</w:t>
            </w:r>
          </w:p>
        </w:tc>
        <w:tc>
          <w:tcPr>
            <w:tcW w:type="dxa" w:w="2643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主要滑動機制</w:t>
            </w:r>
          </w:p>
        </w:tc>
        <w:tc>
          <w:tcPr>
            <w:tcW w:type="dxa" w:w="1870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滑動面深度 (m) 地表下</w:t>
            </w:r>
          </w:p>
        </w:tc>
        <w:tc>
          <w:tcPr>
            <w:tcW w:type="dxa" w:w="2012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地下水位 (m) 地表下</w:t>
            </w:r>
          </w:p>
        </w:tc>
        <w:tc>
          <w:tcPr>
            <w:tcW w:type="dxa" w:w="1845"/>
            <w:vAlign w:val="center"/>
            <w:shd w:val="clear" w:color="auto"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rFonts w:ascii="標楷體" w:hAnsi="標楷體"/>
                <w:sz w:val="28"/>
              </w:rPr>
              <w:t>邊坡活動性</w:t>
            </w:r>
          </w:p>
        </w:tc>
      </w:tr>
      <w:tr>
        <w:tc>
          <w:tcPr>
            <w:tcW w:type="dxa" w:w="44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1</w:t>
            </w:r>
          </w:p>
        </w:tc>
        <w:tc>
          <w:tcPr>
            <w:tcW w:type="dxa" w:w="347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區域地層：N30°E/40°NW；擾動位態：1.高角度西傾 </w:t>
            </w:r>
          </w:p>
        </w:tc>
        <w:tc>
          <w:tcPr>
            <w:tcW w:type="dxa" w:w="1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斜交坡</w:t>
            </w:r>
          </w:p>
        </w:tc>
        <w:tc>
          <w:tcPr>
            <w:tcW w:type="dxa" w:w="264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旋轉滑動 (向西南/東南/東北擾動)、剪裂帶滑動</w:t>
            </w:r>
          </w:p>
        </w:tc>
        <w:tc>
          <w:tcPr>
            <w:tcW w:type="dxa" w:w="18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4.25~48.00m (剪裂泥帶)；含深層滑動塊體</w:t>
            </w:r>
          </w:p>
        </w:tc>
        <w:tc>
          <w:tcPr>
            <w:tcW w:type="dxa" w:w="201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乾季：4.6~5.8m；雨季：2.5~3.0m</w:t>
            </w:r>
          </w:p>
        </w:tc>
        <w:tc>
          <w:tcPr>
            <w:tcW w:type="dxa" w:w="184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GSI &lt; 10，岩體風化嚴重且破碎，局部坡體不穩定</w:t>
            </w:r>
          </w:p>
        </w:tc>
      </w:tr>
      <w:tr>
        <w:tc>
          <w:tcPr>
            <w:tcW w:type="dxa" w:w="44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2</w:t>
            </w:r>
          </w:p>
        </w:tc>
        <w:tc>
          <w:tcPr>
            <w:tcW w:type="dxa" w:w="347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劈理：N75°W/35°SW；優勢節理：N10°E/75°S</w:t>
            </w:r>
          </w:p>
        </w:tc>
        <w:tc>
          <w:tcPr>
            <w:tcW w:type="dxa" w:w="1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整體非順向坡 (斜交)；蝕溝東北側為順向坡</w:t>
            </w:r>
          </w:p>
        </w:tc>
        <w:tc>
          <w:tcPr>
            <w:tcW w:type="dxa" w:w="264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楔型破壞、岩體潛移 (U形溝)、圓弧型 (道路段)</w:t>
            </w:r>
          </w:p>
        </w:tc>
        <w:tc>
          <w:tcPr>
            <w:tcW w:type="dxa" w:w="18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30.4m (監測)；崩積層厚度可達 40m</w:t>
            </w:r>
          </w:p>
        </w:tc>
        <w:tc>
          <w:tcPr>
            <w:tcW w:type="dxa" w:w="201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地表下30~35m</w:t>
            </w:r>
          </w:p>
        </w:tc>
        <w:tc>
          <w:tcPr>
            <w:tcW w:type="dxa" w:w="184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高活動潛勢；存有潛移張力裂隙 (U形溝)</w:t>
            </w:r>
          </w:p>
        </w:tc>
      </w:tr>
      <w:tr>
        <w:tc>
          <w:tcPr>
            <w:tcW w:type="dxa" w:w="44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3</w:t>
            </w:r>
          </w:p>
        </w:tc>
        <w:tc>
          <w:tcPr>
            <w:tcW w:type="dxa" w:w="347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劈理：N45°W / 45°SW</w:t>
            </w:r>
          </w:p>
        </w:tc>
        <w:tc>
          <w:tcPr>
            <w:tcW w:type="dxa" w:w="1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斜交坡 (走向交角約 80°)</w:t>
            </w:r>
          </w:p>
        </w:tc>
        <w:tc>
          <w:tcPr>
            <w:tcW w:type="dxa" w:w="264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局部楔型破壞、潛移蠕動</w:t>
            </w:r>
          </w:p>
        </w:tc>
        <w:tc>
          <w:tcPr>
            <w:tcW w:type="dxa" w:w="18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數十公分至數十公尺 (崩積層)</w:t>
            </w:r>
          </w:p>
        </w:tc>
        <w:tc>
          <w:tcPr>
            <w:tcW w:type="dxa" w:w="201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地表下40m</w:t>
            </w:r>
          </w:p>
        </w:tc>
        <w:tc>
          <w:tcPr>
            <w:tcW w:type="dxa" w:w="184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受 88 風災影響岩體強烈擾動</w:t>
            </w:r>
          </w:p>
        </w:tc>
      </w:tr>
      <w:tr>
        <w:tc>
          <w:tcPr>
            <w:tcW w:type="dxa" w:w="44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4</w:t>
            </w:r>
          </w:p>
        </w:tc>
        <w:tc>
          <w:tcPr>
            <w:tcW w:type="dxa" w:w="347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板狀劈理發達</w:t>
            </w:r>
          </w:p>
        </w:tc>
        <w:tc>
          <w:tcPr>
            <w:tcW w:type="dxa" w:w="1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　</w:t>
            </w:r>
          </w:p>
        </w:tc>
        <w:tc>
          <w:tcPr>
            <w:tcW w:type="dxa" w:w="264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楔型破壞模式、沈積崩移構造</w:t>
            </w:r>
          </w:p>
        </w:tc>
        <w:tc>
          <w:tcPr>
            <w:tcW w:type="dxa" w:w="18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53~55m (監測)</w:t>
            </w:r>
          </w:p>
        </w:tc>
        <w:tc>
          <w:tcPr>
            <w:tcW w:type="dxa" w:w="201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地表下25m</w:t>
            </w:r>
          </w:p>
        </w:tc>
        <w:tc>
          <w:tcPr>
            <w:tcW w:type="dxa" w:w="184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108 年監測得剪動</w:t>
            </w:r>
          </w:p>
        </w:tc>
      </w:tr>
      <w:tr>
        <w:tc>
          <w:tcPr>
            <w:tcW w:type="dxa" w:w="44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5</w:t>
            </w:r>
          </w:p>
        </w:tc>
        <w:tc>
          <w:tcPr>
            <w:tcW w:type="dxa" w:w="3477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劈理：N20°~30°E / 20°~30°E ；節理多組 </w:t>
            </w:r>
          </w:p>
        </w:tc>
        <w:tc>
          <w:tcPr>
            <w:tcW w:type="dxa" w:w="166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局部順向坡、斜交坡、攻擊坡 </w:t>
            </w:r>
          </w:p>
        </w:tc>
        <w:tc>
          <w:tcPr>
            <w:tcW w:type="dxa" w:w="264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順向坡平面滑動、楔型破壞、向源侵蝕、河岸沖刷崩塌 </w:t>
            </w:r>
          </w:p>
        </w:tc>
        <w:tc>
          <w:tcPr>
            <w:tcW w:type="dxa" w:w="1870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26m (監測)</w:t>
            </w:r>
          </w:p>
        </w:tc>
        <w:tc>
          <w:tcPr>
            <w:tcW w:type="dxa" w:w="201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>地表下48m</w:t>
            </w:r>
          </w:p>
        </w:tc>
        <w:tc>
          <w:tcPr>
            <w:tcW w:type="dxa" w:w="1845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  <w:spacing w:line="400" w:lineRule="exact"/>
            </w:pPr>
            <w:r>
              <w:rPr>
                <w:sz w:val="28"/>
              </w:rPr>
              <w:t xml:space="preserve">高活動性：發現剪裂錯動、岩體彎折、大規模表面崩塌 </w:t>
            </w:r>
          </w:p>
        </w:tc>
      </w:tr>
    </w:tbl>
    <w:sectPr w:rsidR="00FC693F" w:rsidRPr="0006063C" w:rsidSect="00034616">
      <w:pgSz w:w="16838" w:h="11906" w:orient="landscape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