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F2AB" w14:textId="77777777" w:rsidR="001133E0" w:rsidRPr="001133E0" w:rsidRDefault="001133E0" w:rsidP="001133E0">
      <w:pPr>
        <w:widowControl/>
        <w:wordWrap/>
        <w:autoSpaceDE/>
        <w:autoSpaceDN/>
        <w:spacing w:after="630" w:line="690" w:lineRule="atLeast"/>
        <w:jc w:val="left"/>
        <w:outlineLvl w:val="0"/>
        <w:rPr>
          <w:rFonts w:ascii="맑은 고딕" w:eastAsia="맑은 고딕" w:hAnsi="맑은 고딕" w:cs="굴림"/>
          <w:b/>
          <w:bCs/>
          <w:color w:val="000000"/>
          <w:spacing w:val="-6"/>
          <w:kern w:val="36"/>
          <w:sz w:val="54"/>
          <w:szCs w:val="54"/>
        </w:rPr>
      </w:pPr>
      <w:r w:rsidRPr="001133E0">
        <w:rPr>
          <w:rFonts w:ascii="맑은 고딕" w:eastAsia="맑은 고딕" w:hAnsi="맑은 고딕" w:cs="굴림" w:hint="eastAsia"/>
          <w:b/>
          <w:bCs/>
          <w:color w:val="000000"/>
          <w:spacing w:val="-6"/>
          <w:kern w:val="36"/>
          <w:sz w:val="54"/>
          <w:szCs w:val="54"/>
        </w:rPr>
        <w:t>원통형 배터리 부활…'LG엔솔·삼성SDI 납품' 이 기업들도 뜬다</w:t>
      </w:r>
    </w:p>
    <w:p w14:paraId="11D0DFCB" w14:textId="324F9B35" w:rsidR="004365AE" w:rsidRDefault="004365AE"/>
    <w:p w14:paraId="33020A95" w14:textId="4B4B68D0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원통형 배터리 시장이 빠르게 성장하고 있다. 이를 채택하는 전기차 회사들이 점차 증가하고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있어서다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. 중국 기업들도 속속 관련 라인업 구축에 나서고 있지만, 한국이 압도적인 경쟁우위를 보이는 분야로 평가된다. 원통형 배터리를 생산하는 LG에너지솔루션·삼성SDI뿐 아니라 원통형에 특화된 소재 업체의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동반약진도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점쳐진다.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5일 관련업계에 따르면 원통형은 가장 기본이 되는 배터리 형태지만 공간 효율성이 떨어진다는 단점 때문에 전기차 시장에서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각형·파우치형에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비해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외면받아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왔다. 제작하는 회사도 한정적이었다. 전자기기가 핵심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납품처였던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시절부터 배터리를 생산해온 LG·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삼성·파나소닉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한국과 일본의 일부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기업들만이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원통형 배터리를 양산했다.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원통형 부활은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테슬라가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견인했다. 전기차 판매 1위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시작으로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리비안·루시드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전기차 신생기업들이 원통형을 탑재했고, BMW·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볼보·재규어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전통적인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완성차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기업들도 속속 원통형을 탑재한 신규 라인업 출시를 예고했다.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각형·파우치형에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비해 표준화된 규격으로 단가가 낮고 양산이 손쉬우며, 오랜 기술 축적으로 안전성이 높다는 점이 부각됐다.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원통형 수요에 가장 먼저 대처한 곳은 배터리 업계였다. LG에너지솔루션은 지난 3월 미국 애리조나주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퀸크릭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>(Queen Creek)에 1조7000억원을 투자해 11GWh 규모의 신규 원통형 배터리공장을 건설한다고 밝힌 바 있다. 최근 해당 공장에 대한 투자를 재검토한다는 소식이 전해지기도 했으나, 이는 수익성 확보를 위한 전략적 숨 고르기라는 평가가 지배적이다.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LG에너지솔루션은 충북 청주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오창공장에도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7300억원을 투자해 국내 원통형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연산량을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13GWh 규모로 확대를 추진하고 있다. 이곳 공장에서는 내년 하반기부터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납품될 차세대 원통형 규격 '4680(지름 46㎜·높이 80㎜) 모델'을 양산할 계획이다.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삼성SDI도 거점 원통형 생산기지인 말레이시아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세렘반공장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추가 투자를 예고한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상태며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, 천안공장에 지름 46㎜ 원통형 배터리 파일럿 라인을 구축하고 있다. 핵심 고객사 중 한 곳이 각형에 이어 원통형 </w:t>
      </w:r>
      <w:r>
        <w:rPr>
          <w:rFonts w:ascii="맑은 고딕" w:eastAsia="맑은 고딕" w:hAnsi="맑은 고딕" w:hint="eastAsia"/>
          <w:color w:val="333333"/>
          <w:spacing w:val="-6"/>
        </w:rPr>
        <w:lastRenderedPageBreak/>
        <w:t>탑재를 예고한 만큼 생산량 확대를 위한 사전 작업에 한창인 상황이다.</w:t>
      </w:r>
    </w:p>
    <w:p w14:paraId="2700C396" w14:textId="635C2B08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</w:p>
    <w:p w14:paraId="61EBAE11" w14:textId="2981AC0D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</w:p>
    <w:p w14:paraId="6EB23B72" w14:textId="60D6130A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원통형 배터리 시장이 빠르게 성장하고 있다. 이를 채택하는 전기차 회사들이 점차 증가하고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있어서다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. 중국 기업들도 속속 관련 라인업 구축에 나서고 있지만, 한국이 압도적인 경쟁우위를 보이는 분야로 평가된다. 원통형 배터리를 생산하는 LG에너지솔루션·삼성SDI뿐 아니라 원통형에 특화된 소재 업체의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동반약진도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점쳐진다.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5일 관련업계에 따르면 원통형은 가장 기본이 되는 배터리 형태지만 공간 효율성이 떨어진다는 단점 때문에 전기차 시장에서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각형·파우치형에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비해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외면받아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왔다. 제작하는 회사도 한정적이었다. 전자기기가 핵심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납품처였던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시절부터 배터리를 생산해온 LG·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삼성·파나소닉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한국과 일본의 일부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기업들만이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원통형 배터리를 양산했다.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원통형 부활은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테슬라가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견인했다. 전기차 판매 1위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시작으로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리비안·루시드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전기차 신생기업들이 원통형을 탑재했고, BMW·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볼보·재규어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 전통적인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완성차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기업들도 속속 원통형을 탑재한 신규 라인업 출시를 예고했다.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각형·파우치형에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비해 표준화된 규격으로 단가가 낮고 양산이 손쉬우며, 오랜 기술 축적으로 안전성이 높다는 점이 부각됐다.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원통형 수요에 가장 먼저 대처한 곳은 배터리 업계였다. LG에너지솔루션은 지난 3월 미국 애리조나주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퀸크릭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>(Queen Creek)에 1조7000억원을 투자해 11GWh 규모의 신규 원통형 배터리공장을 건설한다고 밝힌 바 있다. 최근 해당 공장에 대한 투자를 재검토한다는 소식이 전해지기도 했으나, 이는 수익성 확보를 위한 전략적 숨 고르기라는 평가가 지배적이다.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LG에너지솔루션은 충북 청주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오창공장에도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7300억원을 투자해 국내 원통형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연산량을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13GWh 규모로 확대를 추진하고 있다. 이곳 공장에서는 내년 하반기부터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납품될 차세대 원통형 규격 '4680(지름 46㎜·높이 80㎜) 모델'을 양산할 계획이다.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삼성SDI도 거점 원통형 생산기지인 말레이시아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세렘반공장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추가 투자를 예고한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상태며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>, 천안공장에 지름 46㎜ 원통형 배터리 파일럿 라인을 구축하고 있다. 핵심 고객사 중 한 곳이 각형에 이어 원통형 탑재를 예고한 만큼 생산량 확대를 위한 사전 작업에 한창인 상황이다.</w:t>
      </w:r>
    </w:p>
    <w:p w14:paraId="0FA54EF0" w14:textId="53D1FAAB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</w:p>
    <w:p w14:paraId="398A55C7" w14:textId="782BB1A6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후방기업들도 분주하다. 참치 용기 기술력을 바탕으로 이차전지 시장에 뛰어든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동원시스템즈는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지난 1일 원통형 캔 생산 확대를 위한 충남 아산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신공장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착공식을 개최했다.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동원시스템즈신공장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설립을 위해 585억원을 투자했다. 완공 후 21700(지름 21㎜·높이 70㎜) 모델과 4680 모델을 양산할 계획이다. </w:t>
      </w:r>
      <w:r>
        <w:rPr>
          <w:rFonts w:ascii="맑은 고딕" w:eastAsia="맑은 고딕" w:hAnsi="맑은 고딕" w:hint="eastAsia"/>
          <w:color w:val="333333"/>
          <w:spacing w:val="-6"/>
        </w:rPr>
        <w:lastRenderedPageBreak/>
        <w:t>생산된 캔은 LG에너지솔루션에 납품돼 배터리로 제작되고 테슬라 전기차에 탑재되게 된다.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상신이디피도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케파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확대를 준비하는 것으로 전해진다. 원통형 및 중대형 캔을 생산하는 이곳은 삼성SDI가 핵심 거래처다. 지난 2018년 삼성SDI 유럽공장이 위치한 헝가리에 캔 공장을 설립하기도 했다. 삼성SDI가 원통형 라인 확장을 준비함에 따라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상신이디피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역시 원통형 캔 생산량 증대 및 추가 해외공장 설립 등을 논의하고 있다는 후문이다.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이밖에도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원통형에 사용되는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전기니켈도금강판을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LG·삼성에 동시 납품하고 있는 TCC스틸, 이차전지용 테이프 제조업체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테이펙스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등이 원통형 수요 확대에 따른 수혜가 예상되는 기업이다.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테이펙스는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지난 2016년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한솔케미칼에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인수됐다. 당시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조연주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한솔케미칼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부회장이 인수전을 주도한 것으로 전해진다. 조 부회장은 이병철 삼성 창업주의 증손녀이자, 이인희 한솔그룹 고문의 외손녀다.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>한 업계 관계자는 "원통형은 주문생산이 아닌 전반적인 수요에 발맞춰 규격이 정해지는 게 특징"이라면서 "다른 타입의 배터리보다 대량 생산이 쉽다 보니 수익성이 좋을 수밖에 없다"고 설명했다. 또 "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전기차뿐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아니라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전동공구·소형모빌리티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수요도 가파르게 상승하고 있어 판로 또한 더욱 다양하다"고 부연했다.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또 다른 배터리업체 관계자는 "일부 후발주자들이 최근 원통형 생산에 도전장을 냈지만, 40년 이상 기술을 축적한 기존 사업자들과 비교하면 갓 걸음마를 뗀 수준에 불과하다"면서 "전기차 시장의 원통형 수요가 커질수록 중국보다는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한국·일본에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테슬라와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자국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완성차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지원에 공을 들이는 파나소닉보다는 LG·삼성에 수혜가 클 것"이라고 진단했다.</w:t>
      </w:r>
    </w:p>
    <w:p w14:paraId="3F4B1E12" w14:textId="3FCD809D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</w:p>
    <w:p w14:paraId="49CBEC57" w14:textId="2F368F43" w:rsidR="001133E0" w:rsidRDefault="001133E0">
      <w:pPr>
        <w:rPr>
          <w:rFonts w:ascii="맑은 고딕" w:eastAsia="맑은 고딕" w:hAnsi="맑은 고딕"/>
          <w:color w:val="333333"/>
          <w:spacing w:val="-6"/>
        </w:rPr>
      </w:pPr>
    </w:p>
    <w:p w14:paraId="706CF54B" w14:textId="5F58C859" w:rsidR="005A4EBF" w:rsidRDefault="001133E0" w:rsidP="00356CA2">
      <w:pPr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후방기업들도 분주하다. 참치 용기 기술력을 바탕으로 이차전지 시장에 뛰어든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동원시스템즈는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지난 1일 원통형 캔 생산 확대를 위한 충남 아산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신공장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착공식을 개최했다.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동원시스템즈신공장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설립을 위해 585억원을 투자했다. 완공 후 21700(지름 21㎜·높이 70㎜) 모델과 4680 모델을 양산할 계획이다. 생산된 캔은 LG에너지솔루션에 납품돼 배터리로 제작되고 테슬라 전기차에 탑재되게 된다.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상신이디피도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케파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확대를 준비하는 것으로 전해진다. 원통형 및 중대형 캔을 생산하는 이곳은 삼성SDI가 핵심 거래처다. 지난 2018년 삼성SDI 유럽공장이 위치한 헝가리에 캔 공장을 설립하기도 했다. 삼성SDI가 원통형 라인 확장을 준비함에 따라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상신이디피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역시 원통형 캔 생산량 증대 및 추가 해외공장 설립 등을 논의하고 있다는 후문이다.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이밖에도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원통형에 사용되는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전기니켈도금강판을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LG·삼성에 동시 납품하고 있는 TCC스틸, 이차전지용 테이프 제조업체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테이펙스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등이 원통형 수요 확대에 따른 수혜가 예상되는 기업이다.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테이펙스는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</w:t>
      </w:r>
      <w:r>
        <w:rPr>
          <w:rFonts w:ascii="맑은 고딕" w:eastAsia="맑은 고딕" w:hAnsi="맑은 고딕" w:hint="eastAsia"/>
          <w:color w:val="333333"/>
          <w:spacing w:val="-6"/>
        </w:rPr>
        <w:lastRenderedPageBreak/>
        <w:t xml:space="preserve">난 2016년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한솔케미칼에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인수됐다. 당시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조연주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한솔케미칼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부회장이 인수전을 주도한 것으로 전해진다. 조 부회장은 이병철 삼성 창업주의 증손녀이자, 이인희 한솔그룹 고문의 외손녀다.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>한 업계 관계자는 "원통형은 주문생산이 아닌 전반적인 수요에 발맞춰 규격이 정해지는 게 특징"이라면서 "다른 타입의 배터리보다 대량 생산이 쉽다 보니 수익성이 좋을 수밖에 없다"고 설명했다. 또 "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전기차뿐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아니라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전동공구·소형모빌리티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수요도 가파르게 상승하고 있어 판로 또한 더욱 다양하다"고 부연했다.</w:t>
      </w:r>
      <w:r>
        <w:rPr>
          <w:rFonts w:ascii="맑은 고딕" w:eastAsia="맑은 고딕" w:hAnsi="맑은 고딕" w:hint="eastAsia"/>
          <w:color w:val="333333"/>
          <w:spacing w:val="-6"/>
        </w:rPr>
        <w:br/>
      </w:r>
      <w:r>
        <w:rPr>
          <w:rFonts w:ascii="맑은 고딕" w:eastAsia="맑은 고딕" w:hAnsi="맑은 고딕" w:hint="eastAsia"/>
          <w:color w:val="333333"/>
          <w:spacing w:val="-6"/>
        </w:rPr>
        <w:br/>
        <w:t xml:space="preserve">또 다른 배터리업체 관계자는 "일부 후발주자들이 최근 원통형 생산에 도전장을 냈지만, 40년 이상 기술을 축적한 기존 사업자들과 비교하면 갓 걸음마를 뗀 수준에 불과하다"면서 "전기차 시장의 원통형 수요가 커질수록 중국보다는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한국·일본에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테슬라와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자국 </w:t>
      </w:r>
      <w:proofErr w:type="spellStart"/>
      <w:r>
        <w:rPr>
          <w:rFonts w:ascii="맑은 고딕" w:eastAsia="맑은 고딕" w:hAnsi="맑은 고딕" w:hint="eastAsia"/>
          <w:color w:val="333333"/>
          <w:spacing w:val="-6"/>
        </w:rPr>
        <w:t>완성차</w:t>
      </w:r>
      <w:proofErr w:type="spellEnd"/>
      <w:r>
        <w:rPr>
          <w:rFonts w:ascii="맑은 고딕" w:eastAsia="맑은 고딕" w:hAnsi="맑은 고딕" w:hint="eastAsia"/>
          <w:color w:val="333333"/>
          <w:spacing w:val="-6"/>
        </w:rPr>
        <w:t xml:space="preserve"> 지원에 공을 들이는 파나소닉보다는 </w:t>
      </w:r>
    </w:p>
    <w:tbl>
      <w:tblPr>
        <w:tblW w:w="13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</w:tblGrid>
      <w:tr w:rsidR="00356CA2" w:rsidRPr="00356CA2" w14:paraId="40921F10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1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98"/>
            </w:tblGrid>
            <w:tr w:rsidR="006F09F6" w:rsidRPr="006F09F6" w14:paraId="5C43B331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481B15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영업이익</w:t>
                  </w:r>
                </w:p>
              </w:tc>
            </w:tr>
            <w:tr w:rsidR="006F09F6" w:rsidRPr="006F09F6" w14:paraId="6DE9B0E4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E5257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임금교섭</w:t>
                  </w:r>
                </w:p>
              </w:tc>
            </w:tr>
            <w:tr w:rsidR="006F09F6" w:rsidRPr="006F09F6" w14:paraId="1A0FEC5B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33FA23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무노조경영</w:t>
                  </w:r>
                </w:p>
              </w:tc>
            </w:tr>
            <w:tr w:rsidR="006F09F6" w:rsidRPr="006F09F6" w14:paraId="290A79BE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B1827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노조사무실</w:t>
                  </w:r>
                </w:p>
              </w:tc>
            </w:tr>
            <w:tr w:rsidR="006F09F6" w:rsidRPr="006F09F6" w14:paraId="5688FF5A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ED4551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당기순이익</w:t>
                  </w:r>
                </w:p>
              </w:tc>
            </w:tr>
            <w:tr w:rsidR="006F09F6" w:rsidRPr="006F09F6" w14:paraId="36F8A406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B9121C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인상</w:t>
                  </w:r>
                </w:p>
              </w:tc>
            </w:tr>
            <w:tr w:rsidR="006F09F6" w:rsidRPr="006F09F6" w14:paraId="0E6EE5C9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B94A93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조합</w:t>
                  </w:r>
                </w:p>
              </w:tc>
            </w:tr>
            <w:tr w:rsidR="006F09F6" w:rsidRPr="006F09F6" w14:paraId="66FF4E26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721793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노사</w:t>
                  </w:r>
                </w:p>
              </w:tc>
            </w:tr>
            <w:tr w:rsidR="006F09F6" w:rsidRPr="006F09F6" w14:paraId="3FB37B6C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65E949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주가</w:t>
                  </w:r>
                </w:p>
              </w:tc>
            </w:tr>
          </w:tbl>
          <w:p w14:paraId="4B777361" w14:textId="72307E4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E9FBD73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3E61D" w14:textId="496A818D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D2F5696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1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98"/>
            </w:tblGrid>
            <w:tr w:rsidR="006F09F6" w:rsidRPr="006F09F6" w14:paraId="6ABD3F2D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3F917D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영업이익</w:t>
                  </w:r>
                </w:p>
              </w:tc>
            </w:tr>
            <w:tr w:rsidR="006F09F6" w:rsidRPr="006F09F6" w14:paraId="62CFDB9B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2D8839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임금교섭</w:t>
                  </w:r>
                </w:p>
              </w:tc>
            </w:tr>
            <w:tr w:rsidR="006F09F6" w:rsidRPr="006F09F6" w14:paraId="42BCA6D2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28AE89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무노조경영</w:t>
                  </w:r>
                </w:p>
              </w:tc>
            </w:tr>
            <w:tr w:rsidR="006F09F6" w:rsidRPr="006F09F6" w14:paraId="130FBA2A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589317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노조사무실</w:t>
                  </w:r>
                </w:p>
              </w:tc>
            </w:tr>
            <w:tr w:rsidR="006F09F6" w:rsidRPr="006F09F6" w14:paraId="2056A0F7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65AACF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당기순이익</w:t>
                  </w:r>
                </w:p>
              </w:tc>
            </w:tr>
            <w:tr w:rsidR="006F09F6" w:rsidRPr="006F09F6" w14:paraId="18ECF5D6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69EE6F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인상</w:t>
                  </w:r>
                </w:p>
              </w:tc>
            </w:tr>
            <w:tr w:rsidR="006F09F6" w:rsidRPr="006F09F6" w14:paraId="7177F67D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9FE097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조합</w:t>
                  </w:r>
                </w:p>
              </w:tc>
            </w:tr>
            <w:tr w:rsidR="006F09F6" w:rsidRPr="006F09F6" w14:paraId="5E3E2224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38205C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노사</w:t>
                  </w:r>
                </w:p>
              </w:tc>
            </w:tr>
            <w:tr w:rsidR="006F09F6" w:rsidRPr="006F09F6" w14:paraId="64C9FFCE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B0AC2D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주가</w:t>
                  </w:r>
                </w:p>
              </w:tc>
            </w:tr>
            <w:tr w:rsidR="006F09F6" w:rsidRPr="006F09F6" w14:paraId="44B66689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9A7CE6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영업이익</w:t>
                  </w:r>
                </w:p>
              </w:tc>
            </w:tr>
            <w:tr w:rsidR="006F09F6" w:rsidRPr="006F09F6" w14:paraId="20E0E8D6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886D96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임금교섭</w:t>
                  </w:r>
                </w:p>
              </w:tc>
            </w:tr>
            <w:tr w:rsidR="006F09F6" w:rsidRPr="006F09F6" w14:paraId="1890D42D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512F4F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무노조경영</w:t>
                  </w:r>
                </w:p>
              </w:tc>
            </w:tr>
            <w:tr w:rsidR="006F09F6" w:rsidRPr="006F09F6" w14:paraId="36E3A9D3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287A2C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노조사무실</w:t>
                  </w:r>
                </w:p>
              </w:tc>
            </w:tr>
            <w:tr w:rsidR="006F09F6" w:rsidRPr="006F09F6" w14:paraId="56378C7B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F6D433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당기순이익</w:t>
                  </w:r>
                </w:p>
              </w:tc>
            </w:tr>
            <w:tr w:rsidR="006F09F6" w:rsidRPr="006F09F6" w14:paraId="43ED25EB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5305D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인상</w:t>
                  </w:r>
                </w:p>
              </w:tc>
            </w:tr>
            <w:tr w:rsidR="006F09F6" w:rsidRPr="006F09F6" w14:paraId="22AB2242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482CE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조합</w:t>
                  </w:r>
                </w:p>
              </w:tc>
            </w:tr>
            <w:tr w:rsidR="006F09F6" w:rsidRPr="006F09F6" w14:paraId="3BF83805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4DF68D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노사</w:t>
                  </w:r>
                </w:p>
              </w:tc>
            </w:tr>
            <w:tr w:rsidR="006F09F6" w:rsidRPr="006F09F6" w14:paraId="1136E0A8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9E585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lastRenderedPageBreak/>
                    <w:t>주가</w:t>
                  </w:r>
                </w:p>
              </w:tc>
            </w:tr>
            <w:tr w:rsidR="006F09F6" w:rsidRPr="006F09F6" w14:paraId="5B49B712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9F005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영업이익</w:t>
                  </w:r>
                </w:p>
              </w:tc>
            </w:tr>
            <w:tr w:rsidR="006F09F6" w:rsidRPr="006F09F6" w14:paraId="64C654E5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0123C7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임금교섭</w:t>
                  </w:r>
                </w:p>
              </w:tc>
            </w:tr>
            <w:tr w:rsidR="006F09F6" w:rsidRPr="006F09F6" w14:paraId="34E3E558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B3B999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무노조경영</w:t>
                  </w:r>
                </w:p>
              </w:tc>
            </w:tr>
            <w:tr w:rsidR="006F09F6" w:rsidRPr="006F09F6" w14:paraId="720E1358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E234BE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노조사무실</w:t>
                  </w:r>
                </w:p>
              </w:tc>
            </w:tr>
            <w:tr w:rsidR="006F09F6" w:rsidRPr="006F09F6" w14:paraId="7301B937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090B42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당기순이익</w:t>
                  </w:r>
                </w:p>
              </w:tc>
            </w:tr>
            <w:tr w:rsidR="006F09F6" w:rsidRPr="006F09F6" w14:paraId="32533F5F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B75CF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인상</w:t>
                  </w:r>
                </w:p>
              </w:tc>
            </w:tr>
            <w:tr w:rsidR="006F09F6" w:rsidRPr="006F09F6" w14:paraId="70BBFE65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B2E9B1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조합</w:t>
                  </w:r>
                </w:p>
              </w:tc>
            </w:tr>
            <w:tr w:rsidR="006F09F6" w:rsidRPr="006F09F6" w14:paraId="6E5AEFFA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1B5363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노사</w:t>
                  </w:r>
                </w:p>
              </w:tc>
            </w:tr>
            <w:tr w:rsidR="006F09F6" w:rsidRPr="006F09F6" w14:paraId="11DD25D4" w14:textId="77777777" w:rsidTr="006F09F6">
              <w:trPr>
                <w:trHeight w:val="34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B54321" w14:textId="77777777" w:rsidR="006F09F6" w:rsidRPr="006F09F6" w:rsidRDefault="006F09F6" w:rsidP="006F09F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alibri" w:eastAsia="맑은 고딕" w:hAnsi="Calibri" w:cs="Calibri"/>
                      <w:kern w:val="0"/>
                      <w:szCs w:val="20"/>
                    </w:rPr>
                  </w:pPr>
                  <w:r w:rsidRPr="006F09F6">
                    <w:rPr>
                      <w:rFonts w:ascii="Calibri" w:eastAsia="맑은 고딕" w:hAnsi="Calibri" w:cs="Calibri"/>
                      <w:kern w:val="0"/>
                      <w:szCs w:val="20"/>
                    </w:rPr>
                    <w:t>주가</w:t>
                  </w:r>
                </w:p>
              </w:tc>
            </w:tr>
          </w:tbl>
          <w:p w14:paraId="5133D997" w14:textId="15F8EAF2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528EE90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62226" w14:textId="095A0EE6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651E569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4CD39" w14:textId="5EFA3DE2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999243B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89F05" w14:textId="4124E703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4E0DD30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FEC17" w14:textId="3FBF24B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2101AAEC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25988" w14:textId="22F1983E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DA45975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6F2FB" w14:textId="296A48BC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0E03B5B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8AFE2" w14:textId="6D750F57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2DC47D6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1EC1F" w14:textId="3EDA5B8A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5B819CB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946A6" w14:textId="59F69C5E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7FE2CE6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26DE2" w14:textId="64D996D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33FE01F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1DB88" w14:textId="0A7BB382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38CA390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5FECB" w14:textId="46A24510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F3F9635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C5899" w14:textId="5A40518D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18114CE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26B08" w14:textId="708566C9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2525233C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BBA42" w14:textId="48C521A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0546806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5838D" w14:textId="4DAA095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7A5AF2B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77D10" w14:textId="0F365057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5F5FF3A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DF53D" w14:textId="31B4D06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59CCB82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06DAF" w14:textId="00AAEA9D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32639678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81AA8" w14:textId="37F7468D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04323EA1" w14:textId="77777777" w:rsidTr="006F09F6">
        <w:trPr>
          <w:trHeight w:val="34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380D5" w14:textId="245A6DE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</w:tbl>
    <w:p w14:paraId="16444527" w14:textId="77777777" w:rsidR="00415016" w:rsidRDefault="00415016">
      <w:pPr>
        <w:rPr>
          <w:rFonts w:ascii="맑은 고딕" w:eastAsia="맑은 고딕" w:hAnsi="맑은 고딕"/>
          <w:color w:val="333333"/>
          <w:spacing w:val="-6"/>
        </w:rPr>
      </w:pPr>
    </w:p>
    <w:sectPr w:rsidR="00415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C70C" w14:textId="77777777" w:rsidR="003324BF" w:rsidRDefault="003324BF" w:rsidP="0056565A">
      <w:pPr>
        <w:spacing w:after="0" w:line="240" w:lineRule="auto"/>
      </w:pPr>
      <w:r>
        <w:separator/>
      </w:r>
    </w:p>
  </w:endnote>
  <w:endnote w:type="continuationSeparator" w:id="0">
    <w:p w14:paraId="0254B985" w14:textId="77777777" w:rsidR="003324BF" w:rsidRDefault="003324BF" w:rsidP="0056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2C44" w14:textId="77777777" w:rsidR="003324BF" w:rsidRDefault="003324BF" w:rsidP="0056565A">
      <w:pPr>
        <w:spacing w:after="0" w:line="240" w:lineRule="auto"/>
      </w:pPr>
      <w:r>
        <w:separator/>
      </w:r>
    </w:p>
  </w:footnote>
  <w:footnote w:type="continuationSeparator" w:id="0">
    <w:p w14:paraId="414C9F67" w14:textId="77777777" w:rsidR="003324BF" w:rsidRDefault="003324BF" w:rsidP="00565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0"/>
    <w:rsid w:val="001133E0"/>
    <w:rsid w:val="00293957"/>
    <w:rsid w:val="003324BF"/>
    <w:rsid w:val="00337EEA"/>
    <w:rsid w:val="00356CA2"/>
    <w:rsid w:val="00415016"/>
    <w:rsid w:val="004365AE"/>
    <w:rsid w:val="004B3979"/>
    <w:rsid w:val="0056565A"/>
    <w:rsid w:val="005A4EBF"/>
    <w:rsid w:val="006F09F6"/>
    <w:rsid w:val="00A22937"/>
    <w:rsid w:val="00D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BDBBC"/>
  <w15:chartTrackingRefBased/>
  <w15:docId w15:val="{1EA9682E-8B2A-479E-A951-F39E4942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133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33E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5656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565A"/>
  </w:style>
  <w:style w:type="paragraph" w:styleId="a4">
    <w:name w:val="footer"/>
    <w:basedOn w:val="a"/>
    <w:link w:val="Char0"/>
    <w:uiPriority w:val="99"/>
    <w:unhideWhenUsed/>
    <w:rsid w:val="005656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gkstndus1124@gmail.com</dc:creator>
  <cp:keywords/>
  <dc:description/>
  <cp:lastModifiedBy>gkstndus1124@gmail.com</cp:lastModifiedBy>
  <cp:revision>2</cp:revision>
  <dcterms:created xsi:type="dcterms:W3CDTF">2022-07-12T06:50:00Z</dcterms:created>
  <dcterms:modified xsi:type="dcterms:W3CDTF">2022-07-12T06:50:00Z</dcterms:modified>
</cp:coreProperties>
</file>