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关于采购供配电防雷装置检测服务的请示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技术保障部：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为确保深圳空管站供配电系统防雷装置持续满足规范要求，装备维护室（动力）拟组织开展供配电防雷装置检测工作，本次检测服务费用约6万元。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《中南空管局供配电设备运行维护管理细则》（MSATM-QSMS-TD-W23）明确要求，应根据《民用航空通信导航监视设施防雷技术规范》（MH/T 4020-2006）进行防雷设施的配置和维护，并定期进行防雷设施检测；《民用航空通信导航监视运行保障与维护维修规程》（AP-115-TM-2016-01）亦对通信导航监视设施的防雷安全管理提出明确要求，定期开展防雷装置检测是落实上述规章要求的具体举措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深圳空管站地处南海之滨，雷暴天气频繁，供配电系统防雷装置长期处于雷电电磁环境中，避雷器、接地装置等防雷元器件性能可能随时间推移出现劣化。若未按规定周期开展防雷检测、未能及时发现并整改防雷装置隐患，一旦遭受雷击，轻则造成供配电设备损坏，重则引发核心通信导航监视设备供电中断，严重威胁空管运行安全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根据《MSATM-QSMS-TD-W23》关于供配电隐患排查整改的要求，应定期开展隐患排查并及时整改。委托具备资质的专业机构对全站供配电系统防雷装置进行检测，依据检测报告对不合格项进行整改，可有效落实风险分级管控与隐患排查治理双重预防机制，确保防雷装置始终处于合格可用状态，保障供电链路安全可靠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委托具备防雷装置检测资质的专业机构，对深圳空管站供配电系统防雷装置开展全面检测，主要包括：各建筑物及设备机房的防雷接地装置接地电阻测试、避雷器绝缘及泄漏电流检测、等电位联结及屏蔽系统检查、防雷元器件性能核查等，并出具具有法律效力的检测报告，作为隐患整改和台账管理的依据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本次采购供配电防雷装置检测服务费用约6万元，拟使用年度预算【维修维护】科目列支。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按照深圳空管站直接采购相关规定，由装备维护室（动力）负责组织询价比选，择优选取具备防雷装置检测资质的专业机构，完成检测服务采购及现场检测工作。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本项目经技术保障部审核批准后，由装备维护室（动力）作为主办部门负责组织实施，计划于批准后一个月内完成检测服务采购及现场检测，并依据检测报告及时跟进整改工作，做好相应记录归档。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装备维护室（动力）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