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18D33">
      <w:bookmarkStart w:id="68" w:name="_GoBack"/>
      <w:bookmarkStart w:id="0" w:name="_Toc374160656"/>
      <w:bookmarkStart w:id="1" w:name="_Toc374158510"/>
      <w:bookmarkStart w:id="2" w:name="_Toc263925553"/>
      <w:bookmarkStart w:id="3" w:name="_Toc374158602"/>
      <w:bookmarkStart w:id="4" w:name="_Toc368135171"/>
      <w:bookmarkStart w:id="5" w:name="_Toc368160202"/>
      <w:bookmarkStart w:id="6" w:name="_Toc401751182"/>
      <w:bookmarkStart w:id="7" w:name="_Toc385597236"/>
      <w:bookmarkStart w:id="8" w:name="_Toc368160171"/>
      <w:bookmarkStart w:id="9" w:name="_Toc387824181"/>
      <w:bookmarkStart w:id="10" w:name="_Toc389053143"/>
      <w:r>
        <w:rPr>
          <w:rFonts w:hint="eastAsia"/>
        </w:rPr>
        <w:t>中南</w:t>
      </w:r>
      <w:r>
        <w:t>空管局</w:t>
      </w:r>
      <w:r>
        <w:rPr>
          <w:rFonts w:hint="eastAsia"/>
        </w:rPr>
        <w:t>供配电设备运行维护管理细则</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0"/>
        <w:gridCol w:w="1636"/>
        <w:gridCol w:w="1512"/>
        <w:gridCol w:w="1884"/>
        <w:gridCol w:w="2908"/>
      </w:tblGrid>
      <w:tr w14:paraId="3EA7D399">
        <w:trPr>
          <w:trHeight w:val="325" w:hRule="atLeast"/>
          <w:jc w:val="center"/>
        </w:trPr>
        <w:tc>
          <w:tcPr>
            <w:tcW w:w="1640" w:type="dxa"/>
            <w:tcBorders>
              <w:top w:val="single" w:color="auto" w:sz="4" w:space="0"/>
              <w:left w:val="single" w:color="auto" w:sz="4" w:space="0"/>
              <w:bottom w:val="single" w:color="auto" w:sz="4" w:space="0"/>
              <w:right w:val="single" w:color="auto" w:sz="4" w:space="0"/>
            </w:tcBorders>
            <w:vAlign w:val="center"/>
          </w:tcPr>
          <w:p w14:paraId="35E24054">
            <w:pPr>
              <w:rPr>
                <w:rFonts w:ascii="宋体" w:hAnsi="宋体" w:eastAsia="宋体"/>
              </w:rPr>
            </w:pPr>
            <w:r>
              <w:rPr>
                <w:rFonts w:hint="eastAsia" w:ascii="宋体" w:hAnsi="宋体" w:eastAsia="宋体"/>
              </w:rPr>
              <w:t>版本</w:t>
            </w:r>
            <w:r>
              <w:rPr>
                <w:rFonts w:ascii="宋体" w:hAnsi="宋体" w:eastAsia="宋体"/>
              </w:rPr>
              <w:t xml:space="preserve"> </w:t>
            </w:r>
          </w:p>
        </w:tc>
        <w:tc>
          <w:tcPr>
            <w:tcW w:w="3148" w:type="dxa"/>
            <w:gridSpan w:val="2"/>
            <w:tcBorders>
              <w:top w:val="single" w:color="auto" w:sz="4" w:space="0"/>
              <w:left w:val="single" w:color="auto" w:sz="4" w:space="0"/>
              <w:bottom w:val="single" w:color="auto" w:sz="4" w:space="0"/>
              <w:right w:val="single" w:color="auto" w:sz="4" w:space="0"/>
            </w:tcBorders>
            <w:vAlign w:val="center"/>
          </w:tcPr>
          <w:p w14:paraId="10210FC6">
            <w:pPr>
              <w:rPr>
                <w:rFonts w:ascii="宋体" w:hAnsi="宋体" w:eastAsia="宋体"/>
              </w:rPr>
            </w:pPr>
            <w:r>
              <w:rPr>
                <w:rFonts w:hint="eastAsia" w:ascii="宋体" w:hAnsi="宋体" w:eastAsia="宋体"/>
              </w:rPr>
              <w:t>2022</w:t>
            </w:r>
          </w:p>
        </w:tc>
        <w:tc>
          <w:tcPr>
            <w:tcW w:w="1884" w:type="dxa"/>
            <w:tcBorders>
              <w:top w:val="single" w:color="auto" w:sz="4" w:space="0"/>
              <w:left w:val="single" w:color="auto" w:sz="4" w:space="0"/>
              <w:bottom w:val="single" w:color="auto" w:sz="4" w:space="0"/>
              <w:right w:val="single" w:color="auto" w:sz="4" w:space="0"/>
            </w:tcBorders>
            <w:vAlign w:val="center"/>
          </w:tcPr>
          <w:p w14:paraId="30F67128">
            <w:pPr>
              <w:rPr>
                <w:rFonts w:ascii="宋体" w:hAnsi="宋体" w:eastAsia="宋体"/>
              </w:rPr>
            </w:pPr>
            <w:r>
              <w:rPr>
                <w:rFonts w:hint="eastAsia" w:ascii="宋体" w:hAnsi="宋体" w:eastAsia="宋体"/>
              </w:rPr>
              <w:t>文件编号</w:t>
            </w:r>
          </w:p>
        </w:tc>
        <w:tc>
          <w:tcPr>
            <w:tcW w:w="2908" w:type="dxa"/>
            <w:tcBorders>
              <w:top w:val="single" w:color="auto" w:sz="4" w:space="0"/>
              <w:left w:val="single" w:color="auto" w:sz="4" w:space="0"/>
              <w:bottom w:val="single" w:color="auto" w:sz="4" w:space="0"/>
              <w:right w:val="single" w:color="auto" w:sz="4" w:space="0"/>
            </w:tcBorders>
            <w:vAlign w:val="center"/>
          </w:tcPr>
          <w:p w14:paraId="1D73BC1C">
            <w:pPr>
              <w:rPr>
                <w:rFonts w:ascii="宋体" w:hAnsi="宋体" w:eastAsia="宋体"/>
              </w:rPr>
            </w:pPr>
            <w:r>
              <w:rPr>
                <w:rFonts w:hint="eastAsia" w:ascii="宋体" w:hAnsi="宋体" w:eastAsia="宋体"/>
              </w:rPr>
              <w:t>MS</w:t>
            </w:r>
            <w:r>
              <w:rPr>
                <w:rFonts w:ascii="宋体" w:hAnsi="宋体" w:eastAsia="宋体"/>
              </w:rPr>
              <w:t>ATM/QSMS-</w:t>
            </w:r>
            <w:r>
              <w:rPr>
                <w:rFonts w:hint="eastAsia" w:ascii="宋体" w:hAnsi="宋体" w:eastAsia="宋体"/>
              </w:rPr>
              <w:t>TD</w:t>
            </w:r>
            <w:r>
              <w:rPr>
                <w:rFonts w:ascii="宋体" w:hAnsi="宋体" w:eastAsia="宋体"/>
              </w:rPr>
              <w:t>-</w:t>
            </w:r>
            <w:r>
              <w:rPr>
                <w:rFonts w:hint="eastAsia" w:ascii="宋体" w:hAnsi="宋体" w:eastAsia="宋体"/>
              </w:rPr>
              <w:t>W</w:t>
            </w:r>
            <w:r>
              <w:rPr>
                <w:rFonts w:ascii="宋体" w:hAnsi="宋体" w:eastAsia="宋体"/>
              </w:rPr>
              <w:t>23</w:t>
            </w:r>
          </w:p>
        </w:tc>
      </w:tr>
      <w:tr w14:paraId="1CEF2B66">
        <w:trPr>
          <w:trHeight w:val="325" w:hRule="atLeast"/>
          <w:jc w:val="center"/>
        </w:trPr>
        <w:tc>
          <w:tcPr>
            <w:tcW w:w="1640" w:type="dxa"/>
            <w:vAlign w:val="center"/>
          </w:tcPr>
          <w:p w14:paraId="1EEB5E69">
            <w:pPr>
              <w:rPr>
                <w:rFonts w:ascii="宋体" w:hAnsi="宋体" w:eastAsia="宋体"/>
              </w:rPr>
            </w:pPr>
            <w:r>
              <w:rPr>
                <w:rFonts w:hint="eastAsia" w:ascii="宋体" w:hAnsi="宋体" w:eastAsia="宋体"/>
              </w:rPr>
              <w:t>修改号</w:t>
            </w:r>
          </w:p>
        </w:tc>
        <w:tc>
          <w:tcPr>
            <w:tcW w:w="1636" w:type="dxa"/>
            <w:vAlign w:val="center"/>
          </w:tcPr>
          <w:p w14:paraId="378BA945">
            <w:pPr>
              <w:rPr>
                <w:rFonts w:ascii="宋体" w:hAnsi="宋体" w:eastAsia="宋体"/>
              </w:rPr>
            </w:pPr>
            <w:r>
              <w:rPr>
                <w:rFonts w:hint="eastAsia" w:ascii="宋体" w:hAnsi="宋体" w:eastAsia="宋体"/>
              </w:rPr>
              <w:t>编写</w:t>
            </w:r>
          </w:p>
        </w:tc>
        <w:tc>
          <w:tcPr>
            <w:tcW w:w="1512" w:type="dxa"/>
            <w:vAlign w:val="center"/>
          </w:tcPr>
          <w:p w14:paraId="53B920A0">
            <w:pPr>
              <w:rPr>
                <w:rFonts w:ascii="宋体" w:hAnsi="宋体" w:eastAsia="宋体"/>
              </w:rPr>
            </w:pPr>
            <w:r>
              <w:rPr>
                <w:rFonts w:hint="eastAsia" w:ascii="宋体" w:hAnsi="宋体" w:eastAsia="宋体"/>
              </w:rPr>
              <w:t>审核</w:t>
            </w:r>
          </w:p>
        </w:tc>
        <w:tc>
          <w:tcPr>
            <w:tcW w:w="1884" w:type="dxa"/>
            <w:vAlign w:val="center"/>
          </w:tcPr>
          <w:p w14:paraId="581C2DEE">
            <w:pPr>
              <w:rPr>
                <w:rFonts w:ascii="宋体" w:hAnsi="宋体" w:eastAsia="宋体"/>
              </w:rPr>
            </w:pPr>
            <w:r>
              <w:rPr>
                <w:rFonts w:hint="eastAsia" w:ascii="宋体" w:hAnsi="宋体" w:eastAsia="宋体"/>
              </w:rPr>
              <w:t>批准</w:t>
            </w:r>
          </w:p>
        </w:tc>
        <w:tc>
          <w:tcPr>
            <w:tcW w:w="2908" w:type="dxa"/>
            <w:vAlign w:val="center"/>
          </w:tcPr>
          <w:p w14:paraId="791232DD">
            <w:pPr>
              <w:rPr>
                <w:rFonts w:ascii="宋体" w:hAnsi="宋体" w:eastAsia="宋体"/>
              </w:rPr>
            </w:pPr>
            <w:r>
              <w:rPr>
                <w:rFonts w:hint="eastAsia" w:ascii="宋体" w:hAnsi="宋体" w:eastAsia="宋体"/>
              </w:rPr>
              <w:t>生效日期</w:t>
            </w:r>
          </w:p>
        </w:tc>
      </w:tr>
      <w:tr w14:paraId="01CF6C1D">
        <w:trPr>
          <w:trHeight w:val="325" w:hRule="atLeast"/>
          <w:jc w:val="center"/>
        </w:trPr>
        <w:tc>
          <w:tcPr>
            <w:tcW w:w="1640" w:type="dxa"/>
            <w:vAlign w:val="center"/>
          </w:tcPr>
          <w:p w14:paraId="77D8011E">
            <w:pPr>
              <w:rPr>
                <w:rFonts w:ascii="宋体" w:hAnsi="宋体" w:eastAsia="宋体"/>
              </w:rPr>
            </w:pPr>
            <w:r>
              <w:rPr>
                <w:rFonts w:hint="eastAsia" w:ascii="宋体" w:hAnsi="宋体" w:eastAsia="宋体"/>
              </w:rPr>
              <w:t>1</w:t>
            </w:r>
          </w:p>
        </w:tc>
        <w:tc>
          <w:tcPr>
            <w:tcW w:w="1636" w:type="dxa"/>
            <w:vAlign w:val="center"/>
          </w:tcPr>
          <w:p w14:paraId="4AA13D71">
            <w:pPr>
              <w:rPr>
                <w:rFonts w:ascii="宋体" w:hAnsi="宋体" w:eastAsia="宋体"/>
              </w:rPr>
            </w:pPr>
            <w:r>
              <w:rPr>
                <w:rFonts w:hint="eastAsia" w:ascii="宋体" w:hAnsi="宋体" w:eastAsia="宋体"/>
              </w:rPr>
              <w:t>姚渊</w:t>
            </w:r>
          </w:p>
        </w:tc>
        <w:tc>
          <w:tcPr>
            <w:tcW w:w="1512" w:type="dxa"/>
            <w:vAlign w:val="center"/>
          </w:tcPr>
          <w:p w14:paraId="5ED1D27D">
            <w:pPr>
              <w:rPr>
                <w:rFonts w:ascii="宋体" w:hAnsi="宋体" w:eastAsia="宋体"/>
              </w:rPr>
            </w:pPr>
            <w:r>
              <w:rPr>
                <w:rFonts w:hint="eastAsia" w:ascii="宋体" w:hAnsi="宋体" w:eastAsia="宋体"/>
              </w:rPr>
              <w:t>蔡琪</w:t>
            </w:r>
          </w:p>
        </w:tc>
        <w:tc>
          <w:tcPr>
            <w:tcW w:w="1884" w:type="dxa"/>
            <w:vAlign w:val="center"/>
          </w:tcPr>
          <w:p w14:paraId="631A5927">
            <w:pPr>
              <w:rPr>
                <w:rFonts w:ascii="宋体" w:hAnsi="宋体" w:eastAsia="宋体"/>
              </w:rPr>
            </w:pPr>
            <w:r>
              <w:rPr>
                <w:rFonts w:hint="eastAsia" w:ascii="宋体" w:hAnsi="宋体" w:eastAsia="宋体"/>
              </w:rPr>
              <w:t>袁峥</w:t>
            </w:r>
          </w:p>
        </w:tc>
        <w:tc>
          <w:tcPr>
            <w:tcW w:w="2908" w:type="dxa"/>
            <w:vAlign w:val="center"/>
          </w:tcPr>
          <w:p w14:paraId="358A211B">
            <w:pPr>
              <w:rPr>
                <w:rFonts w:ascii="宋体" w:hAnsi="宋体" w:eastAsia="宋体"/>
              </w:rPr>
            </w:pPr>
            <w:r>
              <w:rPr>
                <w:rFonts w:hint="eastAsia" w:ascii="宋体" w:hAnsi="宋体" w:eastAsia="宋体"/>
              </w:rPr>
              <w:t>20</w:t>
            </w:r>
            <w:r>
              <w:rPr>
                <w:rFonts w:ascii="宋体" w:hAnsi="宋体" w:eastAsia="宋体"/>
              </w:rPr>
              <w:t>2</w:t>
            </w:r>
            <w:r>
              <w:rPr>
                <w:rFonts w:hint="eastAsia" w:ascii="宋体" w:hAnsi="宋体" w:eastAsia="宋体"/>
              </w:rPr>
              <w:t>4年4月1日</w:t>
            </w:r>
          </w:p>
        </w:tc>
      </w:tr>
    </w:tbl>
    <w:p w14:paraId="49FC4C4F">
      <w:pPr>
        <w:pStyle w:val="26"/>
      </w:pPr>
    </w:p>
    <w:p w14:paraId="77B44D75">
      <w:pPr>
        <w:pStyle w:val="28"/>
        <w:numPr>
          <w:ilvl w:val="0"/>
          <w:numId w:val="5"/>
        </w:numPr>
        <w:spacing w:beforeLines="0" w:afterLines="0" w:line="360" w:lineRule="auto"/>
        <w:outlineLvl w:val="0"/>
        <w:rPr>
          <w:rFonts w:hAnsi="黑体"/>
          <w:sz w:val="24"/>
          <w:szCs w:val="24"/>
        </w:rPr>
      </w:pPr>
      <w:r>
        <w:rPr>
          <w:rFonts w:hint="eastAsia" w:hAnsi="黑体"/>
          <w:sz w:val="24"/>
          <w:szCs w:val="24"/>
        </w:rPr>
        <w:t>目  的</w:t>
      </w:r>
    </w:p>
    <w:p w14:paraId="002ED2D1">
      <w:pPr>
        <w:pStyle w:val="26"/>
      </w:pPr>
      <w:bookmarkStart w:id="11" w:name="_Hlk162278406"/>
      <w:r>
        <w:rPr>
          <w:rFonts w:hint="eastAsia"/>
        </w:rPr>
        <w:t>为加强民航中南空管局供配电设备的运行维护管理，明确设备</w:t>
      </w:r>
      <w:r>
        <w:t>运行维护的管理要求，</w:t>
      </w:r>
      <w:r>
        <w:rPr>
          <w:rFonts w:hint="eastAsia"/>
        </w:rPr>
        <w:t>规范</w:t>
      </w:r>
      <w:r>
        <w:t>设备运行维护</w:t>
      </w:r>
      <w:r>
        <w:rPr>
          <w:rFonts w:hint="eastAsia"/>
        </w:rPr>
        <w:t>的</w:t>
      </w:r>
      <w:r>
        <w:t>操作程序，</w:t>
      </w:r>
      <w:r>
        <w:rPr>
          <w:rFonts w:hint="eastAsia"/>
        </w:rPr>
        <w:t>根据《民用航空通信导航监视运行保障与维护维修规程》（AP-115-TM-2016-01），</w:t>
      </w:r>
      <w:r>
        <w:t>结合中南空管局实际情况，</w:t>
      </w:r>
      <w:r>
        <w:rPr>
          <w:rFonts w:hint="eastAsia"/>
        </w:rPr>
        <w:t>制订本管理细则。</w:t>
      </w:r>
    </w:p>
    <w:bookmarkEnd w:id="11"/>
    <w:p w14:paraId="5493FAE9">
      <w:pPr>
        <w:pStyle w:val="28"/>
        <w:numPr>
          <w:ilvl w:val="0"/>
          <w:numId w:val="5"/>
        </w:numPr>
        <w:spacing w:beforeLines="0" w:afterLines="0" w:line="360" w:lineRule="auto"/>
        <w:outlineLvl w:val="0"/>
        <w:rPr>
          <w:rFonts w:hAnsi="黑体"/>
          <w:sz w:val="24"/>
          <w:szCs w:val="24"/>
        </w:rPr>
      </w:pPr>
      <w:r>
        <w:rPr>
          <w:rFonts w:hint="eastAsia" w:hAnsi="黑体"/>
          <w:sz w:val="24"/>
          <w:szCs w:val="24"/>
        </w:rPr>
        <w:t>范  围</w:t>
      </w:r>
      <w:bookmarkEnd w:id="0"/>
      <w:bookmarkEnd w:id="1"/>
      <w:bookmarkEnd w:id="2"/>
      <w:bookmarkEnd w:id="3"/>
      <w:bookmarkEnd w:id="4"/>
      <w:bookmarkEnd w:id="5"/>
      <w:bookmarkEnd w:id="6"/>
      <w:bookmarkEnd w:id="7"/>
      <w:bookmarkEnd w:id="8"/>
      <w:bookmarkEnd w:id="9"/>
      <w:bookmarkEnd w:id="10"/>
    </w:p>
    <w:p w14:paraId="6EE761B0">
      <w:pPr>
        <w:pStyle w:val="26"/>
      </w:pPr>
      <w:r>
        <w:rPr>
          <w:rFonts w:hint="eastAsia"/>
        </w:rPr>
        <w:t>本管理细则适用于民航中南空管局所属供配电设备的运行维护管理工作，</w:t>
      </w:r>
      <w:r>
        <w:t>中</w:t>
      </w:r>
      <w:r>
        <w:rPr>
          <w:rFonts w:hint="eastAsia"/>
        </w:rPr>
        <w:t>南</w:t>
      </w:r>
      <w:r>
        <w:t>空管局</w:t>
      </w:r>
      <w:r>
        <w:rPr>
          <w:rFonts w:hint="eastAsia"/>
        </w:rPr>
        <w:t>各设备运行保障单位均应遵照执行。</w:t>
      </w:r>
    </w:p>
    <w:p w14:paraId="72F24A93">
      <w:pPr>
        <w:pStyle w:val="28"/>
        <w:numPr>
          <w:ilvl w:val="0"/>
          <w:numId w:val="5"/>
        </w:numPr>
        <w:spacing w:beforeLines="0" w:afterLines="0" w:line="360" w:lineRule="auto"/>
        <w:outlineLvl w:val="0"/>
        <w:rPr>
          <w:rFonts w:hAnsi="黑体"/>
          <w:sz w:val="24"/>
          <w:szCs w:val="24"/>
        </w:rPr>
      </w:pPr>
      <w:bookmarkStart w:id="12" w:name="_Toc385597237"/>
      <w:bookmarkStart w:id="13" w:name="_Toc401751183"/>
      <w:bookmarkStart w:id="14" w:name="_Toc368160172"/>
      <w:bookmarkStart w:id="15" w:name="_Toc368160203"/>
      <w:bookmarkStart w:id="16" w:name="_Toc387824182"/>
      <w:bookmarkStart w:id="17" w:name="_Toc374160657"/>
      <w:bookmarkStart w:id="18" w:name="_Toc368135172"/>
      <w:bookmarkStart w:id="19" w:name="_Toc374158511"/>
      <w:bookmarkStart w:id="20" w:name="_Toc263925554"/>
      <w:bookmarkStart w:id="21" w:name="_Toc389053144"/>
      <w:bookmarkStart w:id="22" w:name="_Toc374158603"/>
      <w:r>
        <w:rPr>
          <w:rFonts w:hint="eastAsia" w:hAnsi="黑体"/>
          <w:sz w:val="24"/>
          <w:szCs w:val="24"/>
        </w:rPr>
        <w:t>规范性引用文件</w:t>
      </w:r>
      <w:bookmarkEnd w:id="12"/>
      <w:bookmarkEnd w:id="13"/>
      <w:bookmarkEnd w:id="14"/>
      <w:bookmarkEnd w:id="15"/>
      <w:bookmarkEnd w:id="16"/>
      <w:bookmarkEnd w:id="17"/>
      <w:bookmarkEnd w:id="18"/>
      <w:bookmarkEnd w:id="19"/>
      <w:bookmarkEnd w:id="20"/>
      <w:bookmarkEnd w:id="21"/>
      <w:bookmarkEnd w:id="22"/>
    </w:p>
    <w:p w14:paraId="73256AAA">
      <w:pPr>
        <w:pStyle w:val="26"/>
      </w:pPr>
      <w:r>
        <w:rPr>
          <w:rFonts w:hint="eastAsia"/>
        </w:rPr>
        <w:t>民用航空通信导航监视运行保障与维护维修规程（AP-115-TM-2016-01）</w:t>
      </w:r>
    </w:p>
    <w:p w14:paraId="49D81F83">
      <w:pPr>
        <w:pStyle w:val="26"/>
      </w:pPr>
      <w:r>
        <w:rPr>
          <w:rFonts w:hint="eastAsia"/>
        </w:rPr>
        <w:t>民航空管通信导航监视设施设备供配电配置指导材料（IB-TM-2015-005）</w:t>
      </w:r>
    </w:p>
    <w:p w14:paraId="5ECADD26">
      <w:pPr>
        <w:pStyle w:val="26"/>
      </w:pPr>
      <w:r>
        <w:rPr>
          <w:rFonts w:hint="eastAsia"/>
        </w:rPr>
        <w:t>民用航空通信导航监视设施防雷技术规范（MH/T 4020-2006）</w:t>
      </w:r>
    </w:p>
    <w:p w14:paraId="1552B695">
      <w:pPr>
        <w:pStyle w:val="26"/>
      </w:pPr>
      <w:r>
        <w:rPr>
          <w:rFonts w:hint="eastAsia"/>
        </w:rPr>
        <w:t>通信导航监视设备机房管理规定（</w:t>
      </w:r>
      <w:r>
        <w:t>MS</w:t>
      </w:r>
      <w:r>
        <w:rPr>
          <w:rFonts w:hint="eastAsia"/>
        </w:rPr>
        <w:t>ATM/QSMS</w:t>
      </w:r>
      <w:r>
        <w:t>-TD-W16</w:t>
      </w:r>
      <w:r>
        <w:rPr>
          <w:rFonts w:hint="eastAsia"/>
        </w:rPr>
        <w:t>）</w:t>
      </w:r>
    </w:p>
    <w:p w14:paraId="3C38BB16">
      <w:pPr>
        <w:pStyle w:val="26"/>
      </w:pPr>
      <w:r>
        <w:rPr>
          <w:rFonts w:hint="eastAsia"/>
          <w:highlight w:val="yellow"/>
        </w:rPr>
        <w:t>通信导航监视设备投入与</w:t>
      </w:r>
      <w:r>
        <w:rPr>
          <w:highlight w:val="yellow"/>
        </w:rPr>
        <w:t>退出</w:t>
      </w:r>
      <w:r>
        <w:rPr>
          <w:rFonts w:hint="eastAsia"/>
          <w:highlight w:val="yellow"/>
        </w:rPr>
        <w:t>运行管理规定（</w:t>
      </w:r>
      <w:r>
        <w:rPr>
          <w:highlight w:val="yellow"/>
        </w:rPr>
        <w:t>MS</w:t>
      </w:r>
      <w:r>
        <w:rPr>
          <w:rFonts w:hint="eastAsia"/>
          <w:highlight w:val="yellow"/>
        </w:rPr>
        <w:t>ATM/QSMS</w:t>
      </w:r>
      <w:r>
        <w:rPr>
          <w:highlight w:val="yellow"/>
        </w:rPr>
        <w:t>-TD-W08</w:t>
      </w:r>
      <w:r>
        <w:rPr>
          <w:rFonts w:hint="eastAsia"/>
          <w:highlight w:val="yellow"/>
        </w:rPr>
        <w:t>）</w:t>
      </w:r>
    </w:p>
    <w:p w14:paraId="2E20365C">
      <w:pPr>
        <w:pStyle w:val="26"/>
      </w:pPr>
      <w:r>
        <w:rPr>
          <w:rFonts w:hint="eastAsia"/>
        </w:rPr>
        <w:t>通信</w:t>
      </w:r>
      <w:r>
        <w:t>导航监视</w:t>
      </w:r>
      <w:r>
        <w:rPr>
          <w:rFonts w:hint="eastAsia"/>
        </w:rPr>
        <w:t>零备件管理细则（</w:t>
      </w:r>
      <w:r>
        <w:t>MS</w:t>
      </w:r>
      <w:r>
        <w:rPr>
          <w:rFonts w:hint="eastAsia"/>
        </w:rPr>
        <w:t>ATM/QSMS</w:t>
      </w:r>
      <w:r>
        <w:t>-TD-W22</w:t>
      </w:r>
      <w:r>
        <w:rPr>
          <w:rFonts w:hint="eastAsia"/>
        </w:rPr>
        <w:t>）</w:t>
      </w:r>
    </w:p>
    <w:p w14:paraId="5CBD7903">
      <w:pPr>
        <w:pStyle w:val="28"/>
        <w:numPr>
          <w:ilvl w:val="0"/>
          <w:numId w:val="5"/>
        </w:numPr>
        <w:spacing w:beforeLines="0" w:afterLines="0" w:line="360" w:lineRule="auto"/>
        <w:outlineLvl w:val="0"/>
        <w:rPr>
          <w:vanish/>
        </w:rPr>
      </w:pPr>
      <w:bookmarkStart w:id="23" w:name="_Toc263925555"/>
      <w:bookmarkEnd w:id="23"/>
      <w:bookmarkStart w:id="24" w:name="_Toc385597238"/>
      <w:bookmarkStart w:id="25" w:name="_Toc374158604"/>
      <w:bookmarkStart w:id="26" w:name="_Toc374160658"/>
      <w:bookmarkStart w:id="27" w:name="_Toc401751184"/>
      <w:bookmarkStart w:id="28" w:name="_Toc368135173"/>
      <w:bookmarkStart w:id="29" w:name="_Toc389053145"/>
      <w:bookmarkStart w:id="30" w:name="_Toc374158512"/>
      <w:bookmarkStart w:id="31" w:name="_Toc368160173"/>
      <w:bookmarkStart w:id="32" w:name="_Toc387824183"/>
      <w:bookmarkStart w:id="33" w:name="_Toc368160204"/>
      <w:r>
        <w:rPr>
          <w:rFonts w:hint="eastAsia" w:hAnsi="黑体"/>
          <w:sz w:val="24"/>
          <w:szCs w:val="24"/>
        </w:rPr>
        <w:t>术语和定义</w:t>
      </w:r>
      <w:bookmarkEnd w:id="24"/>
      <w:bookmarkEnd w:id="25"/>
      <w:bookmarkEnd w:id="26"/>
      <w:bookmarkEnd w:id="27"/>
      <w:bookmarkEnd w:id="28"/>
      <w:bookmarkEnd w:id="29"/>
      <w:bookmarkEnd w:id="30"/>
      <w:bookmarkEnd w:id="31"/>
      <w:bookmarkEnd w:id="32"/>
      <w:bookmarkEnd w:id="33"/>
      <w:bookmarkStart w:id="34" w:name="_Toc387824184"/>
      <w:bookmarkEnd w:id="34"/>
      <w:bookmarkStart w:id="35" w:name="_Toc389053146"/>
      <w:bookmarkEnd w:id="35"/>
      <w:bookmarkStart w:id="36" w:name="_Toc385597239"/>
      <w:bookmarkEnd w:id="36"/>
      <w:bookmarkStart w:id="37" w:name="_Toc374158605"/>
      <w:bookmarkEnd w:id="37"/>
      <w:bookmarkStart w:id="38" w:name="_Toc374160659"/>
      <w:bookmarkEnd w:id="38"/>
      <w:bookmarkStart w:id="39" w:name="_Toc368135174"/>
      <w:bookmarkEnd w:id="39"/>
      <w:bookmarkStart w:id="40" w:name="_Toc401751185"/>
      <w:bookmarkEnd w:id="40"/>
      <w:bookmarkStart w:id="41" w:name="_Toc374158513"/>
      <w:bookmarkEnd w:id="41"/>
      <w:bookmarkStart w:id="42" w:name="_Toc368160174"/>
      <w:bookmarkEnd w:id="42"/>
      <w:bookmarkStart w:id="43" w:name="_Toc368160205"/>
      <w:bookmarkEnd w:id="43"/>
    </w:p>
    <w:p w14:paraId="47C88031">
      <w:pPr>
        <w:pStyle w:val="30"/>
        <w:numPr>
          <w:ilvl w:val="1"/>
          <w:numId w:val="5"/>
        </w:numPr>
      </w:pPr>
    </w:p>
    <w:p w14:paraId="57256685">
      <w:pPr>
        <w:pStyle w:val="30"/>
        <w:numPr>
          <w:ilvl w:val="1"/>
          <w:numId w:val="5"/>
        </w:numPr>
      </w:pPr>
      <w:r>
        <w:rPr>
          <w:rFonts w:hint="eastAsia"/>
        </w:rPr>
        <w:t>高压设备</w:t>
      </w:r>
    </w:p>
    <w:p w14:paraId="7A540DD2">
      <w:pPr>
        <w:pStyle w:val="26"/>
      </w:pPr>
      <w:r>
        <w:rPr>
          <w:rFonts w:hint="eastAsia"/>
        </w:rPr>
        <w:t>包括高压线路、高压配电柜和变压器等。</w:t>
      </w:r>
    </w:p>
    <w:p w14:paraId="2B10DEEB">
      <w:pPr>
        <w:pStyle w:val="30"/>
        <w:numPr>
          <w:ilvl w:val="1"/>
          <w:numId w:val="5"/>
        </w:numPr>
      </w:pPr>
      <w:r>
        <w:rPr>
          <w:rFonts w:hint="eastAsia"/>
        </w:rPr>
        <w:t>低压设备</w:t>
      </w:r>
    </w:p>
    <w:p w14:paraId="62EE0D7C">
      <w:pPr>
        <w:pStyle w:val="26"/>
      </w:pPr>
      <w:r>
        <w:rPr>
          <w:rFonts w:hint="eastAsia"/>
        </w:rPr>
        <w:t>包括低压配电柜、油机、不间断电源（UPS）、直流配电柜、蓄电池、自动</w:t>
      </w:r>
      <w:r>
        <w:t>转换开关</w:t>
      </w:r>
      <w:r>
        <w:rPr>
          <w:rFonts w:hint="eastAsia"/>
        </w:rPr>
        <w:t>（ATS）、静态切换系统（STS）、末端配电设备等。</w:t>
      </w:r>
    </w:p>
    <w:p w14:paraId="286659F0">
      <w:pPr>
        <w:pStyle w:val="30"/>
        <w:numPr>
          <w:ilvl w:val="1"/>
          <w:numId w:val="5"/>
        </w:numPr>
      </w:pPr>
      <w:r>
        <w:rPr>
          <w:rFonts w:hint="eastAsia"/>
        </w:rPr>
        <w:t>容量核对性放电</w:t>
      </w:r>
    </w:p>
    <w:p w14:paraId="4A8B41BD">
      <w:pPr>
        <w:pStyle w:val="26"/>
      </w:pPr>
      <w:r>
        <w:rPr>
          <w:rFonts w:hint="eastAsia"/>
        </w:rPr>
        <w:t>为</w:t>
      </w:r>
      <w:r>
        <w:t>检验</w:t>
      </w:r>
      <w:r>
        <w:rPr>
          <w:rFonts w:hint="eastAsia"/>
        </w:rPr>
        <w:t>蓄电池的实际</w:t>
      </w:r>
      <w:r>
        <w:t>容量，</w:t>
      </w:r>
      <w:r>
        <w:rPr>
          <w:rFonts w:hint="eastAsia"/>
        </w:rPr>
        <w:t>对蓄电池进行长时间的放电维护</w:t>
      </w:r>
      <w:r>
        <w:t>，</w:t>
      </w:r>
      <w:r>
        <w:rPr>
          <w:rFonts w:hint="eastAsia"/>
        </w:rPr>
        <w:t>直到达到规定的放电时长或结束电压，利用测试数据评判蓄电池的实际容量和性能状态。</w:t>
      </w:r>
    </w:p>
    <w:p w14:paraId="78F54E0B">
      <w:pPr>
        <w:pStyle w:val="30"/>
        <w:numPr>
          <w:ilvl w:val="1"/>
          <w:numId w:val="5"/>
        </w:numPr>
      </w:pPr>
      <w:r>
        <w:rPr>
          <w:rFonts w:hint="eastAsia"/>
        </w:rPr>
        <w:t>功能验证性放电</w:t>
      </w:r>
    </w:p>
    <w:p w14:paraId="3F21C3B2">
      <w:pPr>
        <w:pStyle w:val="26"/>
      </w:pPr>
      <w:r>
        <w:rPr>
          <w:rFonts w:hint="eastAsia"/>
        </w:rPr>
        <w:t>为验证蓄电池应急供电时的可靠性，对蓄电池进行短时间的放电测试，利用放电测试判断蓄电池的可用状态。</w:t>
      </w:r>
    </w:p>
    <w:p w14:paraId="39D7B7F2">
      <w:pPr>
        <w:pStyle w:val="28"/>
        <w:numPr>
          <w:ilvl w:val="0"/>
          <w:numId w:val="5"/>
        </w:numPr>
        <w:spacing w:beforeLines="0" w:afterLines="0" w:line="360" w:lineRule="auto"/>
        <w:outlineLvl w:val="0"/>
        <w:rPr>
          <w:rFonts w:hAnsi="黑体"/>
          <w:sz w:val="24"/>
          <w:szCs w:val="24"/>
        </w:rPr>
      </w:pPr>
      <w:bookmarkStart w:id="44" w:name="_Toc368135175"/>
      <w:bookmarkEnd w:id="44"/>
      <w:bookmarkStart w:id="45" w:name="_Toc374160660"/>
      <w:bookmarkEnd w:id="45"/>
      <w:bookmarkStart w:id="46" w:name="_Toc385597240"/>
      <w:bookmarkEnd w:id="46"/>
      <w:bookmarkStart w:id="47" w:name="_Toc374158606"/>
      <w:bookmarkEnd w:id="47"/>
      <w:bookmarkStart w:id="48" w:name="_Toc374158514"/>
      <w:bookmarkEnd w:id="48"/>
      <w:bookmarkStart w:id="49" w:name="_Toc368160175"/>
      <w:bookmarkEnd w:id="49"/>
      <w:bookmarkStart w:id="50" w:name="_Toc368160206"/>
      <w:bookmarkEnd w:id="50"/>
      <w:bookmarkStart w:id="51" w:name="_Toc401751186"/>
      <w:bookmarkEnd w:id="51"/>
      <w:bookmarkStart w:id="52" w:name="_Toc389053147"/>
      <w:bookmarkEnd w:id="52"/>
      <w:bookmarkStart w:id="53" w:name="_Toc387824185"/>
      <w:bookmarkEnd w:id="53"/>
      <w:bookmarkStart w:id="54" w:name="_Toc374158515"/>
      <w:bookmarkStart w:id="55" w:name="_Toc368135176"/>
      <w:bookmarkStart w:id="56" w:name="_Toc387824186"/>
      <w:bookmarkStart w:id="57" w:name="_Toc389053148"/>
      <w:bookmarkStart w:id="58" w:name="_Toc368160207"/>
      <w:bookmarkStart w:id="59" w:name="_Toc374160661"/>
      <w:bookmarkStart w:id="60" w:name="_Toc401751187"/>
      <w:bookmarkStart w:id="61" w:name="_Toc368160176"/>
      <w:bookmarkStart w:id="62" w:name="_Toc385597241"/>
      <w:bookmarkStart w:id="63" w:name="_Toc374158607"/>
      <w:r>
        <w:rPr>
          <w:rFonts w:hint="eastAsia" w:hAnsi="黑体"/>
          <w:sz w:val="24"/>
          <w:szCs w:val="24"/>
        </w:rPr>
        <w:t>职  责</w:t>
      </w:r>
      <w:bookmarkEnd w:id="54"/>
      <w:bookmarkEnd w:id="55"/>
      <w:bookmarkEnd w:id="56"/>
      <w:bookmarkEnd w:id="57"/>
      <w:bookmarkEnd w:id="58"/>
      <w:bookmarkEnd w:id="59"/>
      <w:bookmarkEnd w:id="60"/>
      <w:bookmarkEnd w:id="61"/>
      <w:bookmarkEnd w:id="62"/>
      <w:bookmarkEnd w:id="63"/>
    </w:p>
    <w:p w14:paraId="27E75DDF">
      <w:pPr>
        <w:pStyle w:val="30"/>
        <w:numPr>
          <w:ilvl w:val="1"/>
          <w:numId w:val="5"/>
        </w:numPr>
      </w:pPr>
      <w:r>
        <w:rPr>
          <w:rFonts w:hint="eastAsia"/>
        </w:rPr>
        <w:t>通信导航监视部（以下简称“通导部”）</w:t>
      </w:r>
    </w:p>
    <w:p w14:paraId="2E1620F7">
      <w:pPr>
        <w:pStyle w:val="26"/>
      </w:pPr>
      <w:r>
        <w:rPr>
          <w:rFonts w:hint="eastAsia"/>
        </w:rPr>
        <w:t>负责中南空管局供配电设备的技术管理和运行管理工作。</w:t>
      </w:r>
    </w:p>
    <w:p w14:paraId="631387A7">
      <w:pPr>
        <w:pStyle w:val="30"/>
        <w:numPr>
          <w:ilvl w:val="1"/>
          <w:numId w:val="5"/>
        </w:numPr>
      </w:pPr>
      <w:r>
        <w:rPr>
          <w:rFonts w:hint="eastAsia"/>
        </w:rPr>
        <w:t>运行保障单位</w:t>
      </w:r>
    </w:p>
    <w:p w14:paraId="4EB21CEE">
      <w:pPr>
        <w:pStyle w:val="26"/>
        <w:rPr>
          <w:color w:val="FF0000"/>
        </w:rPr>
      </w:pPr>
      <w:r>
        <w:rPr>
          <w:rFonts w:hint="eastAsia"/>
        </w:rPr>
        <w:t>负责供配电设备的日常管理</w:t>
      </w:r>
      <w:r>
        <w:t>、</w:t>
      </w:r>
      <w:r>
        <w:rPr>
          <w:rFonts w:hint="eastAsia"/>
        </w:rPr>
        <w:t>运行维护工作，并执行通导部授予的其他职责和工作。</w:t>
      </w:r>
    </w:p>
    <w:p w14:paraId="53B51E9E">
      <w:pPr>
        <w:pStyle w:val="28"/>
        <w:numPr>
          <w:ilvl w:val="0"/>
          <w:numId w:val="5"/>
        </w:numPr>
        <w:spacing w:beforeLines="0" w:afterLines="0" w:line="360" w:lineRule="auto"/>
        <w:outlineLvl w:val="0"/>
        <w:rPr>
          <w:rFonts w:hAnsi="黑体"/>
          <w:sz w:val="24"/>
          <w:szCs w:val="24"/>
        </w:rPr>
      </w:pPr>
      <w:bookmarkStart w:id="64" w:name="_Toc389053153"/>
      <w:bookmarkStart w:id="65" w:name="_Toc401751192"/>
      <w:bookmarkStart w:id="66" w:name="_Toc387824191"/>
      <w:bookmarkStart w:id="67" w:name="_Toc385597246"/>
      <w:r>
        <w:rPr>
          <w:rFonts w:hint="eastAsia" w:hAnsi="黑体"/>
          <w:sz w:val="24"/>
          <w:szCs w:val="24"/>
        </w:rPr>
        <w:t>管理内容及要求</w:t>
      </w:r>
      <w:bookmarkEnd w:id="64"/>
      <w:bookmarkEnd w:id="65"/>
      <w:bookmarkEnd w:id="66"/>
      <w:bookmarkEnd w:id="67"/>
    </w:p>
    <w:p w14:paraId="2A141F81">
      <w:pPr>
        <w:pStyle w:val="30"/>
        <w:numPr>
          <w:ilvl w:val="1"/>
          <w:numId w:val="5"/>
        </w:numPr>
      </w:pPr>
      <w:r>
        <w:rPr>
          <w:rFonts w:hint="eastAsia"/>
        </w:rPr>
        <w:t>基本任务</w:t>
      </w:r>
    </w:p>
    <w:p w14:paraId="46C8EF9C">
      <w:pPr>
        <w:pStyle w:val="26"/>
      </w:pPr>
      <w:r>
        <w:rPr>
          <w:rFonts w:hint="eastAsia"/>
        </w:rPr>
        <w:t>1）组织与实施设备的运行维护，确保设备性能指标、运行环境符合规定；</w:t>
      </w:r>
    </w:p>
    <w:p w14:paraId="27D24478">
      <w:pPr>
        <w:pStyle w:val="26"/>
      </w:pPr>
      <w:r>
        <w:t>2</w:t>
      </w:r>
      <w:r>
        <w:rPr>
          <w:rFonts w:hint="eastAsia"/>
        </w:rPr>
        <w:t>）组织与实施设备的投入</w:t>
      </w:r>
      <w:r>
        <w:t>与退出运行管理，设备资产管理；</w:t>
      </w:r>
    </w:p>
    <w:p w14:paraId="2D24FDF6">
      <w:pPr>
        <w:pStyle w:val="26"/>
      </w:pPr>
      <w:r>
        <w:t>3</w:t>
      </w:r>
      <w:r>
        <w:rPr>
          <w:rFonts w:hint="eastAsia"/>
        </w:rPr>
        <w:t>）组织与实施设备的风险管理、隐患排查治理和应急管理；</w:t>
      </w:r>
    </w:p>
    <w:p w14:paraId="200D165D">
      <w:pPr>
        <w:pStyle w:val="26"/>
      </w:pPr>
      <w:r>
        <w:t>4</w:t>
      </w:r>
      <w:r>
        <w:rPr>
          <w:rFonts w:hint="eastAsia"/>
        </w:rPr>
        <w:t>）组织与实施设备的新建、改建</w:t>
      </w:r>
      <w:r>
        <w:t>、</w:t>
      </w:r>
      <w:r>
        <w:rPr>
          <w:rFonts w:hint="eastAsia"/>
        </w:rPr>
        <w:t>更新、改造和和迁移管理；</w:t>
      </w:r>
    </w:p>
    <w:p w14:paraId="26DBD094">
      <w:pPr>
        <w:pStyle w:val="26"/>
      </w:pPr>
      <w:r>
        <w:rPr>
          <w:rFonts w:hint="eastAsia"/>
        </w:rPr>
        <w:t>4）组织与实施设备的耗材、备件、技术文档和专用仪表工具的管理；</w:t>
      </w:r>
    </w:p>
    <w:p w14:paraId="06FEC1A3">
      <w:pPr>
        <w:pStyle w:val="26"/>
      </w:pPr>
      <w:r>
        <w:rPr>
          <w:rFonts w:hint="eastAsia"/>
        </w:rPr>
        <w:t>5）组织与实施设备运行维护人员的培训，人员资质能力的监督和管理；</w:t>
      </w:r>
    </w:p>
    <w:p w14:paraId="5FC79BD3">
      <w:pPr>
        <w:pStyle w:val="26"/>
      </w:pPr>
      <w:r>
        <w:rPr>
          <w:rFonts w:hint="eastAsia"/>
        </w:rPr>
        <w:t>6）其他</w:t>
      </w:r>
      <w:r>
        <w:t>运行维护管理相关工作。</w:t>
      </w:r>
    </w:p>
    <w:p w14:paraId="11CA5848">
      <w:pPr>
        <w:pStyle w:val="30"/>
        <w:numPr>
          <w:ilvl w:val="1"/>
          <w:numId w:val="5"/>
        </w:numPr>
      </w:pPr>
      <w:r>
        <w:rPr>
          <w:rFonts w:hint="eastAsia"/>
        </w:rPr>
        <w:t>通用要求</w:t>
      </w:r>
    </w:p>
    <w:p w14:paraId="63BC5508">
      <w:pPr>
        <w:pStyle w:val="26"/>
      </w:pPr>
      <w:r>
        <w:rPr>
          <w:rFonts w:hint="eastAsia"/>
        </w:rPr>
        <w:t>应根据《民航空管通信导航监视设施设备供配电配置指导材料》（IB-TM-2015-005）进行设备配置。</w:t>
      </w:r>
    </w:p>
    <w:p w14:paraId="31382FB4">
      <w:pPr>
        <w:pStyle w:val="26"/>
      </w:pPr>
      <w:r>
        <w:rPr>
          <w:rFonts w:hint="eastAsia"/>
        </w:rPr>
        <w:t>应根据《民用航空通信导航监视运行保障与维护维修规程》（AP-115-TM-2016-01）制定设备维护规程，依照规程实施维护。</w:t>
      </w:r>
    </w:p>
    <w:p w14:paraId="47442B8B">
      <w:pPr>
        <w:pStyle w:val="26"/>
      </w:pPr>
      <w:r>
        <w:rPr>
          <w:rFonts w:hint="eastAsia"/>
        </w:rPr>
        <w:t>应根据《通信导航监视设备机房管理规定》（</w:t>
      </w:r>
      <w:r>
        <w:t>MS</w:t>
      </w:r>
      <w:r>
        <w:rPr>
          <w:rFonts w:hint="eastAsia"/>
        </w:rPr>
        <w:t>ATM/QSMS</w:t>
      </w:r>
      <w:r>
        <w:t>-TD-W16</w:t>
      </w:r>
      <w:r>
        <w:rPr>
          <w:rFonts w:hint="eastAsia"/>
        </w:rPr>
        <w:t>）做好供配电机房的管理。各机房应在显著位置粘贴禁止烟火、防止触电等安全警示标识。</w:t>
      </w:r>
    </w:p>
    <w:p w14:paraId="415AE8C7">
      <w:pPr>
        <w:pStyle w:val="26"/>
      </w:pPr>
      <w:r>
        <w:rPr>
          <w:rFonts w:hint="eastAsia"/>
        </w:rPr>
        <w:t>应根据《民用航空通信导航监视设施防雷技术规范》（MH/T 4020-2006）进行防雷设施的配置和维护，并定期进行防雷设施检测。</w:t>
      </w:r>
    </w:p>
    <w:p w14:paraId="10036C6E">
      <w:pPr>
        <w:pStyle w:val="26"/>
      </w:pPr>
      <w:r>
        <w:rPr>
          <w:rFonts w:hint="eastAsia"/>
        </w:rPr>
        <w:t>应根据</w:t>
      </w:r>
      <w:r>
        <w:rPr>
          <w:rFonts w:hint="eastAsia"/>
          <w:highlight w:val="yellow"/>
        </w:rPr>
        <w:t>《通信导航监视设备投入与</w:t>
      </w:r>
      <w:r>
        <w:rPr>
          <w:highlight w:val="yellow"/>
        </w:rPr>
        <w:t>退出</w:t>
      </w:r>
      <w:r>
        <w:rPr>
          <w:rFonts w:hint="eastAsia"/>
          <w:highlight w:val="yellow"/>
        </w:rPr>
        <w:t>运行管理规定》</w:t>
      </w:r>
      <w:r>
        <w:rPr>
          <w:rFonts w:hint="eastAsia"/>
        </w:rPr>
        <w:t>（</w:t>
      </w:r>
      <w:r>
        <w:t>MS</w:t>
      </w:r>
      <w:r>
        <w:rPr>
          <w:rFonts w:hint="eastAsia"/>
        </w:rPr>
        <w:t>ATM/QSMS</w:t>
      </w:r>
      <w:r>
        <w:t>-TD-W08</w:t>
      </w:r>
      <w:r>
        <w:rPr>
          <w:rFonts w:hint="eastAsia"/>
        </w:rPr>
        <w:t>）办理关键附属设备投入与</w:t>
      </w:r>
      <w:r>
        <w:t>退出</w:t>
      </w:r>
      <w:r>
        <w:rPr>
          <w:rFonts w:hint="eastAsia"/>
        </w:rPr>
        <w:t>运行的各项工作。</w:t>
      </w:r>
    </w:p>
    <w:p w14:paraId="13F46FD8">
      <w:pPr>
        <w:pStyle w:val="26"/>
      </w:pPr>
      <w:r>
        <w:rPr>
          <w:rFonts w:hint="eastAsia"/>
        </w:rPr>
        <w:t>应根据《通信</w:t>
      </w:r>
      <w:r>
        <w:t>导航监视</w:t>
      </w:r>
      <w:r>
        <w:rPr>
          <w:rFonts w:hint="eastAsia"/>
        </w:rPr>
        <w:t>零备件管理细则》（</w:t>
      </w:r>
      <w:r>
        <w:t>MS</w:t>
      </w:r>
      <w:r>
        <w:rPr>
          <w:rFonts w:hint="eastAsia"/>
        </w:rPr>
        <w:t>ATM/QSMS</w:t>
      </w:r>
      <w:r>
        <w:t>-TD-W22</w:t>
      </w:r>
      <w:r>
        <w:rPr>
          <w:rFonts w:hint="eastAsia"/>
        </w:rPr>
        <w:t>）储备重要备件和耗材，配备符合标准的各类绝缘用品和工具仪表，做好备件清点、管理和测试工作。</w:t>
      </w:r>
    </w:p>
    <w:p w14:paraId="698ACB9A">
      <w:pPr>
        <w:pStyle w:val="26"/>
      </w:pPr>
      <w:r>
        <w:rPr>
          <w:rFonts w:hint="eastAsia"/>
        </w:rPr>
        <w:t>应制定供配电设备的应急处置措施，并定期进行应急演练。</w:t>
      </w:r>
    </w:p>
    <w:p w14:paraId="39C8900C">
      <w:pPr>
        <w:pStyle w:val="26"/>
      </w:pPr>
      <w:r>
        <w:rPr>
          <w:rFonts w:hint="eastAsia"/>
        </w:rPr>
        <w:t>应制定</w:t>
      </w:r>
      <w:r>
        <w:t>供配电隐患</w:t>
      </w:r>
      <w:r>
        <w:rPr>
          <w:rFonts w:hint="eastAsia"/>
        </w:rPr>
        <w:t>排查</w:t>
      </w:r>
      <w:r>
        <w:t>工作计划，</w:t>
      </w:r>
      <w:r>
        <w:rPr>
          <w:rFonts w:hint="eastAsia"/>
        </w:rPr>
        <w:t>定期开展隐患排查工作，及时整改供配电隐患。杜绝乱接乱拉、私自更改配电线路的行为。应制定措施防止外来物侵入供配电设备。</w:t>
      </w:r>
    </w:p>
    <w:p w14:paraId="32230411">
      <w:pPr>
        <w:pStyle w:val="26"/>
      </w:pPr>
      <w:r>
        <w:rPr>
          <w:rFonts w:hint="eastAsia"/>
        </w:rPr>
        <w:t>应编制供配电路由图，路由图应覆盖本规定要求的全部供配电设备。应在供配电设备的合适位置粘贴清晰准确的标识标签，建立设备负载统计表，及时进行更新。应根据设计内容及时建立开关容量和整定值清单，配电线路中的开关、电缆线径、保护装置等应合理配置，符合级间选择性保护的要求。</w:t>
      </w:r>
    </w:p>
    <w:p w14:paraId="522A45E6">
      <w:pPr>
        <w:pStyle w:val="26"/>
      </w:pPr>
      <w:r>
        <w:rPr>
          <w:rFonts w:hint="eastAsia"/>
          <w:highlight w:val="yellow"/>
        </w:rPr>
        <w:t>供电线路、变压器、高低压配电柜、油机、UPS、ATS、STS、直流柜等设备原则上使用年限不少于15年，</w:t>
      </w:r>
      <w:r>
        <w:rPr>
          <w:highlight w:val="yellow"/>
        </w:rPr>
        <w:t>20</w:t>
      </w:r>
      <w:r>
        <w:rPr>
          <w:rFonts w:hint="eastAsia"/>
          <w:highlight w:val="yellow"/>
        </w:rPr>
        <w:t>k</w:t>
      </w:r>
      <w:r>
        <w:rPr>
          <w:highlight w:val="yellow"/>
        </w:rPr>
        <w:t>VA</w:t>
      </w:r>
      <w:r>
        <w:rPr>
          <w:rFonts w:hint="eastAsia"/>
          <w:highlight w:val="yellow"/>
        </w:rPr>
        <w:t>（含）以下</w:t>
      </w:r>
      <w:r>
        <w:rPr>
          <w:highlight w:val="yellow"/>
        </w:rPr>
        <w:t>UPS</w:t>
      </w:r>
      <w:r>
        <w:rPr>
          <w:rFonts w:hint="eastAsia"/>
          <w:highlight w:val="yellow"/>
        </w:rPr>
        <w:t>使用年限不少于8年。（可以</w:t>
      </w:r>
      <w:r>
        <w:rPr>
          <w:highlight w:val="yellow"/>
        </w:rPr>
        <w:t>做到吗？</w:t>
      </w:r>
      <w:r>
        <w:rPr>
          <w:rFonts w:hint="eastAsia"/>
          <w:highlight w:val="yellow"/>
        </w:rPr>
        <w:t>）</w:t>
      </w:r>
    </w:p>
    <w:p w14:paraId="3EACC4AB">
      <w:pPr>
        <w:pStyle w:val="26"/>
      </w:pPr>
      <w:r>
        <w:rPr>
          <w:rFonts w:hint="eastAsia"/>
        </w:rPr>
        <w:t>供配电设备管理部门应和用电部门协商明确设备的管理界面和具体职责，双方应签订并落实相关管理协议。用电部门应协商供配电设备管理部门，使用双路供电设备或主备系统采用不同路由的供电方式，防止单节点供电隐患，供配电设备管理部门</w:t>
      </w:r>
      <w:r>
        <w:t>应做好用电需求和</w:t>
      </w:r>
      <w:r>
        <w:rPr>
          <w:rFonts w:hint="eastAsia"/>
        </w:rPr>
        <w:t>设备的</w:t>
      </w:r>
      <w:r>
        <w:t>审核工作</w:t>
      </w:r>
      <w:r>
        <w:rPr>
          <w:rFonts w:hint="eastAsia"/>
        </w:rPr>
        <w:t>。</w:t>
      </w:r>
    </w:p>
    <w:p w14:paraId="5813F444">
      <w:pPr>
        <w:pStyle w:val="26"/>
      </w:pPr>
      <w:r>
        <w:rPr>
          <w:rFonts w:hint="eastAsia"/>
        </w:rPr>
        <w:t>应做好人员资质监督和管理工作，包括对所有参与供配电相关工作的人员：</w:t>
      </w:r>
    </w:p>
    <w:p w14:paraId="2C9FA4F5">
      <w:pPr>
        <w:pStyle w:val="26"/>
      </w:pPr>
      <w:r>
        <w:rPr>
          <w:rFonts w:hint="eastAsia"/>
        </w:rPr>
        <w:t>1）高压设备操作维护人员应持有行业规范有效执照（如高压电工作业证）。</w:t>
      </w:r>
    </w:p>
    <w:p w14:paraId="1720DA8D">
      <w:pPr>
        <w:pStyle w:val="26"/>
      </w:pPr>
      <w:r>
        <w:rPr>
          <w:rFonts w:hint="eastAsia"/>
        </w:rPr>
        <w:t>2）低压设备安装</w:t>
      </w:r>
      <w:r>
        <w:t>、调试、</w:t>
      </w:r>
      <w:r>
        <w:rPr>
          <w:rFonts w:hint="eastAsia"/>
        </w:rPr>
        <w:t>改造、检修、拆卸和维修人员应持有行业规范有效执照（如低压电工作业证）。</w:t>
      </w:r>
    </w:p>
    <w:p w14:paraId="71B22A14">
      <w:pPr>
        <w:pStyle w:val="26"/>
      </w:pPr>
      <w:r>
        <w:rPr>
          <w:rFonts w:hint="eastAsia"/>
        </w:rPr>
        <w:t>3）除持有上述有效执照资质外，人员需经过岗位培训考核合格后方可上岗。</w:t>
      </w:r>
    </w:p>
    <w:p w14:paraId="38CC931B">
      <w:pPr>
        <w:pStyle w:val="26"/>
      </w:pPr>
      <w:r>
        <w:rPr>
          <w:rFonts w:hint="eastAsia"/>
        </w:rPr>
        <w:t>维护人员应严格遵守安全操作程序、操作规范，检修时应先停电并验电，悬挂安全标识牌和安设隔离装置、安全装置。特殊情况需带电作业时，应充分辨识安全风险和采取可靠的防护措施，现场有专人监护，防止触电事故和电气设施损毁。</w:t>
      </w:r>
    </w:p>
    <w:p w14:paraId="0897BD4E">
      <w:pPr>
        <w:pStyle w:val="26"/>
      </w:pPr>
      <w:r>
        <w:rPr>
          <w:rFonts w:hint="eastAsia"/>
        </w:rPr>
        <w:t>维护人员应按照规定做好设备巡视检查、日常和定期维护，杜绝因巡视、维护不到位而造成设备异常或事故的发生，维护检查至少应包括周/月维护、季/半年/年维护。</w:t>
      </w:r>
    </w:p>
    <w:p w14:paraId="699FA657">
      <w:pPr>
        <w:pStyle w:val="26"/>
      </w:pPr>
      <w:r>
        <w:rPr>
          <w:rFonts w:hint="eastAsia"/>
        </w:rPr>
        <w:t>供配电设备应安装稳固，柜体与各构件间连接牢固。配电柜的各电缆芯线及所配导线的端部应清晰标明其回路编号。配电线缆应敷设整齐、捆扎牢固。</w:t>
      </w:r>
    </w:p>
    <w:p w14:paraId="7966A139">
      <w:pPr>
        <w:pStyle w:val="26"/>
      </w:pPr>
      <w:r>
        <w:rPr>
          <w:rFonts w:hint="eastAsia"/>
        </w:rPr>
        <w:t>开展第三方代维工作时，应做好代维单位和人员的资质监督，做好代维工作的安全评估及质量管理。签订的代维协议条款应符合本规定要求。</w:t>
      </w:r>
    </w:p>
    <w:p w14:paraId="0B58AC56">
      <w:pPr>
        <w:pStyle w:val="30"/>
        <w:numPr>
          <w:ilvl w:val="1"/>
          <w:numId w:val="5"/>
        </w:numPr>
      </w:pPr>
      <w:r>
        <w:rPr>
          <w:rFonts w:hint="eastAsia"/>
        </w:rPr>
        <w:t>高压配电设备</w:t>
      </w:r>
    </w:p>
    <w:p w14:paraId="6402AC12">
      <w:pPr>
        <w:pStyle w:val="26"/>
      </w:pPr>
      <w:r>
        <w:rPr>
          <w:rFonts w:hint="eastAsia"/>
        </w:rPr>
        <w:t>高压设备的操作应持证上岗，进行设备维护维修时应注意人身安全，保持安全距离，严格执行倒闸送电工作程序。</w:t>
      </w:r>
    </w:p>
    <w:p w14:paraId="01A97702">
      <w:pPr>
        <w:pStyle w:val="26"/>
      </w:pPr>
      <w:r>
        <w:rPr>
          <w:rFonts w:hint="eastAsia"/>
        </w:rPr>
        <w:t>高压柜、变压器的保护外壳应外观正常、接地良好，无保护外壳的设备</w:t>
      </w:r>
      <w:r>
        <w:rPr>
          <w:rFonts w:hint="eastAsia"/>
          <w:color w:val="FF0000"/>
        </w:rPr>
        <w:t>应</w:t>
      </w:r>
      <w:r>
        <w:rPr>
          <w:rFonts w:hint="eastAsia"/>
        </w:rPr>
        <w:t>加装围栏防护装置。</w:t>
      </w:r>
    </w:p>
    <w:p w14:paraId="34015246">
      <w:pPr>
        <w:pStyle w:val="26"/>
      </w:pPr>
      <w:r>
        <w:rPr>
          <w:rFonts w:hint="eastAsia"/>
        </w:rPr>
        <w:t>架空高压线路应定期进行巡视，及时发现并整改线路及线路周边环境存在的隐患。</w:t>
      </w:r>
    </w:p>
    <w:p w14:paraId="60D06DBC">
      <w:pPr>
        <w:pStyle w:val="26"/>
      </w:pPr>
      <w:r>
        <w:rPr>
          <w:rFonts w:hint="eastAsia"/>
        </w:rPr>
        <w:t>具有母线联络功能的高压柜原则上不配置自动母联，每年应进行一次手动切换测试。</w:t>
      </w:r>
    </w:p>
    <w:p w14:paraId="3B6E2897">
      <w:pPr>
        <w:pStyle w:val="26"/>
      </w:pPr>
      <w:r>
        <w:rPr>
          <w:rFonts w:hint="eastAsia"/>
        </w:rPr>
        <w:t>高压配电设备应在现场验收中开展首次检测，检测内容应至少包括高压断路器、母线、高压电缆、互感器绝缘子、相与相、相与地的绝缘电阻；高压避雷器泄漏电流值；高压电流互感器变比、电压互感器变比及绕组电阻值；综合继电保护各项设置的保护参数值；高压直流屏电池内阻值等，记录测量的设备原始基准值。</w:t>
      </w:r>
    </w:p>
    <w:p w14:paraId="5D062F4A">
      <w:pPr>
        <w:pStyle w:val="26"/>
      </w:pPr>
      <w:r>
        <w:rPr>
          <w:rFonts w:hint="eastAsia"/>
        </w:rPr>
        <w:t>应制定高压柜的直流屏及电池组的季/半年/年维护周期，维护内容至少包括测量电池组内阻，测试直流屏输出参数，并与高压断路器进行联调测试。</w:t>
      </w:r>
    </w:p>
    <w:p w14:paraId="1ADC6E67">
      <w:pPr>
        <w:pStyle w:val="26"/>
        <w:rPr>
          <w:strike/>
        </w:rPr>
      </w:pPr>
      <w:r>
        <w:rPr>
          <w:rFonts w:hint="eastAsia"/>
        </w:rPr>
        <w:t>在高压配电设备的运行期间至少每3年进行一次预防性试验及深度维护，试验内容可结合设备实际运行情况制定（参考附件1）。</w:t>
      </w:r>
    </w:p>
    <w:p w14:paraId="64D9F785">
      <w:pPr>
        <w:pStyle w:val="30"/>
        <w:numPr>
          <w:ilvl w:val="1"/>
          <w:numId w:val="5"/>
        </w:numPr>
      </w:pPr>
      <w:r>
        <w:rPr>
          <w:rFonts w:hint="eastAsia"/>
        </w:rPr>
        <w:t>低压配电设备</w:t>
      </w:r>
    </w:p>
    <w:p w14:paraId="76646F49">
      <w:pPr>
        <w:pStyle w:val="26"/>
      </w:pPr>
      <w:r>
        <w:rPr>
          <w:rFonts w:hint="eastAsia"/>
        </w:rPr>
        <w:t>低压配电柜控制电缆及芯线应符合下列要求：</w:t>
      </w:r>
    </w:p>
    <w:p w14:paraId="1E45EF33">
      <w:pPr>
        <w:pStyle w:val="26"/>
      </w:pPr>
      <w:r>
        <w:rPr>
          <w:rFonts w:hint="eastAsia"/>
        </w:rPr>
        <w:t>1）低压配电柜的电缆应垂直或水平排列整齐，不得任意歪斜交叉连接。</w:t>
      </w:r>
    </w:p>
    <w:p w14:paraId="0E3F026D">
      <w:pPr>
        <w:pStyle w:val="26"/>
      </w:pPr>
      <w:r>
        <w:rPr>
          <w:rFonts w:hint="eastAsia"/>
        </w:rPr>
        <w:t>2）低压配电柜的电缆和端子应采用铜质材料，每个端子的每侧接线一般为一根，不得超过两根。端子应连接牢固，做好间隔保护，避免机械应力。</w:t>
      </w:r>
    </w:p>
    <w:p w14:paraId="7A2EE015">
      <w:pPr>
        <w:pStyle w:val="26"/>
      </w:pPr>
      <w:r>
        <w:rPr>
          <w:rFonts w:hint="eastAsia"/>
        </w:rPr>
        <w:t>3）铠装电缆的钢带不应进入柜内，铠装钢带切断处的端部应扎紧，并进行良好接地。</w:t>
      </w:r>
    </w:p>
    <w:p w14:paraId="49E90D29">
      <w:pPr>
        <w:pStyle w:val="26"/>
      </w:pPr>
      <w:r>
        <w:rPr>
          <w:rFonts w:hint="eastAsia"/>
        </w:rPr>
        <w:t>4）低压配电柜的电缆相色排列应符合规定：a相黄色、b相绿色、c相红色、零线蓝色或黑色。</w:t>
      </w:r>
    </w:p>
    <w:p w14:paraId="7FB733F6">
      <w:pPr>
        <w:pStyle w:val="26"/>
      </w:pPr>
      <w:r>
        <w:rPr>
          <w:rFonts w:hint="eastAsia"/>
        </w:rPr>
        <w:t>5）橡胶绝缘芯线应外套绝缘管保护。用于晶体管保护、控制等逻辑回路的控制电缆应采用屏蔽或接地措施。</w:t>
      </w:r>
    </w:p>
    <w:p w14:paraId="7F8A0E35">
      <w:pPr>
        <w:ind w:firstLine="420" w:firstLineChars="200"/>
        <w:jc w:val="left"/>
        <w:rPr>
          <w:rFonts w:ascii="宋体" w:hAnsi="Times New Roman" w:eastAsia="宋体" w:cs="宋体"/>
          <w:kern w:val="0"/>
        </w:rPr>
      </w:pPr>
      <w:r>
        <w:rPr>
          <w:rFonts w:hint="eastAsia" w:ascii="宋体" w:hAnsi="Times New Roman" w:eastAsia="宋体" w:cs="宋体"/>
          <w:kern w:val="0"/>
        </w:rPr>
        <w:t>低压配电设备应在现场验收中开展首次检测，检测内容应至少包括动、静主触头接触电阻值；断路器保护单元的保护曲线及整定值；谐波治理柜（电容补偿柜）的器件参数值；低压配电柜、框架式断路器的外壳绝缘电阻值；各断路器输入与输出电阻值，记录测量的设备原始基准值。</w:t>
      </w:r>
    </w:p>
    <w:p w14:paraId="4565B96F">
      <w:pPr>
        <w:pStyle w:val="26"/>
      </w:pPr>
      <w:r>
        <w:rPr>
          <w:rFonts w:hint="eastAsia"/>
        </w:rPr>
        <w:t>在低压配电设备的运行期间宜1~3年开展一次深度维护，试验内容可结合设备实际运行情况制定。（参考附件1）</w:t>
      </w:r>
    </w:p>
    <w:p w14:paraId="6F6FAD95">
      <w:pPr>
        <w:pStyle w:val="30"/>
        <w:numPr>
          <w:ilvl w:val="1"/>
          <w:numId w:val="5"/>
        </w:numPr>
      </w:pPr>
      <w:r>
        <w:rPr>
          <w:rFonts w:hint="eastAsia"/>
        </w:rPr>
        <w:t>油机</w:t>
      </w:r>
    </w:p>
    <w:p w14:paraId="66A0C2FD">
      <w:pPr>
        <w:pStyle w:val="26"/>
      </w:pPr>
      <w:r>
        <w:rPr>
          <w:rFonts w:hint="eastAsia"/>
        </w:rPr>
        <w:t>维护人员进入油机房应穿着安全的服装，不得佩戴首饰，应远离皮带轮、皮带及其他转动部件。</w:t>
      </w:r>
    </w:p>
    <w:p w14:paraId="492DACDF">
      <w:pPr>
        <w:pStyle w:val="26"/>
      </w:pPr>
      <w:r>
        <w:rPr>
          <w:rFonts w:hint="eastAsia"/>
        </w:rPr>
        <w:t>维护人员应熟练掌握油机操作维护方法，熟悉油机安全预防措施。对机组进行清理、维护维修时，应确保人员和设备安全。</w:t>
      </w:r>
    </w:p>
    <w:p w14:paraId="6834B083">
      <w:pPr>
        <w:pStyle w:val="26"/>
      </w:pPr>
      <w:r>
        <w:rPr>
          <w:rFonts w:hint="eastAsia"/>
        </w:rPr>
        <w:t>维护人员在各类防护罩拆除时不得开机，不得在开机时对这些保护装置及其附近的部件进行维修。</w:t>
      </w:r>
    </w:p>
    <w:p w14:paraId="3BDAD402">
      <w:pPr>
        <w:pStyle w:val="26"/>
      </w:pPr>
      <w:r>
        <w:rPr>
          <w:rFonts w:hint="eastAsia"/>
        </w:rPr>
        <w:t>油机应安全可靠地接地，接地线安全载流量与发电机出线相线一致。油机手动停车时应先切断负荷。油机不得</w:t>
      </w:r>
      <w:r>
        <w:t>带负荷</w:t>
      </w:r>
      <w:r>
        <w:rPr>
          <w:rFonts w:hint="eastAsia"/>
        </w:rPr>
        <w:t>手动启动。油机带载量不宜超过80%，不应过载运行。</w:t>
      </w:r>
    </w:p>
    <w:p w14:paraId="1E5212B9">
      <w:pPr>
        <w:pStyle w:val="26"/>
      </w:pPr>
      <w:r>
        <w:rPr>
          <w:rFonts w:hint="eastAsia"/>
        </w:rPr>
        <w:t>油机冷却液未完全冷却时，不得拧开散热器盖。排烟管及消音器宜采取防火隔热措施，与易燃物品保持安全距离。</w:t>
      </w:r>
    </w:p>
    <w:p w14:paraId="710A1C2D">
      <w:pPr>
        <w:pStyle w:val="26"/>
      </w:pPr>
      <w:r>
        <w:rPr>
          <w:rFonts w:hint="eastAsia"/>
        </w:rPr>
        <w:t>不应将任何种类的防冻液、防锈液等添加剂与柴油混合使用。油机的冷却液应定期检查和补充，应使用专用的成品冷却液，不同成分配比的冷却液不得混用。冬季低温条件下，冷却循环系统应加注防冻冷却液。</w:t>
      </w:r>
    </w:p>
    <w:p w14:paraId="41540964">
      <w:pPr>
        <w:pStyle w:val="26"/>
      </w:pPr>
      <w:r>
        <w:rPr>
          <w:rFonts w:hint="eastAsia"/>
        </w:rPr>
        <w:t>应建立油机储油量、剩余油量、小时耗油量等相关记录。油机应配备足够的燃油确保连续带载不中断。原则上储备的燃油应确保油机至少连续带载24小时；购买、运输和添加燃油便利的运行现场确保油机至少连续带载8小时。</w:t>
      </w:r>
    </w:p>
    <w:p w14:paraId="504D2CEA">
      <w:pPr>
        <w:pStyle w:val="26"/>
      </w:pPr>
      <w:r>
        <w:rPr>
          <w:rFonts w:hint="eastAsia"/>
        </w:rPr>
        <w:t>应做好储油罐的安全防护措施，严禁在周边摆放易燃易爆物品。应配备足够的消防设施，维护人员应熟悉消防设施的使用。</w:t>
      </w:r>
    </w:p>
    <w:p w14:paraId="33EAA5EF">
      <w:pPr>
        <w:pStyle w:val="26"/>
      </w:pPr>
      <w:r>
        <w:rPr>
          <w:rFonts w:hint="eastAsia"/>
        </w:rPr>
        <w:t>应根据运行维护规程，结合当地的实际制定油机空载、带载测试维护周期。原则上应至少每两周进行一次空载测试，测试时间不少于10分钟，每季度进行一次带载测试，测试时间不少于30分钟。</w:t>
      </w:r>
    </w:p>
    <w:p w14:paraId="222A5A3A">
      <w:pPr>
        <w:pStyle w:val="26"/>
      </w:pPr>
      <w:r>
        <w:rPr>
          <w:rFonts w:hint="eastAsia"/>
        </w:rPr>
        <w:t>对于配置并机运行的油机，应做好并机运行设备的维护，定期测试并机设施性能。</w:t>
      </w:r>
    </w:p>
    <w:p w14:paraId="541CB0DD">
      <w:pPr>
        <w:pStyle w:val="30"/>
        <w:numPr>
          <w:ilvl w:val="1"/>
          <w:numId w:val="5"/>
        </w:numPr>
      </w:pPr>
      <w:r>
        <w:rPr>
          <w:rFonts w:hint="eastAsia"/>
        </w:rPr>
        <w:t>不间断电源设备（UPS）</w:t>
      </w:r>
    </w:p>
    <w:p w14:paraId="0EA3BE29">
      <w:pPr>
        <w:pStyle w:val="26"/>
        <w:rPr>
          <w:strike/>
        </w:rPr>
      </w:pPr>
      <w:r>
        <w:rPr>
          <w:rFonts w:hint="eastAsia"/>
        </w:rPr>
        <w:t>大功率UPS（100</w:t>
      </w:r>
      <w:r>
        <w:t>kVA</w:t>
      </w:r>
      <w:r>
        <w:rPr>
          <w:rFonts w:hint="eastAsia"/>
        </w:rPr>
        <w:t>及以上）宜安装在独立房间，并保持房间的干燥、通风、洁净，避免阳光直射和电磁干扰，远离热源。</w:t>
      </w:r>
    </w:p>
    <w:p w14:paraId="6F727044">
      <w:pPr>
        <w:pStyle w:val="26"/>
      </w:pPr>
      <w:r>
        <w:rPr>
          <w:rFonts w:hint="eastAsia"/>
        </w:rPr>
        <w:t>应根据维护保养情况，结合实际对U</w:t>
      </w:r>
      <w:r>
        <w:t>PS</w:t>
      </w:r>
      <w:r>
        <w:rPr>
          <w:rFonts w:hint="eastAsia"/>
        </w:rPr>
        <w:t>耗材包括风扇、滤波电容等进行及时更换。</w:t>
      </w:r>
    </w:p>
    <w:p w14:paraId="65670D60">
      <w:pPr>
        <w:pStyle w:val="26"/>
      </w:pPr>
      <w:r>
        <w:rPr>
          <w:rFonts w:hint="eastAsia"/>
        </w:rPr>
        <w:t>20kVA以上UPS使用十年内，至少每两年进行一次深度维护；使用时间十年以上的，至少每年进行一次深度维护。（参考附件1）</w:t>
      </w:r>
    </w:p>
    <w:p w14:paraId="4D857C74">
      <w:pPr>
        <w:pStyle w:val="26"/>
      </w:pPr>
      <w:r>
        <w:rPr>
          <w:rFonts w:hint="eastAsia"/>
        </w:rPr>
        <w:t>用于安全生产设备的UPS不应接入非安全生产设备。如有特殊需要临时接入非安全生产设备时，应事先向UPS设备管理部门提出申请，提交具体接入方案，在UPS设备管理部门评估后确认不影响安全生产设备的情况下方可接入。</w:t>
      </w:r>
    </w:p>
    <w:p w14:paraId="256FEB4D">
      <w:pPr>
        <w:pStyle w:val="26"/>
      </w:pPr>
      <w:r>
        <w:rPr>
          <w:rFonts w:hint="eastAsia"/>
        </w:rPr>
        <w:t>安全生产设备接入UPS前，应经过市电上电测试，原则上测试时间不少于60分钟，测试时应监测其启动峰值电流、稳定电流等必要参数。测试结果经UPS设备管理部门评估后，决定是否接入。</w:t>
      </w:r>
    </w:p>
    <w:p w14:paraId="0F99CB9D">
      <w:pPr>
        <w:pStyle w:val="26"/>
      </w:pPr>
      <w:r>
        <w:rPr>
          <w:rFonts w:hint="eastAsia"/>
        </w:rPr>
        <w:t>应对三相输出的UPS进行负载统筹配置，使三相负载尽量均衡，三相中负载的最大值宜不超过平均值的</w:t>
      </w:r>
      <w:r>
        <w:t>1</w:t>
      </w:r>
      <w:r>
        <w:rPr>
          <w:rFonts w:hint="eastAsia"/>
        </w:rPr>
        <w:t>30%</w:t>
      </w:r>
      <w:r>
        <w:t xml:space="preserve"> </w:t>
      </w:r>
      <w:r>
        <w:rPr>
          <w:rFonts w:hint="eastAsia"/>
        </w:rPr>
        <w:t>。应持续监控UPS负载，发现异常应及时调查原因，尽快消除隐患。</w:t>
      </w:r>
    </w:p>
    <w:p w14:paraId="1ED22074">
      <w:pPr>
        <w:pStyle w:val="30"/>
        <w:numPr>
          <w:ilvl w:val="1"/>
          <w:numId w:val="5"/>
        </w:numPr>
      </w:pPr>
      <w:r>
        <w:rPr>
          <w:rFonts w:hint="eastAsia"/>
        </w:rPr>
        <w:t>静态切换系统（STS）</w:t>
      </w:r>
    </w:p>
    <w:p w14:paraId="4D45467E">
      <w:pPr>
        <w:pStyle w:val="26"/>
      </w:pPr>
      <w:r>
        <w:rPr>
          <w:rFonts w:hint="eastAsia"/>
        </w:rPr>
        <w:t>单电源重要负荷的主、备系统不应使用同一台STS或</w:t>
      </w:r>
      <w:r>
        <w:t>末端STS</w:t>
      </w:r>
      <w:r>
        <w:rPr>
          <w:rFonts w:hint="eastAsia"/>
        </w:rPr>
        <w:t>供电，双电源负载的两路输入不应使用同一台STS或</w:t>
      </w:r>
      <w:r>
        <w:t>末端STS</w:t>
      </w:r>
      <w:r>
        <w:rPr>
          <w:rFonts w:hint="eastAsia"/>
        </w:rPr>
        <w:t>供电。</w:t>
      </w:r>
    </w:p>
    <w:p w14:paraId="52D71A62">
      <w:pPr>
        <w:pStyle w:val="26"/>
      </w:pPr>
      <w:r>
        <w:rPr>
          <w:rFonts w:hint="eastAsia"/>
        </w:rPr>
        <w:t>应定期进行STS或</w:t>
      </w:r>
      <w:r>
        <w:t>末端STS</w:t>
      </w:r>
      <w:r>
        <w:rPr>
          <w:rFonts w:hint="eastAsia"/>
        </w:rPr>
        <w:t>切换测试，检查设备内部情况，包括电路板、接线端子、散热风扇和电容温度等。应根据维护保养情况，结合实际对风扇、滤波电容等进行及时更换。</w:t>
      </w:r>
    </w:p>
    <w:p w14:paraId="46EF81B4">
      <w:pPr>
        <w:pStyle w:val="30"/>
        <w:numPr>
          <w:ilvl w:val="1"/>
          <w:numId w:val="5"/>
        </w:numPr>
      </w:pPr>
      <w:r>
        <w:rPr>
          <w:rFonts w:hint="eastAsia"/>
        </w:rPr>
        <w:t>直流配电设备</w:t>
      </w:r>
    </w:p>
    <w:p w14:paraId="209833C5">
      <w:pPr>
        <w:pStyle w:val="26"/>
        <w:rPr>
          <w:strike/>
        </w:rPr>
      </w:pPr>
      <w:r>
        <w:rPr>
          <w:rFonts w:hint="eastAsia"/>
        </w:rPr>
        <w:t>应定期巡视直流配电设备或交转直模块的工作状况，宜配置相应的远程监控。</w:t>
      </w:r>
    </w:p>
    <w:p w14:paraId="3A69302B">
      <w:pPr>
        <w:pStyle w:val="26"/>
      </w:pPr>
      <w:r>
        <w:rPr>
          <w:rFonts w:hint="eastAsia"/>
        </w:rPr>
        <w:t>直流配电设备输出开关宜使用符合要求的直流开关。</w:t>
      </w:r>
    </w:p>
    <w:p w14:paraId="0BA80D20">
      <w:pPr>
        <w:pStyle w:val="30"/>
        <w:numPr>
          <w:ilvl w:val="1"/>
          <w:numId w:val="5"/>
        </w:numPr>
      </w:pPr>
      <w:r>
        <w:rPr>
          <w:rFonts w:hint="eastAsia"/>
        </w:rPr>
        <w:t>末端配电设备</w:t>
      </w:r>
    </w:p>
    <w:p w14:paraId="7355B817">
      <w:pPr>
        <w:pStyle w:val="26"/>
      </w:pPr>
      <w:r>
        <w:rPr>
          <w:rFonts w:hint="eastAsia"/>
        </w:rPr>
        <w:t>末端配电设备包括母线槽、末端线缆、配电箱、工业排插（PDU）。</w:t>
      </w:r>
    </w:p>
    <w:p w14:paraId="3BB8250E">
      <w:pPr>
        <w:pStyle w:val="26"/>
      </w:pPr>
      <w:r>
        <w:rPr>
          <w:rFonts w:hint="eastAsia"/>
        </w:rPr>
        <w:t>应定期巡视末端配电设备的工作状况和负载情况，严禁乱接乱拉，私自更改负荷等影响安全供电的行为。</w:t>
      </w:r>
    </w:p>
    <w:p w14:paraId="2BAF455C">
      <w:pPr>
        <w:pStyle w:val="26"/>
      </w:pPr>
      <w:r>
        <w:rPr>
          <w:rFonts w:hint="eastAsia"/>
        </w:rPr>
        <w:t>应对接入母线槽的负载进行统筹配置，应使三相负载尽量均衡，三相中负载最大值宜不超过平均值的130%。</w:t>
      </w:r>
    </w:p>
    <w:p w14:paraId="2AB1AA07">
      <w:pPr>
        <w:pStyle w:val="26"/>
      </w:pPr>
      <w:r>
        <w:rPr>
          <w:rFonts w:hint="eastAsia"/>
        </w:rPr>
        <w:t>设备配电插座宜使用不带开关的PDU，带开关的PDU应配备保护装置，避免误触碰。PDU所接负载不超过额定功率的80%。PDU要做好防尘、防水处理。</w:t>
      </w:r>
    </w:p>
    <w:p w14:paraId="745CCD9E">
      <w:pPr>
        <w:pStyle w:val="26"/>
      </w:pPr>
      <w:r>
        <w:rPr>
          <w:rFonts w:hint="eastAsia"/>
        </w:rPr>
        <w:t>原则上PDU不应级联，确因客观原因需要进行临时级联时，级联不应超过一级（即级联PDU链路上不应超过两个PDU）。级联链路上任何一级PDU负载不应超过其额定功率的80%。</w:t>
      </w:r>
    </w:p>
    <w:p w14:paraId="4540CD51">
      <w:pPr>
        <w:pStyle w:val="26"/>
      </w:pPr>
      <w:r>
        <w:rPr>
          <w:rFonts w:hint="eastAsia"/>
        </w:rPr>
        <w:t>对于安装有双母线的配电系统，宜在重要空管设备建成投产前或重大供电结构调整后开展配电冗余功能验证工作；通过中断互为备用的两条母线中的一条母线电源，验证仅使用一条母线供电情况下，设备保障能否满足管制需求或预设的保障能力。</w:t>
      </w:r>
    </w:p>
    <w:p w14:paraId="0BD6A5EF">
      <w:pPr>
        <w:pStyle w:val="30"/>
        <w:numPr>
          <w:ilvl w:val="1"/>
          <w:numId w:val="5"/>
        </w:numPr>
      </w:pPr>
      <w:r>
        <w:rPr>
          <w:rFonts w:hint="eastAsia"/>
        </w:rPr>
        <w:t>蓄电池</w:t>
      </w:r>
    </w:p>
    <w:p w14:paraId="00258C14">
      <w:pPr>
        <w:pStyle w:val="26"/>
      </w:pPr>
      <w:r>
        <w:rPr>
          <w:rFonts w:hint="eastAsia"/>
        </w:rPr>
        <w:t>蓄电池宜放置在独立房间并保持干燥、通风、洁净，避免阳光直射，远离热源。蓄电池间温度应控制在20℃～</w:t>
      </w:r>
      <w:r>
        <w:t>25</w:t>
      </w:r>
      <w:r>
        <w:rPr>
          <w:rFonts w:hint="eastAsia"/>
        </w:rPr>
        <w:t>℃，相对湿度保持在</w:t>
      </w:r>
      <w:r>
        <w:t>20%</w:t>
      </w:r>
      <w:r>
        <w:rPr>
          <w:rFonts w:hint="eastAsia"/>
        </w:rPr>
        <w:t>～</w:t>
      </w:r>
      <w:r>
        <w:t>80%</w:t>
      </w:r>
      <w:r>
        <w:rPr>
          <w:rFonts w:hint="eastAsia"/>
        </w:rPr>
        <w:t>之间。</w:t>
      </w:r>
    </w:p>
    <w:p w14:paraId="58AB73FE">
      <w:pPr>
        <w:pStyle w:val="26"/>
      </w:pPr>
      <w:r>
        <w:rPr>
          <w:rFonts w:hint="eastAsia"/>
        </w:rPr>
        <w:t>蓄电池组宜采用开放式电池架，采取必要的固定措施，保证蓄电池单体的散热，并预留充足的操作空间，便于蓄电池观察和维护。</w:t>
      </w:r>
    </w:p>
    <w:p w14:paraId="3C2C323F">
      <w:pPr>
        <w:pStyle w:val="26"/>
      </w:pPr>
      <w:r>
        <w:rPr>
          <w:highlight w:val="yellow"/>
        </w:rPr>
        <w:t>蓄电池</w:t>
      </w:r>
      <w:r>
        <w:rPr>
          <w:rFonts w:hint="eastAsia"/>
          <w:highlight w:val="yellow"/>
        </w:rPr>
        <w:t>应选用成熟可靠的产品，设计使用寿命应达到十年以上。（是否</w:t>
      </w:r>
      <w:r>
        <w:rPr>
          <w:highlight w:val="yellow"/>
        </w:rPr>
        <w:t>可以都满足？</w:t>
      </w:r>
      <w:r>
        <w:rPr>
          <w:rFonts w:hint="eastAsia"/>
          <w:highlight w:val="yellow"/>
        </w:rPr>
        <w:t>）</w:t>
      </w:r>
    </w:p>
    <w:p w14:paraId="40A0F39F">
      <w:pPr>
        <w:pStyle w:val="26"/>
      </w:pPr>
      <w:r>
        <w:rPr>
          <w:rFonts w:hint="eastAsia"/>
        </w:rPr>
        <w:t>备份蓄电池宜至少每3个月进行一次补充充电，有条件的可用直流电源对蓄电池进行持续浮充。</w:t>
      </w:r>
    </w:p>
    <w:p w14:paraId="0C21F1FD">
      <w:pPr>
        <w:pStyle w:val="26"/>
      </w:pPr>
      <w:r>
        <w:t>蓄电池</w:t>
      </w:r>
      <w:r>
        <w:rPr>
          <w:rFonts w:hint="eastAsia"/>
        </w:rPr>
        <w:t>在进行功能验证性放电和容量核对性放电维护前，应检查电池的外观、温度和内阻，确保电池参数正常，防止放电维护时出现掉电。放电期间应实时监测，应至少每15分钟检查并记录1次参数值（包括总体电池电压、电流值和单节电池电压），当发现单体电池电压达到</w:t>
      </w:r>
      <w:r>
        <w:rPr>
          <w:rFonts w:hint="eastAsia"/>
          <w:highlight w:val="yellow"/>
        </w:rPr>
        <w:t>11V（与</w:t>
      </w:r>
      <w:r>
        <w:rPr>
          <w:highlight w:val="yellow"/>
        </w:rPr>
        <w:t>后文</w:t>
      </w:r>
      <w:r>
        <w:rPr>
          <w:rFonts w:hint="eastAsia"/>
          <w:highlight w:val="yellow"/>
        </w:rPr>
        <w:t>11.5V不一致</w:t>
      </w:r>
      <w:r>
        <w:rPr>
          <w:highlight w:val="yellow"/>
        </w:rPr>
        <w:t>？</w:t>
      </w:r>
      <w:r>
        <w:rPr>
          <w:rFonts w:hint="eastAsia"/>
          <w:highlight w:val="yellow"/>
        </w:rPr>
        <w:t>）</w:t>
      </w:r>
      <w:r>
        <w:rPr>
          <w:rFonts w:hint="eastAsia"/>
        </w:rPr>
        <w:t>（标称电压12V的蓄电池）或电池电压下降过快时，应及时终止放电维护，通过放电数据进行蓄电池性能分析、优化和更换等工作。</w:t>
      </w:r>
    </w:p>
    <w:p w14:paraId="21669E8C">
      <w:pPr>
        <w:pStyle w:val="26"/>
      </w:pPr>
      <w:r>
        <w:rPr>
          <w:rFonts w:hint="eastAsia"/>
        </w:rPr>
        <w:t>20kVA容量以上（含）UPS、直流设备的蓄电池应每季度进行1次功能验证性放电维护，每年进行1次容量核对性放电维护。在容量允许的情况下，功能性放电时间应不少于15分钟，容量核对性放电维护时间应不少于90分钟或平均单体电池电压达到11.5V（标称电压12V的蓄电池）。</w:t>
      </w:r>
    </w:p>
    <w:p w14:paraId="4283A84A">
      <w:pPr>
        <w:pStyle w:val="26"/>
      </w:pPr>
      <w:r>
        <w:rPr>
          <w:rFonts w:hint="eastAsia"/>
        </w:rPr>
        <w:t>3kVA（含）～20kVA容量以下的UPS、</w:t>
      </w:r>
      <w:r>
        <w:t>直流设备</w:t>
      </w:r>
      <w:r>
        <w:rPr>
          <w:rFonts w:hint="eastAsia"/>
        </w:rPr>
        <w:t>的蓄电池（含空管设备所配备的蓄电池）每年至少进行两次放电维护，包括1次功能验证性放电维护和1次容量核对性放电维护，两次放电维护间隔不宜小于4个月。在容量允许的情况下，功能验证性放电维护时间应不少于15分钟；容量核对性放电维护时间应不少于90分钟或平均单体电池电压达到11.5V（标称电压12V的蓄电池）。</w:t>
      </w:r>
    </w:p>
    <w:p w14:paraId="247AC289">
      <w:pPr>
        <w:pStyle w:val="26"/>
      </w:pPr>
      <w:r>
        <w:rPr>
          <w:rFonts w:hint="eastAsia"/>
        </w:rPr>
        <w:t>3kVA容量以下的UPS、</w:t>
      </w:r>
      <w:r>
        <w:t>直流设备</w:t>
      </w:r>
      <w:r>
        <w:rPr>
          <w:rFonts w:hint="eastAsia"/>
        </w:rPr>
        <w:t>的蓄电池（含空管设备所配备的蓄电池）应做好定期巡视检查，每年进行1次功能验证性放电维护，结合实际情况验证设备的可用性。</w:t>
      </w:r>
    </w:p>
    <w:p w14:paraId="58C0D346">
      <w:pPr>
        <w:pStyle w:val="26"/>
      </w:pPr>
      <w:r>
        <w:rPr>
          <w:rFonts w:hint="eastAsia"/>
        </w:rPr>
        <w:t>应根据蓄电池放电维护情况，判断蓄电池是否达到使用寿命（参考附件2），结合实际运行需要启动蓄电池更新。对于不符合整体更换条件，确因客观原因需要对蓄电池进行更新的，需提出书面申请说明原因，经同意后方可实施。</w:t>
      </w:r>
    </w:p>
    <w:p w14:paraId="76AFC616">
      <w:pPr>
        <w:pStyle w:val="30"/>
        <w:numPr>
          <w:ilvl w:val="1"/>
          <w:numId w:val="5"/>
        </w:numPr>
      </w:pPr>
      <w:r>
        <w:rPr>
          <w:rFonts w:hint="eastAsia"/>
        </w:rPr>
        <w:t>供配电监控系统</w:t>
      </w:r>
    </w:p>
    <w:p w14:paraId="54B9F509">
      <w:pPr>
        <w:pStyle w:val="26"/>
      </w:pPr>
      <w:r>
        <w:rPr>
          <w:rFonts w:hint="eastAsia"/>
        </w:rPr>
        <w:t>应为供配电设备配套建设供配电监控系统，对供配电系统运行情况进行持续监控。</w:t>
      </w:r>
    </w:p>
    <w:p w14:paraId="73809B35">
      <w:pPr>
        <w:pStyle w:val="26"/>
      </w:pPr>
      <w:r>
        <w:rPr>
          <w:rFonts w:hint="eastAsia"/>
        </w:rPr>
        <w:t>供配电监控系统是中南空管局综合监控系统的一部分，应按中南空管局综合监控系统方案进行统一设计和建设。</w:t>
      </w:r>
    </w:p>
    <w:p w14:paraId="196D22B7">
      <w:pPr>
        <w:pStyle w:val="30"/>
        <w:numPr>
          <w:ilvl w:val="1"/>
          <w:numId w:val="5"/>
        </w:numPr>
      </w:pPr>
      <w:r>
        <w:rPr>
          <w:rFonts w:hint="eastAsia"/>
        </w:rPr>
        <w:t>备件、耗材、技术文档、仪表工具</w:t>
      </w:r>
    </w:p>
    <w:p w14:paraId="78DDB1C0">
      <w:pPr>
        <w:pStyle w:val="26"/>
      </w:pPr>
      <w:r>
        <w:rPr>
          <w:rFonts w:hint="eastAsia"/>
        </w:rPr>
        <w:t>应配置重要备件、耗材、仪表、工具，在指定位置存放，由专人维护保管，设立台账。</w:t>
      </w:r>
    </w:p>
    <w:p w14:paraId="42392046">
      <w:pPr>
        <w:pStyle w:val="26"/>
      </w:pPr>
      <w:r>
        <w:rPr>
          <w:rFonts w:hint="eastAsia"/>
        </w:rPr>
        <w:t>应随机配备仪表使用细则，爱护仪表、正确使用，使用后及时清点归还，并对主要性能做必要的交接检查。仪表要按规定定期校验，保管好校验结果。</w:t>
      </w:r>
    </w:p>
    <w:p w14:paraId="5EC2C7AC">
      <w:pPr>
        <w:pStyle w:val="26"/>
      </w:pPr>
      <w:r>
        <w:rPr>
          <w:rFonts w:hint="eastAsia"/>
        </w:rPr>
        <w:t>应定期检查仪表和工具的使用、保管情况，做到账物相符。对操作、保管不当而造成仪表损坏的相关责任人应当按规定进行处理。</w:t>
      </w:r>
    </w:p>
    <w:p w14:paraId="2EF4DADE">
      <w:pPr>
        <w:pStyle w:val="26"/>
      </w:pPr>
      <w:r>
        <w:rPr>
          <w:rFonts w:hint="eastAsia"/>
        </w:rPr>
        <w:t>应妥善保管各类技术资料，包括技术手册、调试报告、验收报告、维护维修报告等。</w:t>
      </w:r>
    </w:p>
    <w:p w14:paraId="630A4900">
      <w:pPr>
        <w:pStyle w:val="26"/>
      </w:pPr>
      <w:r>
        <w:rPr>
          <w:rFonts w:hint="eastAsia"/>
        </w:rPr>
        <w:t>应对外包代维业务和人员进行监督管理，并建立相关管理台账，至少包括代维人员资质、业务记录、服务评价、问题排查和整改等方面。</w:t>
      </w:r>
    </w:p>
    <w:p w14:paraId="7B575752">
      <w:pPr>
        <w:pStyle w:val="28"/>
        <w:numPr>
          <w:ilvl w:val="0"/>
          <w:numId w:val="5"/>
        </w:numPr>
        <w:spacing w:beforeLines="0" w:afterLines="0" w:line="360" w:lineRule="auto"/>
        <w:outlineLvl w:val="0"/>
        <w:rPr>
          <w:rFonts w:hAnsi="黑体"/>
          <w:sz w:val="24"/>
          <w:szCs w:val="24"/>
        </w:rPr>
      </w:pPr>
      <w:r>
        <w:rPr>
          <w:rFonts w:hint="eastAsia" w:hAnsi="黑体"/>
          <w:sz w:val="24"/>
          <w:szCs w:val="24"/>
        </w:rPr>
        <w:t>附  则</w:t>
      </w:r>
    </w:p>
    <w:p w14:paraId="3B24DD38">
      <w:pPr>
        <w:pStyle w:val="26"/>
      </w:pPr>
      <w:r>
        <w:rPr>
          <w:rFonts w:hint="eastAsia"/>
        </w:rPr>
        <w:t>对违反本管理规定，造成安全生产事故或其他不安全事件的单位，将予以通报并处罚。</w:t>
      </w:r>
    </w:p>
    <w:p w14:paraId="48437D6B">
      <w:pPr>
        <w:pStyle w:val="26"/>
      </w:pPr>
      <w:r>
        <w:rPr>
          <w:rFonts w:hint="eastAsia"/>
        </w:rPr>
        <w:t>本规定由中南空管局负责解释。</w:t>
      </w:r>
    </w:p>
    <w:p w14:paraId="0D533AA0">
      <w:pPr>
        <w:pStyle w:val="28"/>
        <w:numPr>
          <w:ilvl w:val="0"/>
          <w:numId w:val="5"/>
        </w:numPr>
        <w:spacing w:beforeLines="0" w:afterLines="0" w:line="360" w:lineRule="auto"/>
        <w:outlineLvl w:val="0"/>
        <w:rPr>
          <w:rFonts w:hAnsi="宋体"/>
          <w:sz w:val="24"/>
          <w:szCs w:val="24"/>
        </w:rPr>
      </w:pPr>
      <w:r>
        <w:rPr>
          <w:rFonts w:hint="eastAsia" w:hAnsi="黑体"/>
          <w:sz w:val="24"/>
          <w:szCs w:val="24"/>
        </w:rPr>
        <w:t>附  件</w:t>
      </w:r>
    </w:p>
    <w:p w14:paraId="444498D6">
      <w:pPr>
        <w:pStyle w:val="26"/>
        <w:numPr>
          <w:ilvl w:val="0"/>
          <w:numId w:val="5"/>
        </w:numPr>
        <w:ind w:firstLineChars="0"/>
      </w:pPr>
      <w:r>
        <w:rPr>
          <w:rFonts w:hint="eastAsia"/>
        </w:rPr>
        <w:t>附件1：供配电设备深度维护内容参考指引</w:t>
      </w:r>
    </w:p>
    <w:p w14:paraId="0D4AA9D0">
      <w:pPr>
        <w:pStyle w:val="26"/>
      </w:pPr>
      <w:r>
        <w:rPr>
          <w:rFonts w:hint="eastAsia"/>
        </w:rPr>
        <w:t>附件2：蓄电池维护规范和蓄电池劣化指标指引</w:t>
      </w:r>
    </w:p>
    <w:p w14:paraId="03E75A85">
      <w:pPr>
        <w:widowControl/>
        <w:spacing w:line="240" w:lineRule="auto"/>
        <w:jc w:val="left"/>
        <w:rPr>
          <w:rFonts w:hint="eastAsia" w:ascii="宋体" w:hAnsi="Times New Roman" w:eastAsia="宋体" w:cs="宋体"/>
          <w:kern w:val="0"/>
        </w:rPr>
      </w:pPr>
      <w:r>
        <w:br w:type="page"/>
      </w:r>
    </w:p>
    <w:p w14:paraId="3132A236">
      <w:pPr>
        <w:spacing w:line="360" w:lineRule="auto"/>
        <w:jc w:val="left"/>
        <w:rPr>
          <w:rFonts w:ascii="宋体" w:hAnsi="宋体" w:eastAsia="宋体" w:cs="宋体"/>
        </w:rPr>
      </w:pPr>
      <w:r>
        <w:rPr>
          <w:rFonts w:hint="eastAsia" w:ascii="宋体" w:hAnsi="宋体" w:eastAsia="宋体" w:cs="宋体"/>
        </w:rPr>
        <w:t>附件1：供配电设备深度维护内容参考指引</w:t>
      </w:r>
    </w:p>
    <w:p w14:paraId="62C1A516">
      <w:pPr>
        <w:spacing w:line="360" w:lineRule="auto"/>
        <w:jc w:val="left"/>
        <w:rPr>
          <w:rFonts w:ascii="宋体" w:hAnsi="宋体" w:eastAsia="宋体" w:cs="宋体"/>
        </w:rPr>
      </w:pPr>
      <w:r>
        <w:rPr>
          <w:rFonts w:hint="eastAsia" w:ascii="宋体" w:hAnsi="宋体" w:eastAsia="宋体" w:cs="宋体"/>
        </w:rPr>
        <w:t>一、高压配电系统深度维护要求</w:t>
      </w:r>
    </w:p>
    <w:p w14:paraId="3C65590B">
      <w:pPr>
        <w:pStyle w:val="26"/>
      </w:pPr>
      <w:r>
        <w:rPr>
          <w:rFonts w:hint="eastAsia"/>
        </w:rPr>
        <w:t>高压配电系统深度维护内容主要指高压配电系统的预防性试验及其维护，在开展深度维护工作时，应结合使用设备对应型号的维护手册、实际运行工况实施。</w:t>
      </w:r>
    </w:p>
    <w:p w14:paraId="3847F28F">
      <w:pPr>
        <w:pStyle w:val="26"/>
      </w:pPr>
      <w:r>
        <w:rPr>
          <w:rFonts w:hint="eastAsia"/>
        </w:rPr>
        <w:t>1、检查高压配电柜表面、母线室、电气一次隔室（含断路器室及电缆隔室）、电气二次隔室内各接线/铜排紧固情况，各部件表面有无异常痕迹。若发现松动迹象，紧固高压一次回路铜排及二次回路铜排、电缆等接头，并进行回路联合检测；</w:t>
      </w:r>
    </w:p>
    <w:p w14:paraId="187EE99F">
      <w:pPr>
        <w:pStyle w:val="26"/>
      </w:pPr>
      <w:r>
        <w:rPr>
          <w:rFonts w:hint="eastAsia"/>
        </w:rPr>
        <w:t>2、清洁高压配电柜表面、母线室、电气一次隔室（含电缆隔室）、电气二次隔室、断路器内部各部件、断路器小车、断路器推进杆等部件灰尘；</w:t>
      </w:r>
    </w:p>
    <w:p w14:paraId="4443497A">
      <w:pPr>
        <w:pStyle w:val="26"/>
      </w:pPr>
      <w:r>
        <w:rPr>
          <w:rFonts w:hint="eastAsia"/>
        </w:rPr>
        <w:t>3、为高压断路器推进杆、触头及传动机构、小车推进机构加注润滑剂；</w:t>
      </w:r>
    </w:p>
    <w:p w14:paraId="573E9614">
      <w:pPr>
        <w:pStyle w:val="26"/>
      </w:pPr>
      <w:r>
        <w:rPr>
          <w:rFonts w:hint="eastAsia"/>
        </w:rPr>
        <w:t>4、检查并确认二次接线无松动，线号应清晰准确并与图纸标示相符；</w:t>
      </w:r>
    </w:p>
    <w:p w14:paraId="14E19D5A">
      <w:pPr>
        <w:pStyle w:val="26"/>
      </w:pPr>
      <w:r>
        <w:rPr>
          <w:rFonts w:hint="eastAsia"/>
        </w:rPr>
        <w:t>5、检查高压断路器接地刀分合闸、小车机构联锁、触头弹簧力等可动部件的机械情况，确认“五防”功能是否正常；</w:t>
      </w:r>
    </w:p>
    <w:p w14:paraId="5ACC1A9B">
      <w:pPr>
        <w:pStyle w:val="26"/>
      </w:pPr>
      <w:r>
        <w:rPr>
          <w:rFonts w:hint="eastAsia"/>
        </w:rPr>
        <w:t>6、进行高压断路器机械特性试验，对辅助触点、开关分合闸、按钮闭锁、联锁装置、摇入摇出机构进行试验、检测；</w:t>
      </w:r>
    </w:p>
    <w:p w14:paraId="5BA2FC9A">
      <w:pPr>
        <w:pStyle w:val="26"/>
      </w:pPr>
      <w:r>
        <w:rPr>
          <w:rFonts w:hint="eastAsia"/>
        </w:rPr>
        <w:t>7、进行高压断路器合闸特性试验；</w:t>
      </w:r>
    </w:p>
    <w:p w14:paraId="32D8027F">
      <w:pPr>
        <w:pStyle w:val="26"/>
      </w:pPr>
      <w:r>
        <w:rPr>
          <w:rFonts w:hint="eastAsia"/>
        </w:rPr>
        <w:t>8、测量断路器、隔离开关及隔离插头的导电回路电阻，测量辅助回路和控制回路绝缘电阻；</w:t>
      </w:r>
    </w:p>
    <w:p w14:paraId="36E3E35E">
      <w:pPr>
        <w:pStyle w:val="26"/>
      </w:pPr>
      <w:r>
        <w:rPr>
          <w:rFonts w:hint="eastAsia"/>
        </w:rPr>
        <w:t>9、测量高压断路器、母线、高压电缆、互感器绝缘子相与相、相与地的绝缘电阻，并将测试值与设备维护手册规定值进行比对；可根据实际运行需要确定是否进行局部放电测试和交流耐压试验。</w:t>
      </w:r>
    </w:p>
    <w:p w14:paraId="17A09E82">
      <w:pPr>
        <w:pStyle w:val="26"/>
      </w:pPr>
      <w:r>
        <w:rPr>
          <w:rFonts w:hint="eastAsia"/>
        </w:rPr>
        <w:t>10、进行高压避雷器进行检查，有条件的进行直流 1mA 电压 U1mA及 0.75U1mA下的泄漏电流测试；</w:t>
      </w:r>
    </w:p>
    <w:p w14:paraId="673D5C38">
      <w:pPr>
        <w:pStyle w:val="26"/>
      </w:pPr>
      <w:r>
        <w:rPr>
          <w:rFonts w:hint="eastAsia"/>
        </w:rPr>
        <w:t>11、高压配电柜、断路器及小车维护工作完毕后，应将高压开关小车全部推入试验位置，电动合拉高压开关，测试确认是否正常；</w:t>
      </w:r>
    </w:p>
    <w:p w14:paraId="6C1CA324">
      <w:pPr>
        <w:pStyle w:val="26"/>
      </w:pPr>
      <w:r>
        <w:rPr>
          <w:rFonts w:hint="eastAsia"/>
        </w:rPr>
        <w:t>12、结合实际负载运行情况，进行继电保护测试，校验继电保护整定值，保护精度、动作精度，并对继电保护装置与断路器进行联动测试；</w:t>
      </w:r>
    </w:p>
    <w:p w14:paraId="54D93654">
      <w:pPr>
        <w:spacing w:line="360" w:lineRule="auto"/>
        <w:jc w:val="left"/>
        <w:rPr>
          <w:rFonts w:ascii="宋体" w:hAnsi="宋体" w:eastAsia="宋体" w:cs="宋体"/>
        </w:rPr>
      </w:pPr>
      <w:r>
        <w:rPr>
          <w:rFonts w:hint="eastAsia" w:ascii="宋体" w:hAnsi="宋体" w:eastAsia="宋体" w:cs="宋体"/>
        </w:rPr>
        <w:t>二、低压配电设备深度维护要求</w:t>
      </w:r>
    </w:p>
    <w:p w14:paraId="75DBA9D4">
      <w:pPr>
        <w:pStyle w:val="26"/>
      </w:pPr>
      <w:r>
        <w:rPr>
          <w:rFonts w:hint="eastAsia"/>
        </w:rPr>
        <w:t>低压配电设备深度维护内容主要针对低压配电系统的柜体、断路器、谐波治理设备等基本维护项，在开展深度维护工作时，应结合使用设备对应型号的维护手册、实际运行工况实施。</w:t>
      </w:r>
    </w:p>
    <w:p w14:paraId="6E5D358E">
      <w:pPr>
        <w:pStyle w:val="26"/>
      </w:pPr>
      <w:r>
        <w:rPr>
          <w:rFonts w:hint="eastAsia"/>
        </w:rPr>
        <w:t>1、对框架式断路器内部操作机构进行检查、保养，检查螺丝螺母有无松动，清除灰尘，上润滑油等；</w:t>
      </w:r>
    </w:p>
    <w:p w14:paraId="4B782455">
      <w:pPr>
        <w:pStyle w:val="26"/>
      </w:pPr>
      <w:r>
        <w:rPr>
          <w:rFonts w:hint="eastAsia"/>
        </w:rPr>
        <w:t>2、对框架式断路器的储能器件进行检查、保养，测试手动储能、电动储能功能，为储能机械机构上润滑油；</w:t>
      </w:r>
    </w:p>
    <w:p w14:paraId="0716CC56">
      <w:pPr>
        <w:pStyle w:val="26"/>
      </w:pPr>
      <w:r>
        <w:rPr>
          <w:rFonts w:hint="eastAsia"/>
        </w:rPr>
        <w:t>3、对框架式断路器的灭弧罩及触头进行检查、保养及校验，用高压空气吹净或用刷子刷净灭弧罩内灰烬；用砂布磨去触头及其护板上存在的拉弧点，若拉弧情况严重则应进行更换；紧固触头内部各部件螺丝；校验动、静触头的中心位置；完成灭弧罩及触头检查及维护工作后，有条件的测量核验动、静主触头接触电阻值；</w:t>
      </w:r>
    </w:p>
    <w:p w14:paraId="352769C1">
      <w:pPr>
        <w:pStyle w:val="26"/>
      </w:pPr>
      <w:r>
        <w:rPr>
          <w:rFonts w:hint="eastAsia"/>
        </w:rPr>
        <w:t>4、对框架式断路器的主回路、母排及隔离触头进行检查、保养，用刷子或布擦净主回路、母排及隔离触头上存在的灰烬和灰尘；检查安全卡簧、螺丝螺母有无弹出、松动；检查绝缘部件有无爆裂或变形；</w:t>
      </w:r>
    </w:p>
    <w:p w14:paraId="0321A9FD">
      <w:pPr>
        <w:pStyle w:val="26"/>
      </w:pPr>
      <w:r>
        <w:rPr>
          <w:rFonts w:hint="eastAsia"/>
        </w:rPr>
        <w:t>5、对框架式断路器电子控制单元及保护单元进行检查、测试，检验电子脱扣器情况，核实整定时间及动作情况；使用专用仪器测试保护单元各功能是否正常，保护动作曲线、保护工作状态；</w:t>
      </w:r>
    </w:p>
    <w:p w14:paraId="104815C4">
      <w:pPr>
        <w:pStyle w:val="26"/>
      </w:pPr>
      <w:r>
        <w:rPr>
          <w:rFonts w:hint="eastAsia"/>
        </w:rPr>
        <w:t>6、对低压配电柜柜体内部进行清洁，清除灰尘、检查是否存在昆虫、小动物等异物；</w:t>
      </w:r>
    </w:p>
    <w:p w14:paraId="36D3012F">
      <w:pPr>
        <w:pStyle w:val="26"/>
      </w:pPr>
      <w:r>
        <w:rPr>
          <w:rFonts w:hint="eastAsia"/>
        </w:rPr>
        <w:t>7、对低压配电柜的二次回路进行检查，包括互感器、继电器、接触器等元器件；</w:t>
      </w:r>
    </w:p>
    <w:p w14:paraId="0E4ADC71">
      <w:pPr>
        <w:pStyle w:val="26"/>
      </w:pPr>
      <w:r>
        <w:rPr>
          <w:rFonts w:hint="eastAsia"/>
        </w:rPr>
        <w:t>8、 对低压配电柜内母线及其引下线连接情况进行检查，对柜内各电缆接头进行检查；</w:t>
      </w:r>
    </w:p>
    <w:p w14:paraId="6B11E581">
      <w:pPr>
        <w:pStyle w:val="26"/>
      </w:pPr>
      <w:r>
        <w:rPr>
          <w:rFonts w:hint="eastAsia"/>
        </w:rPr>
        <w:t>9、对低压配电柜的谐波治理柜（无功补偿柜）进行检查，测量谐波治理配套设施的电容等数据；</w:t>
      </w:r>
    </w:p>
    <w:p w14:paraId="4F71AE0F">
      <w:pPr>
        <w:pStyle w:val="26"/>
      </w:pPr>
      <w:r>
        <w:rPr>
          <w:rFonts w:hint="eastAsia"/>
        </w:rPr>
        <w:t>10、对低压配电柜各抽屉式开关推入或拉出灵活性、机械闭锁、接触器触头等情况进行检查；</w:t>
      </w:r>
    </w:p>
    <w:p w14:paraId="79CDB0B5">
      <w:pPr>
        <w:pStyle w:val="26"/>
      </w:pPr>
      <w:r>
        <w:rPr>
          <w:rFonts w:hint="eastAsia"/>
        </w:rPr>
        <w:t>11、对低压配电柜的联锁装置、互锁装置进行检查，查看测试电气联锁及机械部件动作情况；</w:t>
      </w:r>
    </w:p>
    <w:p w14:paraId="0495B0B2">
      <w:pPr>
        <w:pStyle w:val="26"/>
      </w:pPr>
      <w:r>
        <w:rPr>
          <w:rFonts w:hint="eastAsia"/>
        </w:rPr>
        <w:t>12、检查并确认二次接线无松动，二次线号应清晰准确，并与图纸标示相符是否存在异常，二次侧测量数据与实际数据进行比对确认。</w:t>
      </w:r>
    </w:p>
    <w:p w14:paraId="4E74592A">
      <w:pPr>
        <w:spacing w:line="360" w:lineRule="auto"/>
        <w:jc w:val="left"/>
        <w:rPr>
          <w:rFonts w:ascii="宋体" w:hAnsi="宋体" w:eastAsia="宋体" w:cs="宋体"/>
        </w:rPr>
      </w:pPr>
      <w:r>
        <w:rPr>
          <w:rFonts w:hint="eastAsia" w:ascii="宋体" w:hAnsi="宋体" w:eastAsia="宋体" w:cs="宋体"/>
        </w:rPr>
        <w:t>三、UPS深度维护要求</w:t>
      </w:r>
    </w:p>
    <w:p w14:paraId="7ACDFD01">
      <w:pPr>
        <w:pStyle w:val="26"/>
      </w:pPr>
      <w:r>
        <w:rPr>
          <w:rFonts w:hint="eastAsia"/>
        </w:rPr>
        <w:t>UPS深度维护应根据实际 UPS 工况，有针对性制定维护方案，包含 UPS 性能参数核对、校准、调整，蓄电池容量核对性测试，内部器件深度检查，UPS 性能分析、优化建议和大修等工作。</w:t>
      </w:r>
    </w:p>
    <w:p w14:paraId="73A517C9">
      <w:pPr>
        <w:pStyle w:val="26"/>
      </w:pPr>
      <w:r>
        <w:rPr>
          <w:rFonts w:hint="eastAsia"/>
        </w:rPr>
        <w:t>1、导出 UPS 设备内运行数据和告警信息，并进行分析；</w:t>
      </w:r>
    </w:p>
    <w:p w14:paraId="714480B6">
      <w:pPr>
        <w:pStyle w:val="26"/>
      </w:pPr>
      <w:r>
        <w:rPr>
          <w:rFonts w:hint="eastAsia"/>
        </w:rPr>
        <w:t>2、检查交流电容、直流电容的运行状态和性能；</w:t>
      </w:r>
    </w:p>
    <w:p w14:paraId="601B73B1">
      <w:pPr>
        <w:pStyle w:val="26"/>
      </w:pPr>
      <w:r>
        <w:rPr>
          <w:rFonts w:hint="eastAsia"/>
        </w:rPr>
        <w:t>3、检查 UPS 各元器件连接是否紧固，有无损坏，有无变色及异味，有无腐蚀生锈等；</w:t>
      </w:r>
    </w:p>
    <w:p w14:paraId="318C50F9">
      <w:pPr>
        <w:pStyle w:val="26"/>
      </w:pPr>
      <w:r>
        <w:rPr>
          <w:rFonts w:hint="eastAsia"/>
        </w:rPr>
        <w:t>4、检测 UPS 的各项电气参数，与初始值或历史数据进行比对分析，必要时进行设置数据校正；</w:t>
      </w:r>
    </w:p>
    <w:p w14:paraId="4BBF626D">
      <w:pPr>
        <w:pStyle w:val="26"/>
      </w:pPr>
      <w:r>
        <w:rPr>
          <w:rFonts w:hint="eastAsia"/>
        </w:rPr>
        <w:t>5、检查 UPS 各元器件功能是否正常，功率器件性能是否良好；</w:t>
      </w:r>
    </w:p>
    <w:p w14:paraId="281597B8">
      <w:pPr>
        <w:pStyle w:val="26"/>
      </w:pPr>
      <w:r>
        <w:rPr>
          <w:rFonts w:hint="eastAsia"/>
        </w:rPr>
        <w:t>6、维修或更换维护过程中发现的故障元器件。</w:t>
      </w:r>
    </w:p>
    <w:p w14:paraId="5C5DC079">
      <w:pPr>
        <w:widowControl/>
        <w:spacing w:line="240" w:lineRule="auto"/>
        <w:jc w:val="left"/>
        <w:rPr>
          <w:rFonts w:ascii="宋体" w:hAnsi="宋体" w:eastAsia="宋体" w:cs="宋体"/>
          <w:kern w:val="0"/>
        </w:rPr>
      </w:pPr>
      <w:r>
        <w:rPr>
          <w:rFonts w:hAnsi="宋体"/>
        </w:rPr>
        <w:br w:type="page"/>
      </w:r>
    </w:p>
    <w:p w14:paraId="10D05C58">
      <w:pPr>
        <w:pStyle w:val="26"/>
      </w:pPr>
      <w:r>
        <w:rPr>
          <w:rFonts w:hint="eastAsia"/>
        </w:rPr>
        <w:t>附件2：蓄电池维护规范和蓄电池劣化指标指引</w:t>
      </w:r>
    </w:p>
    <w:p w14:paraId="5135157C">
      <w:pPr>
        <w:spacing w:line="360" w:lineRule="auto"/>
        <w:jc w:val="left"/>
        <w:rPr>
          <w:rFonts w:ascii="宋体" w:hAnsi="宋体" w:eastAsia="宋体" w:cs="宋体"/>
        </w:rPr>
      </w:pPr>
      <w:r>
        <w:rPr>
          <w:rFonts w:hint="eastAsia" w:ascii="宋体" w:hAnsi="宋体" w:eastAsia="宋体" w:cs="宋体"/>
        </w:rPr>
        <w:t>一、蓄电池维护规范</w:t>
      </w:r>
    </w:p>
    <w:p w14:paraId="21D331C5">
      <w:pPr>
        <w:spacing w:line="360" w:lineRule="auto"/>
        <w:ind w:firstLine="420" w:firstLineChars="200"/>
        <w:jc w:val="left"/>
        <w:rPr>
          <w:rFonts w:ascii="宋体" w:hAnsi="宋体" w:eastAsia="宋体" w:cs="宋体"/>
        </w:rPr>
      </w:pPr>
      <w:r>
        <w:rPr>
          <w:rFonts w:hint="eastAsia" w:ascii="宋体" w:hAnsi="宋体" w:eastAsia="宋体" w:cs="宋体"/>
        </w:rPr>
        <w:t>适当的电池维护能延长蓄电池的寿命，并有助于确定其容量是否满足设计要求，完整的蓄电池放电数据能提供有效的电池更换依据。蓄电池的维护工作应由有蓄电池知识和安全保护措施的人来完成。</w:t>
      </w:r>
    </w:p>
    <w:p w14:paraId="3C8C7B90">
      <w:pPr>
        <w:spacing w:line="360" w:lineRule="auto"/>
        <w:ind w:firstLine="420" w:firstLineChars="200"/>
        <w:jc w:val="left"/>
        <w:rPr>
          <w:rFonts w:ascii="宋体" w:hAnsi="宋体" w:eastAsia="宋体" w:cs="宋体"/>
        </w:rPr>
      </w:pPr>
      <w:r>
        <w:rPr>
          <w:rFonts w:hint="eastAsia" w:ascii="宋体" w:hAnsi="宋体" w:eastAsia="宋体" w:cs="宋体"/>
        </w:rPr>
        <w:t>蓄电池放电维护前，应对蓄电池进行内阻（电导）测量，对电池的状态进行评判，以决定即将安排或执行的放电维护是否进行调整。按要求开展蓄电池的放电维护检查工作，应包含但不局限于下列检查内容：</w:t>
      </w:r>
    </w:p>
    <w:p w14:paraId="59F9A26D">
      <w:pPr>
        <w:spacing w:line="360" w:lineRule="auto"/>
        <w:ind w:firstLine="420" w:firstLineChars="200"/>
        <w:jc w:val="left"/>
        <w:rPr>
          <w:rFonts w:ascii="宋体" w:hAnsi="宋体" w:eastAsia="宋体" w:cs="宋体"/>
        </w:rPr>
      </w:pPr>
      <w:r>
        <w:rPr>
          <w:rFonts w:hint="eastAsia" w:ascii="宋体" w:hAnsi="宋体" w:eastAsia="宋体" w:cs="宋体"/>
        </w:rPr>
        <w:t>1、测量电池浮充电压是否正常；</w:t>
      </w:r>
    </w:p>
    <w:p w14:paraId="5CAF8714">
      <w:pPr>
        <w:spacing w:line="360" w:lineRule="auto"/>
        <w:ind w:firstLine="420" w:firstLineChars="200"/>
        <w:jc w:val="left"/>
        <w:rPr>
          <w:rFonts w:ascii="宋体" w:hAnsi="宋体" w:eastAsia="宋体" w:cs="宋体"/>
        </w:rPr>
      </w:pPr>
      <w:r>
        <w:rPr>
          <w:rFonts w:hint="eastAsia" w:ascii="宋体" w:hAnsi="宋体" w:eastAsia="宋体" w:cs="宋体"/>
        </w:rPr>
        <w:t>2、各接头连接线有无松动、发热、打火现象；</w:t>
      </w:r>
    </w:p>
    <w:p w14:paraId="5A790D42">
      <w:pPr>
        <w:spacing w:line="360" w:lineRule="auto"/>
        <w:ind w:firstLine="420" w:firstLineChars="200"/>
        <w:jc w:val="left"/>
        <w:rPr>
          <w:rFonts w:ascii="宋体" w:hAnsi="宋体" w:eastAsia="宋体" w:cs="宋体"/>
        </w:rPr>
      </w:pPr>
      <w:r>
        <w:rPr>
          <w:rFonts w:hint="eastAsia" w:ascii="宋体" w:hAnsi="宋体" w:eastAsia="宋体" w:cs="宋体"/>
        </w:rPr>
        <w:t>4、检查电池有无鼓包、漏液现象；</w:t>
      </w:r>
    </w:p>
    <w:p w14:paraId="19E63F8D">
      <w:pPr>
        <w:spacing w:line="360" w:lineRule="auto"/>
        <w:ind w:firstLine="420" w:firstLineChars="200"/>
        <w:jc w:val="left"/>
        <w:rPr>
          <w:rFonts w:ascii="宋体" w:hAnsi="宋体" w:eastAsia="宋体" w:cs="宋体"/>
        </w:rPr>
      </w:pPr>
      <w:r>
        <w:rPr>
          <w:rFonts w:hint="eastAsia" w:ascii="宋体" w:hAnsi="宋体" w:eastAsia="宋体" w:cs="宋体"/>
        </w:rPr>
        <w:t>5、电池极柱有无氧化、腐蚀现象；</w:t>
      </w:r>
    </w:p>
    <w:p w14:paraId="4CADAD51">
      <w:pPr>
        <w:spacing w:line="360" w:lineRule="auto"/>
        <w:ind w:firstLine="420" w:firstLineChars="200"/>
        <w:jc w:val="left"/>
        <w:rPr>
          <w:rFonts w:ascii="宋体" w:hAnsi="宋体" w:eastAsia="宋体" w:cs="宋体"/>
        </w:rPr>
      </w:pPr>
      <w:r>
        <w:rPr>
          <w:rFonts w:hint="eastAsia" w:ascii="宋体" w:hAnsi="宋体" w:eastAsia="宋体" w:cs="宋体"/>
        </w:rPr>
        <w:t>6、蓄电池放电维护时，应密切关注蓄电池情况，每15分钟应记录1次电池电压值及电流值，如电池电压下降过快，应增加测量频次，甚至及时终止放电维护。</w:t>
      </w:r>
    </w:p>
    <w:p w14:paraId="1CFC7944">
      <w:pPr>
        <w:spacing w:line="360" w:lineRule="auto"/>
        <w:ind w:firstLine="420" w:firstLineChars="200"/>
        <w:jc w:val="left"/>
        <w:rPr>
          <w:rFonts w:ascii="宋体" w:hAnsi="宋体" w:eastAsia="宋体" w:cs="宋体"/>
        </w:rPr>
      </w:pPr>
      <w:r>
        <w:rPr>
          <w:rFonts w:hint="eastAsia" w:ascii="宋体" w:hAnsi="宋体" w:eastAsia="宋体" w:cs="宋体"/>
        </w:rPr>
        <w:t>多台设备的蓄电池应分别进行放电维护，例如多台UPS并机时，每次选择一台UPS电池维护。设备后端连接关键负载时，应选择合理时段进行放电维护。</w:t>
      </w:r>
    </w:p>
    <w:p w14:paraId="38B14A7D">
      <w:pPr>
        <w:spacing w:line="360" w:lineRule="auto"/>
        <w:ind w:firstLine="420" w:firstLineChars="200"/>
        <w:jc w:val="left"/>
        <w:rPr>
          <w:rFonts w:ascii="宋体" w:hAnsi="宋体" w:eastAsia="宋体" w:cs="宋体"/>
        </w:rPr>
      </w:pPr>
      <w:r>
        <w:rPr>
          <w:rFonts w:hint="eastAsia" w:ascii="宋体" w:hAnsi="宋体" w:eastAsia="宋体" w:cs="宋体"/>
        </w:rPr>
        <w:t>放电维护完成后，记录数据（包括电池串总电压、蓄电池单节电压、放电电流，以及蓄电池内阻/电导值），并与初始放电数据进行对比总结，分析电池性能变化情况。</w:t>
      </w:r>
    </w:p>
    <w:p w14:paraId="036020B9">
      <w:pPr>
        <w:spacing w:line="360" w:lineRule="auto"/>
        <w:ind w:firstLine="420" w:firstLineChars="200"/>
        <w:jc w:val="left"/>
        <w:rPr>
          <w:rFonts w:ascii="宋体" w:hAnsi="宋体" w:eastAsia="宋体" w:cs="宋体"/>
        </w:rPr>
      </w:pPr>
      <w:r>
        <w:rPr>
          <w:rFonts w:hint="eastAsia" w:ascii="宋体" w:hAnsi="宋体" w:eastAsia="宋体" w:cs="宋体"/>
        </w:rPr>
        <w:t>改造、新建项目时，UPS、直流配电柜等设备应按要求配备足够容量蓄电池。</w:t>
      </w:r>
    </w:p>
    <w:p w14:paraId="4E099317">
      <w:pPr>
        <w:spacing w:line="360" w:lineRule="auto"/>
        <w:ind w:firstLine="420" w:firstLineChars="200"/>
        <w:jc w:val="left"/>
        <w:rPr>
          <w:rFonts w:ascii="宋体" w:hAnsi="宋体" w:eastAsia="宋体" w:cs="宋体"/>
        </w:rPr>
      </w:pPr>
      <w:r>
        <w:rPr>
          <w:rFonts w:hint="eastAsia" w:ascii="宋体" w:hAnsi="宋体" w:eastAsia="宋体" w:cs="宋体"/>
        </w:rPr>
        <w:t>新蓄电池组应充放电3次后，在20℃-25℃环境温度下进行容量核对性放电测试，建档记录蓄电池的内阻（电导）、电池电压、放电电流、剩余电量等数据。</w:t>
      </w:r>
    </w:p>
    <w:p w14:paraId="489FF13D">
      <w:pPr>
        <w:spacing w:line="360" w:lineRule="auto"/>
        <w:jc w:val="left"/>
        <w:rPr>
          <w:rFonts w:ascii="宋体" w:hAnsi="宋体" w:eastAsia="宋体" w:cs="宋体"/>
        </w:rPr>
      </w:pPr>
      <w:r>
        <w:rPr>
          <w:rFonts w:hint="eastAsia" w:ascii="宋体" w:hAnsi="宋体" w:eastAsia="宋体" w:cs="宋体"/>
        </w:rPr>
        <w:t>二、蓄电池劣化判断指标</w:t>
      </w:r>
    </w:p>
    <w:p w14:paraId="232ECD60">
      <w:pPr>
        <w:pStyle w:val="4"/>
        <w:spacing w:line="360" w:lineRule="auto"/>
        <w:jc w:val="left"/>
        <w:rPr>
          <w:rFonts w:ascii="宋体" w:hAnsi="宋体" w:eastAsia="宋体" w:cs="宋体"/>
          <w:b w:val="0"/>
          <w:bCs w:val="0"/>
          <w:sz w:val="21"/>
          <w:szCs w:val="21"/>
        </w:rPr>
      </w:pPr>
      <w:r>
        <w:rPr>
          <w:rFonts w:hint="eastAsia" w:ascii="宋体" w:hAnsi="宋体" w:eastAsia="宋体" w:cs="宋体"/>
          <w:b w:val="0"/>
          <w:bCs w:val="0"/>
          <w:sz w:val="21"/>
          <w:szCs w:val="21"/>
        </w:rPr>
        <w:t>（一）容量指标</w:t>
      </w:r>
    </w:p>
    <w:p w14:paraId="7B6FC798">
      <w:pPr>
        <w:spacing w:line="360" w:lineRule="auto"/>
        <w:ind w:firstLine="420" w:firstLineChars="200"/>
        <w:jc w:val="left"/>
        <w:rPr>
          <w:rFonts w:ascii="宋体" w:hAnsi="宋体" w:eastAsia="宋体" w:cs="宋体"/>
        </w:rPr>
      </w:pPr>
      <w:r>
        <w:rPr>
          <w:rFonts w:hint="eastAsia" w:ascii="宋体" w:hAnsi="宋体" w:eastAsia="宋体" w:cs="宋体"/>
        </w:rPr>
        <w:t>依据IEEE国际标准规范，当整组蓄电池充放电测试三次的容量均无法达到设计容量的80%时，可判此组蓄电池使用年限已到。容量指标中的电池容量计算公式为：</w:t>
      </w:r>
    </w:p>
    <w:p w14:paraId="56F7D4FD">
      <w:pPr>
        <w:spacing w:line="360" w:lineRule="auto"/>
        <w:rPr>
          <w:rFonts w:ascii="宋体" w:hAnsi="宋体" w:eastAsia="宋体" w:cs="宋体"/>
        </w:rPr>
      </w:pPr>
      <w:r>
        <w:rPr>
          <w:rFonts w:hint="eastAsia" w:ascii="宋体" w:hAnsi="宋体" w:eastAsia="宋体" w:cs="宋体"/>
        </w:rPr>
        <w:t>25℃恒定电流放电时电池的容量 = ( Ta/Ts )*100%</w:t>
      </w:r>
    </w:p>
    <w:p w14:paraId="5F1AE99B">
      <w:pPr>
        <w:spacing w:line="360" w:lineRule="auto"/>
        <w:ind w:firstLine="2520" w:firstLineChars="1200"/>
        <w:jc w:val="both"/>
        <w:rPr>
          <w:rFonts w:ascii="宋体" w:hAnsi="宋体" w:eastAsia="宋体" w:cs="宋体"/>
        </w:rPr>
      </w:pPr>
      <w:r>
        <w:rPr>
          <w:rFonts w:hint="eastAsia" w:ascii="宋体" w:hAnsi="宋体" w:eastAsia="宋体" w:cs="宋体"/>
        </w:rPr>
        <w:t>Ta表示到达终止电压的实际测试时间</w:t>
      </w:r>
    </w:p>
    <w:p w14:paraId="22A4978E">
      <w:pPr>
        <w:spacing w:line="360" w:lineRule="auto"/>
        <w:ind w:firstLine="2520" w:firstLineChars="1200"/>
        <w:jc w:val="both"/>
        <w:rPr>
          <w:rFonts w:ascii="宋体" w:hAnsi="宋体" w:eastAsia="宋体" w:cs="宋体"/>
        </w:rPr>
      </w:pPr>
      <w:r>
        <w:rPr>
          <w:rFonts w:hint="eastAsia" w:ascii="宋体" w:hAnsi="宋体" w:eastAsia="宋体" w:cs="宋体"/>
        </w:rPr>
        <w:t>Ts表示终止电压的额定时间</w:t>
      </w:r>
    </w:p>
    <w:p w14:paraId="3FA9F95F">
      <w:pPr>
        <w:spacing w:line="360" w:lineRule="auto"/>
        <w:jc w:val="left"/>
        <w:rPr>
          <w:rFonts w:ascii="宋体" w:hAnsi="宋体" w:eastAsia="宋体" w:cs="宋体"/>
        </w:rPr>
      </w:pPr>
      <w:r>
        <w:rPr>
          <w:rFonts w:hint="eastAsia" w:ascii="宋体" w:hAnsi="宋体" w:eastAsia="宋体" w:cs="宋体"/>
        </w:rPr>
        <w:t xml:space="preserve">    依据这个公式，计算电池的准确剩余容量应将电池放电至终止电压，但是实际放电维护不允许将电池放电至终止电压，所以在此需根据实际工作情况调整计算公式。根据蓄电池放电特性，以12V电池为例， 12V电池的放电终止电压为 10.8V，当电池电压降到11.5V左右时，电压下降率将迅速增大，达到电池终止电压的时间迅速缩短，此电压值可作为判断电池容量的依据。</w:t>
      </w:r>
    </w:p>
    <w:p w14:paraId="2AAAE974">
      <w:pPr>
        <w:spacing w:line="360" w:lineRule="auto"/>
        <w:jc w:val="left"/>
        <w:rPr>
          <w:rFonts w:ascii="宋体" w:hAnsi="宋体" w:eastAsia="宋体" w:cs="宋体"/>
        </w:rPr>
      </w:pPr>
      <w:r>
        <w:rPr>
          <w:rFonts w:hint="eastAsia" w:ascii="宋体" w:hAnsi="宋体" w:eastAsia="宋体" w:cs="宋体"/>
        </w:rPr>
        <w:t>根据以上分析，结合实际运行经验，可将电池容量的计算公式转化为：</w:t>
      </w:r>
    </w:p>
    <w:p w14:paraId="48138B6A">
      <w:pPr>
        <w:spacing w:line="360" w:lineRule="auto"/>
        <w:rPr>
          <w:rFonts w:ascii="宋体" w:hAnsi="宋体" w:eastAsia="宋体" w:cs="宋体"/>
        </w:rPr>
      </w:pPr>
      <w:r>
        <w:rPr>
          <w:rFonts w:hint="eastAsia" w:ascii="宋体" w:hAnsi="宋体" w:eastAsia="宋体" w:cs="宋体"/>
        </w:rPr>
        <w:t>25℃时电池的容量=( Ta/Ts)*（Pa/Ps）* 100%</w:t>
      </w:r>
    </w:p>
    <w:p w14:paraId="2212B4D2">
      <w:pPr>
        <w:spacing w:line="360" w:lineRule="auto"/>
        <w:rPr>
          <w:rFonts w:ascii="宋体" w:hAnsi="宋体" w:eastAsia="宋体" w:cs="宋体"/>
        </w:rPr>
      </w:pPr>
      <w:r>
        <w:rPr>
          <w:rFonts w:hint="eastAsia" w:ascii="宋体" w:hAnsi="宋体" w:eastAsia="宋体" w:cs="宋体"/>
        </w:rPr>
        <w:t>Ta表示电池放电电压达到11.5V的实际测试时间</w:t>
      </w:r>
    </w:p>
    <w:p w14:paraId="0744CF8A">
      <w:pPr>
        <w:spacing w:line="360" w:lineRule="auto"/>
        <w:rPr>
          <w:rFonts w:ascii="宋体" w:hAnsi="宋体" w:eastAsia="宋体" w:cs="宋体"/>
        </w:rPr>
      </w:pPr>
      <w:r>
        <w:rPr>
          <w:rFonts w:hint="eastAsia" w:ascii="宋体" w:hAnsi="宋体" w:eastAsia="宋体" w:cs="宋体"/>
        </w:rPr>
        <w:t>Ts表示新电池激活充满后，电池放电电压达到11.5V的实际测试时间</w:t>
      </w:r>
    </w:p>
    <w:p w14:paraId="418F5C62">
      <w:pPr>
        <w:spacing w:line="360" w:lineRule="auto"/>
        <w:rPr>
          <w:rFonts w:ascii="宋体" w:hAnsi="宋体" w:eastAsia="宋体" w:cs="宋体"/>
        </w:rPr>
      </w:pPr>
      <w:r>
        <w:rPr>
          <w:rFonts w:hint="eastAsia" w:ascii="宋体" w:hAnsi="宋体" w:eastAsia="宋体" w:cs="宋体"/>
        </w:rPr>
        <w:t>Pa表示当前设备放电时的负载功率</w:t>
      </w:r>
    </w:p>
    <w:p w14:paraId="4E23ACCB">
      <w:pPr>
        <w:spacing w:line="360" w:lineRule="auto"/>
        <w:rPr>
          <w:rFonts w:ascii="宋体" w:hAnsi="宋体" w:eastAsia="宋体" w:cs="宋体"/>
        </w:rPr>
      </w:pPr>
      <w:r>
        <w:rPr>
          <w:rFonts w:hint="eastAsia" w:ascii="宋体" w:hAnsi="宋体" w:eastAsia="宋体" w:cs="宋体"/>
        </w:rPr>
        <w:t>Ps表示设备投产新电池激活充满后，第一次放电测试时设备的负载功率</w:t>
      </w:r>
    </w:p>
    <w:p w14:paraId="0CDE9EDB">
      <w:pPr>
        <w:spacing w:line="360" w:lineRule="auto"/>
        <w:jc w:val="left"/>
        <w:rPr>
          <w:rFonts w:ascii="宋体" w:hAnsi="宋体" w:eastAsia="宋体" w:cs="宋体"/>
        </w:rPr>
      </w:pPr>
      <w:r>
        <w:rPr>
          <w:rFonts w:hint="eastAsia" w:ascii="宋体" w:hAnsi="宋体" w:eastAsia="宋体" w:cs="宋体"/>
        </w:rPr>
        <w:t>（注：不同型号、不同规格的电池放电特性不同，需根据实际使用的电池放电特性，选择合适的参考电压值，参考电压值一般选择电压下降率迅速增大的时刻，12V蓄电池参考电压值一般为11.5V）</w:t>
      </w:r>
    </w:p>
    <w:p w14:paraId="4902AFF1">
      <w:pPr>
        <w:pStyle w:val="4"/>
        <w:spacing w:line="360" w:lineRule="auto"/>
        <w:jc w:val="left"/>
        <w:rPr>
          <w:rFonts w:ascii="宋体" w:hAnsi="宋体" w:eastAsia="宋体" w:cs="宋体"/>
          <w:b w:val="0"/>
          <w:bCs w:val="0"/>
          <w:sz w:val="21"/>
          <w:szCs w:val="21"/>
        </w:rPr>
      </w:pPr>
      <w:r>
        <w:rPr>
          <w:rFonts w:hint="eastAsia" w:ascii="宋体" w:hAnsi="宋体" w:eastAsia="宋体" w:cs="宋体"/>
          <w:b w:val="0"/>
          <w:bCs w:val="0"/>
          <w:sz w:val="21"/>
          <w:szCs w:val="21"/>
        </w:rPr>
        <w:t>（二）内阻（电导）指标</w:t>
      </w:r>
    </w:p>
    <w:p w14:paraId="3848A3D6">
      <w:pPr>
        <w:spacing w:line="360" w:lineRule="auto"/>
        <w:ind w:firstLine="420" w:firstLineChars="200"/>
        <w:jc w:val="left"/>
        <w:rPr>
          <w:rFonts w:ascii="宋体" w:hAnsi="宋体" w:eastAsia="宋体" w:cs="宋体"/>
        </w:rPr>
      </w:pPr>
      <w:r>
        <w:rPr>
          <w:rFonts w:hint="eastAsia" w:ascii="宋体" w:hAnsi="宋体" w:eastAsia="宋体" w:cs="宋体"/>
        </w:rPr>
        <w:t>结合实际运行经验，当蓄电池的内阻大于初始值的1.5倍时（电导小于初始值的2/3），电池的容量将在其额定容量的80%以下，可判此蓄电池使用年限已到。</w:t>
      </w:r>
    </w:p>
    <w:p w14:paraId="76DCB951">
      <w:pPr>
        <w:pStyle w:val="4"/>
        <w:spacing w:line="360" w:lineRule="auto"/>
        <w:jc w:val="left"/>
        <w:rPr>
          <w:rFonts w:ascii="宋体" w:hAnsi="宋体" w:eastAsia="宋体" w:cs="宋体"/>
          <w:b w:val="0"/>
          <w:bCs w:val="0"/>
          <w:sz w:val="21"/>
          <w:szCs w:val="21"/>
        </w:rPr>
      </w:pPr>
      <w:r>
        <w:rPr>
          <w:rFonts w:hint="eastAsia" w:ascii="宋体" w:hAnsi="宋体" w:eastAsia="宋体" w:cs="宋体"/>
          <w:b w:val="0"/>
          <w:bCs w:val="0"/>
          <w:sz w:val="21"/>
          <w:szCs w:val="21"/>
        </w:rPr>
        <w:t>（三）电压指标</w:t>
      </w:r>
    </w:p>
    <w:p w14:paraId="3609A323">
      <w:pPr>
        <w:spacing w:line="360" w:lineRule="auto"/>
        <w:ind w:firstLine="420" w:firstLineChars="200"/>
        <w:jc w:val="left"/>
        <w:rPr>
          <w:rFonts w:ascii="宋体" w:hAnsi="宋体" w:eastAsia="宋体" w:cs="宋体"/>
        </w:rPr>
      </w:pPr>
      <w:r>
        <w:rPr>
          <w:rFonts w:hint="eastAsia" w:ascii="宋体" w:hAnsi="宋体" w:eastAsia="宋体" w:cs="宋体"/>
          <w:highlight w:val="cyan"/>
        </w:rPr>
        <w:t>结合实际运行经验，在放电维护中，当单节蓄电池的电压低于该组电池平均电压超过0.5V时，可判断此节电池性能不足，需考虑进行更换处理。</w:t>
      </w:r>
    </w:p>
    <w:p w14:paraId="45F75620">
      <w:pPr>
        <w:spacing w:line="360" w:lineRule="auto"/>
        <w:jc w:val="left"/>
        <w:rPr>
          <w:rFonts w:ascii="宋体" w:hAnsi="宋体" w:eastAsia="宋体" w:cs="宋体"/>
        </w:rPr>
      </w:pPr>
      <w:r>
        <w:rPr>
          <w:rFonts w:hint="eastAsia" w:ascii="宋体" w:hAnsi="宋体" w:eastAsia="宋体" w:cs="宋体"/>
        </w:rPr>
        <w:t>三、蓄电池更换要求</w:t>
      </w:r>
    </w:p>
    <w:p w14:paraId="69011345">
      <w:pPr>
        <w:spacing w:line="360" w:lineRule="auto"/>
        <w:ind w:firstLine="420" w:firstLineChars="200"/>
        <w:jc w:val="left"/>
        <w:rPr>
          <w:rFonts w:ascii="宋体" w:hAnsi="宋体" w:eastAsia="宋体" w:cs="宋体"/>
        </w:rPr>
      </w:pPr>
      <w:r>
        <w:rPr>
          <w:rFonts w:hint="eastAsia" w:ascii="宋体" w:hAnsi="宋体" w:eastAsia="宋体" w:cs="宋体"/>
        </w:rPr>
        <w:t>1、蓄电池出现漏液、变形、鼓包、破损等异常现象时应立即更换；</w:t>
      </w:r>
    </w:p>
    <w:p w14:paraId="403DEF61">
      <w:pPr>
        <w:spacing w:line="360" w:lineRule="auto"/>
        <w:ind w:firstLine="420" w:firstLineChars="200"/>
        <w:jc w:val="left"/>
        <w:rPr>
          <w:rFonts w:ascii="宋体" w:hAnsi="宋体" w:eastAsia="宋体" w:cs="宋体"/>
        </w:rPr>
      </w:pPr>
      <w:r>
        <w:rPr>
          <w:rFonts w:hint="eastAsia" w:ascii="宋体" w:hAnsi="宋体" w:eastAsia="宋体" w:cs="宋体"/>
        </w:rPr>
        <w:t>2、24V、48V直流配电柜以及后备蓄电池数量较少的设备，单节电池劣化对设备的影响明显。单节电池达到容量、内阻（电导）、电池电压劣化指标后，应立即对单节电池进行更新。整组电池出现劣化时，应立即对整组电池进行更换；</w:t>
      </w:r>
    </w:p>
    <w:p w14:paraId="4A2B8DB1">
      <w:pPr>
        <w:spacing w:line="360" w:lineRule="auto"/>
        <w:ind w:firstLine="420" w:firstLineChars="200"/>
        <w:jc w:val="left"/>
        <w:rPr>
          <w:rFonts w:ascii="宋体" w:hAnsi="宋体" w:eastAsia="宋体" w:cs="宋体"/>
        </w:rPr>
      </w:pPr>
      <w:r>
        <w:rPr>
          <w:rFonts w:hint="eastAsia" w:ascii="宋体" w:hAnsi="宋体" w:eastAsia="宋体" w:cs="宋体"/>
        </w:rPr>
        <w:t>3、蓄电池数量较多的UPS，出现单节电池达到容量或内阻（电导）更换指标，需对单节电池的状态进行持续关注，可根据实际情况考虑是否更换单节电池。放电测试中单节电池电压急剧下降时，需立即对单节电池进行更换；</w:t>
      </w:r>
    </w:p>
    <w:p w14:paraId="36ED2B97">
      <w:pPr>
        <w:spacing w:line="360" w:lineRule="auto"/>
        <w:ind w:firstLine="420" w:firstLineChars="200"/>
        <w:jc w:val="left"/>
        <w:rPr>
          <w:rFonts w:ascii="宋体" w:hAnsi="宋体" w:eastAsia="宋体" w:cs="宋体"/>
        </w:rPr>
      </w:pPr>
      <w:r>
        <w:rPr>
          <w:rFonts w:hint="eastAsia" w:ascii="宋体" w:hAnsi="宋体" w:eastAsia="宋体" w:cs="宋体"/>
        </w:rPr>
        <w:t>4、蓄电池数量较多的UPS，累计出现</w:t>
      </w:r>
      <w:r>
        <w:rPr>
          <w:rFonts w:hint="eastAsia" w:ascii="宋体" w:hAnsi="宋体" w:eastAsia="宋体" w:cs="宋体"/>
          <w:color w:val="FF0000"/>
          <w:highlight w:val="yellow"/>
        </w:rPr>
        <w:t>30%</w:t>
      </w:r>
      <w:r>
        <w:rPr>
          <w:rFonts w:hint="eastAsia" w:ascii="宋体" w:hAnsi="宋体" w:eastAsia="宋体" w:cs="宋体"/>
        </w:rPr>
        <w:t>以上的电池达到容量或内阻（电导）更换指标，可对整组电池进行更换；</w:t>
      </w:r>
    </w:p>
    <w:p w14:paraId="2B8183C3">
      <w:pPr>
        <w:spacing w:line="360" w:lineRule="auto"/>
        <w:ind w:firstLine="420" w:firstLineChars="200"/>
        <w:jc w:val="left"/>
        <w:rPr>
          <w:rFonts w:ascii="宋体" w:hAnsi="宋体" w:eastAsia="宋体" w:cs="宋体"/>
        </w:rPr>
      </w:pPr>
      <w:r>
        <w:rPr>
          <w:rFonts w:hint="eastAsia" w:ascii="宋体" w:hAnsi="宋体" w:eastAsia="宋体" w:cs="宋体"/>
        </w:rPr>
        <w:t>5、当UPS的负载增加，单机UPS电池无法满足15分钟后备时间时，可对UPS电池进行扩容或更换；</w:t>
      </w:r>
    </w:p>
    <w:p w14:paraId="7BFFFF85">
      <w:pPr>
        <w:spacing w:line="360" w:lineRule="auto"/>
        <w:ind w:firstLine="420" w:firstLineChars="200"/>
        <w:jc w:val="left"/>
        <w:rPr>
          <w:rFonts w:ascii="宋体" w:hAnsi="宋体" w:eastAsia="宋体" w:cs="宋体"/>
        </w:rPr>
      </w:pPr>
      <w:r>
        <w:rPr>
          <w:rFonts w:hint="eastAsia" w:ascii="宋体" w:hAnsi="宋体" w:eastAsia="宋体" w:cs="宋体"/>
        </w:rPr>
        <w:t>6、当直流配电柜的负载增加，直流配电柜电池无法满足2小时后备时间时，可对直流配电柜电池进行扩容或更换；</w:t>
      </w:r>
    </w:p>
    <w:p w14:paraId="5C27C0C6">
      <w:pPr>
        <w:spacing w:line="360" w:lineRule="auto"/>
        <w:ind w:firstLine="420" w:firstLineChars="200"/>
        <w:jc w:val="left"/>
        <w:rPr>
          <w:rFonts w:ascii="宋体" w:hAnsi="宋体" w:eastAsia="宋体" w:cs="宋体"/>
        </w:rPr>
      </w:pPr>
      <w:r>
        <w:rPr>
          <w:rFonts w:hint="eastAsia" w:ascii="宋体" w:hAnsi="宋体" w:eastAsia="宋体" w:cs="宋体"/>
        </w:rPr>
        <w:t>7、频繁使用的富液式柴油发电机组蓄电池，应及时添加补充电池液，当电池无法启动油机或内阻大于初始值的1.5倍时，应进行电池的更换；</w:t>
      </w:r>
    </w:p>
    <w:p w14:paraId="1A16734C">
      <w:pPr>
        <w:spacing w:line="360" w:lineRule="auto"/>
        <w:ind w:firstLine="420" w:firstLineChars="200"/>
        <w:jc w:val="left"/>
        <w:rPr>
          <w:rFonts w:ascii="宋体" w:hAnsi="宋体" w:eastAsia="宋体" w:cs="宋体"/>
        </w:rPr>
      </w:pPr>
      <w:r>
        <w:rPr>
          <w:rFonts w:hint="eastAsia" w:ascii="宋体" w:hAnsi="宋体" w:eastAsia="宋体" w:cs="宋体"/>
        </w:rPr>
        <w:t>8、其他需要整组更新电池的情况，需向上级业务主管部门申请，得到批准后方可实施。</w:t>
      </w:r>
    </w:p>
    <w:p w14:paraId="6E26E729">
      <w:pPr>
        <w:pStyle w:val="26"/>
      </w:pPr>
    </w:p>
    <w:bookmarkEnd w:id="68"/>
    <w:sectPr>
      <w:pgSz w:w="11906" w:h="16838"/>
      <w:pgMar w:top="1440" w:right="1080" w:bottom="1440" w:left="1080" w:header="227" w:footer="0" w:gutter="0"/>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仿宋_GB2312">
    <w:altName w:val="方正仿宋_GBK"/>
    <w:panose1 w:val="02010609030101010101"/>
    <w:charset w:val="86"/>
    <w:family w:val="modern"/>
    <w:pitch w:val="default"/>
    <w:sig w:usb0="00000000" w:usb1="0000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ArialMT">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方正仿宋_GBK">
    <w:panose1 w:val="02000000000000000000"/>
    <w:charset w:val="86"/>
    <w:family w:val="auto"/>
    <w:pitch w:val="default"/>
    <w:sig w:usb0="A00002BF" w:usb1="38CF7CFA" w:usb2="00082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5917C3"/>
    <w:multiLevelType w:val="multilevel"/>
    <w:tmpl w:val="2C5917C3"/>
    <w:lvl w:ilvl="0" w:tentative="0">
      <w:start w:val="1"/>
      <w:numFmt w:val="none"/>
      <w:suff w:val="nothing"/>
      <w:lvlText w:val="%1——"/>
      <w:lvlJc w:val="left"/>
      <w:pPr>
        <w:ind w:left="833" w:hanging="408"/>
      </w:pPr>
      <w:rPr>
        <w:rFonts w:hint="eastAsia"/>
      </w:rPr>
    </w:lvl>
    <w:lvl w:ilvl="1" w:tentative="0">
      <w:start w:val="1"/>
      <w:numFmt w:val="bullet"/>
      <w:pStyle w:val="43"/>
      <w:lvlText w:val=""/>
      <w:lvlJc w:val="left"/>
      <w:pPr>
        <w:tabs>
          <w:tab w:val="left" w:pos="760"/>
        </w:tabs>
        <w:ind w:left="1264" w:hanging="413"/>
      </w:pPr>
      <w:rPr>
        <w:rFonts w:hint="default" w:ascii="Symbol" w:hAnsi="Symbol"/>
        <w:color w:val="auto"/>
      </w:rPr>
    </w:lvl>
    <w:lvl w:ilvl="2" w:tentative="0">
      <w:start w:val="1"/>
      <w:numFmt w:val="bullet"/>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
    <w:nsid w:val="494E0214"/>
    <w:multiLevelType w:val="multilevel"/>
    <w:tmpl w:val="494E0214"/>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57D3FBC"/>
    <w:multiLevelType w:val="multilevel"/>
    <w:tmpl w:val="657D3FBC"/>
    <w:lvl w:ilvl="0" w:tentative="0">
      <w:start w:val="1"/>
      <w:numFmt w:val="upperLetter"/>
      <w:suff w:val="nothing"/>
      <w:lvlText w:val="附　录　%1"/>
      <w:lvlJc w:val="left"/>
      <w:rPr>
        <w:rFonts w:hint="eastAsia" w:ascii="黑体" w:hAnsi="Times New Roman" w:eastAsia="黑体"/>
        <w:b w:val="0"/>
        <w:bCs w:val="0"/>
        <w:i w:val="0"/>
        <w:iCs w:val="0"/>
        <w:sz w:val="21"/>
        <w:szCs w:val="21"/>
      </w:rPr>
    </w:lvl>
    <w:lvl w:ilvl="1" w:tentative="0">
      <w:start w:val="1"/>
      <w:numFmt w:val="decimal"/>
      <w:pStyle w:val="27"/>
      <w:suff w:val="nothing"/>
      <w:lvlText w:val="%1.%2　"/>
      <w:lvlJc w:val="left"/>
      <w:rPr>
        <w:rFonts w:hint="eastAsia" w:ascii="黑体" w:hAnsi="Times New Roman" w:eastAsia="黑体"/>
        <w:b w:val="0"/>
        <w:bCs w:val="0"/>
        <w:i w:val="0"/>
        <w:iCs w:val="0"/>
        <w:snapToGrid/>
        <w:spacing w:val="0"/>
        <w:w w:val="100"/>
        <w:kern w:val="21"/>
        <w:sz w:val="21"/>
        <w:szCs w:val="21"/>
      </w:rPr>
    </w:lvl>
    <w:lvl w:ilvl="2" w:tentative="0">
      <w:start w:val="1"/>
      <w:numFmt w:val="decimal"/>
      <w:pStyle w:val="42"/>
      <w:suff w:val="nothing"/>
      <w:lvlText w:val="%1.%2.%3　"/>
      <w:lvlJc w:val="left"/>
      <w:rPr>
        <w:rFonts w:hint="eastAsia" w:ascii="黑体" w:hAnsi="Times New Roman" w:eastAsia="黑体"/>
        <w:b w:val="0"/>
        <w:bCs w:val="0"/>
        <w:i w:val="0"/>
        <w:iCs w:val="0"/>
        <w:sz w:val="21"/>
        <w:szCs w:val="21"/>
      </w:rPr>
    </w:lvl>
    <w:lvl w:ilvl="3" w:tentative="0">
      <w:start w:val="1"/>
      <w:numFmt w:val="decimal"/>
      <w:pStyle w:val="31"/>
      <w:suff w:val="nothing"/>
      <w:lvlText w:val="%1.%2.%3.%4　"/>
      <w:lvlJc w:val="left"/>
      <w:rPr>
        <w:rFonts w:hint="eastAsia" w:ascii="黑体" w:hAnsi="Times New Roman" w:eastAsia="黑体"/>
        <w:b w:val="0"/>
        <w:bCs w:val="0"/>
        <w:i w:val="0"/>
        <w:iCs w:val="0"/>
        <w:sz w:val="21"/>
        <w:szCs w:val="21"/>
      </w:rPr>
    </w:lvl>
    <w:lvl w:ilvl="4" w:tentative="0">
      <w:start w:val="1"/>
      <w:numFmt w:val="decimal"/>
      <w:suff w:val="nothing"/>
      <w:lvlText w:val="%1.%2.%3.%4.%5　"/>
      <w:lvlJc w:val="left"/>
      <w:rPr>
        <w:rFonts w:hint="eastAsia" w:ascii="黑体" w:hAnsi="Times New Roman" w:eastAsia="黑体"/>
        <w:b w:val="0"/>
        <w:bCs w:val="0"/>
        <w:i w:val="0"/>
        <w:iCs w:val="0"/>
        <w:sz w:val="21"/>
        <w:szCs w:val="21"/>
      </w:rPr>
    </w:lvl>
    <w:lvl w:ilvl="5" w:tentative="0">
      <w:start w:val="1"/>
      <w:numFmt w:val="decimal"/>
      <w:suff w:val="nothing"/>
      <w:lvlText w:val="%1.%2.%3.%4.%5.%6　"/>
      <w:lvlJc w:val="left"/>
      <w:rPr>
        <w:rFonts w:hint="eastAsia" w:ascii="黑体" w:hAnsi="Times New Roman" w:eastAsia="黑体"/>
        <w:b w:val="0"/>
        <w:bCs w:val="0"/>
        <w:i w:val="0"/>
        <w:iCs w:val="0"/>
        <w:sz w:val="21"/>
        <w:szCs w:val="21"/>
      </w:rPr>
    </w:lvl>
    <w:lvl w:ilvl="6" w:tentative="0">
      <w:start w:val="1"/>
      <w:numFmt w:val="decimal"/>
      <w:suff w:val="nothing"/>
      <w:lvlText w:val="%1.%2.%3.%4.%5.%6.%7　"/>
      <w:lvlJc w:val="left"/>
      <w:rPr>
        <w:rFonts w:hint="eastAsia" w:ascii="黑体" w:hAnsi="Times New Roman" w:eastAsia="黑体"/>
        <w:b w:val="0"/>
        <w:bCs w:val="0"/>
        <w:i w:val="0"/>
        <w:iCs w:val="0"/>
        <w:sz w:val="21"/>
        <w:szCs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
    <w:nsid w:val="6AB5639F"/>
    <w:multiLevelType w:val="multilevel"/>
    <w:tmpl w:val="6AB5639F"/>
    <w:lvl w:ilvl="0" w:tentative="0">
      <w:start w:val="1"/>
      <w:numFmt w:val="decimal"/>
      <w:pStyle w:val="35"/>
      <w:lvlText w:val="%1."/>
      <w:lvlJc w:val="left"/>
      <w:pPr>
        <w:ind w:left="425" w:hanging="425"/>
      </w:pPr>
    </w:lvl>
    <w:lvl w:ilvl="1" w:tentative="0">
      <w:start w:val="1"/>
      <w:numFmt w:val="decimal"/>
      <w:pStyle w:val="30"/>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
    <w:nsid w:val="6CEA2025"/>
    <w:multiLevelType w:val="multilevel"/>
    <w:tmpl w:val="6CEA2025"/>
    <w:lvl w:ilvl="0" w:tentative="0">
      <w:start w:val="1"/>
      <w:numFmt w:val="none"/>
      <w:suff w:val="nothing"/>
      <w:lvlText w:val="%1"/>
      <w:lvlJc w:val="left"/>
      <w:rPr>
        <w:rFonts w:hint="default" w:ascii="Times New Roman" w:hAnsi="Times New Roman" w:cs="Times New Roman"/>
        <w:b/>
        <w:bCs/>
        <w:i w:val="0"/>
        <w:iCs w:val="0"/>
        <w:sz w:val="21"/>
        <w:szCs w:val="21"/>
      </w:rPr>
    </w:lvl>
    <w:lvl w:ilvl="1" w:tentative="0">
      <w:start w:val="1"/>
      <w:numFmt w:val="decimal"/>
      <w:suff w:val="nothing"/>
      <w:lvlText w:val="%1%2　"/>
      <w:lvlJc w:val="left"/>
      <w:rPr>
        <w:rFonts w:hint="eastAsia" w:ascii="黑体" w:hAnsi="Times New Roman" w:eastAsia="黑体"/>
        <w:b w:val="0"/>
        <w:bCs w:val="0"/>
        <w:i w:val="0"/>
        <w:iCs w:val="0"/>
        <w:sz w:val="21"/>
        <w:szCs w:val="21"/>
      </w:rPr>
    </w:lvl>
    <w:lvl w:ilvl="2" w:tentative="0">
      <w:start w:val="1"/>
      <w:numFmt w:val="decimal"/>
      <w:suff w:val="nothing"/>
      <w:lvlText w:val="%1%2.%3　"/>
      <w:lvlJc w:val="left"/>
      <w:rPr>
        <w:rFonts w:hint="eastAsia" w:ascii="黑体" w:hAnsi="Times New Roman" w:eastAsia="黑体"/>
        <w:b w:val="0"/>
        <w:bCs w:val="0"/>
        <w:i w:val="0"/>
        <w:iCs w:val="0"/>
        <w:sz w:val="21"/>
        <w:szCs w:val="21"/>
      </w:rPr>
    </w:lvl>
    <w:lvl w:ilvl="3" w:tentative="0">
      <w:start w:val="1"/>
      <w:numFmt w:val="decimal"/>
      <w:pStyle w:val="29"/>
      <w:suff w:val="nothing"/>
      <w:lvlText w:val="%1%2.%3.%4　"/>
      <w:lvlJc w:val="left"/>
      <w:rPr>
        <w:rFonts w:hint="eastAsia" w:ascii="黑体" w:hAnsi="Times New Roman" w:eastAsia="黑体"/>
        <w:b w:val="0"/>
        <w:bCs w:val="0"/>
        <w:i w:val="0"/>
        <w:iCs w:val="0"/>
        <w:sz w:val="21"/>
        <w:szCs w:val="21"/>
      </w:rPr>
    </w:lvl>
    <w:lvl w:ilvl="4" w:tentative="0">
      <w:start w:val="1"/>
      <w:numFmt w:val="decimal"/>
      <w:pStyle w:val="34"/>
      <w:suff w:val="nothing"/>
      <w:lvlText w:val="%1%2.%3.%4.%5　"/>
      <w:lvlJc w:val="left"/>
      <w:rPr>
        <w:rFonts w:hint="eastAsia" w:ascii="黑体" w:hAnsi="Times New Roman" w:eastAsia="黑体"/>
        <w:b w:val="0"/>
        <w:bCs w:val="0"/>
        <w:i w:val="0"/>
        <w:iCs w:val="0"/>
        <w:sz w:val="21"/>
        <w:szCs w:val="21"/>
      </w:rPr>
    </w:lvl>
    <w:lvl w:ilvl="5" w:tentative="0">
      <w:start w:val="1"/>
      <w:numFmt w:val="decimal"/>
      <w:suff w:val="nothing"/>
      <w:lvlText w:val="%1%2.%3.%4.%5.%6　"/>
      <w:lvlJc w:val="left"/>
      <w:rPr>
        <w:rFonts w:hint="eastAsia" w:ascii="黑体" w:hAnsi="Times New Roman" w:eastAsia="黑体"/>
        <w:b w:val="0"/>
        <w:bCs w:val="0"/>
        <w:i w:val="0"/>
        <w:iCs w:val="0"/>
        <w:sz w:val="21"/>
        <w:szCs w:val="21"/>
      </w:rPr>
    </w:lvl>
    <w:lvl w:ilvl="6" w:tentative="0">
      <w:start w:val="1"/>
      <w:numFmt w:val="decimal"/>
      <w:suff w:val="nothing"/>
      <w:lvlText w:val="%1%2.%3.%4.%5.%6.%7　"/>
      <w:lvlJc w:val="left"/>
      <w:rPr>
        <w:rFonts w:hint="eastAsia" w:ascii="黑体" w:hAnsi="Times New Roman" w:eastAsia="黑体"/>
        <w:b w:val="0"/>
        <w:bCs w:val="0"/>
        <w:i w:val="0"/>
        <w:iCs w:val="0"/>
        <w:sz w:val="21"/>
        <w:szCs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oNotHyphenateCaps/>
  <w:drawingGridHorizontalSpacing w:val="105"/>
  <w:drawingGridVerticalSpacing w:val="156"/>
  <w:displayHorizontalDrawingGridEvery w:val="2"/>
  <w:displayVerticalDrawingGridEvery w:val="2"/>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liYWU0MGQ2YjRmZDk5ZmQ1YTdkZjY3YTkyMzMxZmQifQ=="/>
  </w:docVars>
  <w:rsids>
    <w:rsidRoot w:val="007358F3"/>
    <w:rsid w:val="00000505"/>
    <w:rsid w:val="00001821"/>
    <w:rsid w:val="0000538F"/>
    <w:rsid w:val="00005AF9"/>
    <w:rsid w:val="00005E91"/>
    <w:rsid w:val="00007647"/>
    <w:rsid w:val="000102F9"/>
    <w:rsid w:val="00011D12"/>
    <w:rsid w:val="00013C19"/>
    <w:rsid w:val="0002267A"/>
    <w:rsid w:val="000260A7"/>
    <w:rsid w:val="000311BF"/>
    <w:rsid w:val="00031396"/>
    <w:rsid w:val="00031859"/>
    <w:rsid w:val="00031E29"/>
    <w:rsid w:val="00033283"/>
    <w:rsid w:val="00033863"/>
    <w:rsid w:val="00034EC7"/>
    <w:rsid w:val="00044811"/>
    <w:rsid w:val="00045130"/>
    <w:rsid w:val="0004517E"/>
    <w:rsid w:val="000465A2"/>
    <w:rsid w:val="00051308"/>
    <w:rsid w:val="000604A8"/>
    <w:rsid w:val="0006099A"/>
    <w:rsid w:val="0006220C"/>
    <w:rsid w:val="00063211"/>
    <w:rsid w:val="0006424A"/>
    <w:rsid w:val="00065DE3"/>
    <w:rsid w:val="00066128"/>
    <w:rsid w:val="00073312"/>
    <w:rsid w:val="00074D67"/>
    <w:rsid w:val="0007656E"/>
    <w:rsid w:val="00077040"/>
    <w:rsid w:val="00083C8F"/>
    <w:rsid w:val="000851A6"/>
    <w:rsid w:val="00090179"/>
    <w:rsid w:val="00091761"/>
    <w:rsid w:val="00092731"/>
    <w:rsid w:val="00093224"/>
    <w:rsid w:val="00093412"/>
    <w:rsid w:val="00093DF3"/>
    <w:rsid w:val="0009528A"/>
    <w:rsid w:val="00096778"/>
    <w:rsid w:val="00096AB3"/>
    <w:rsid w:val="000A2185"/>
    <w:rsid w:val="000A3361"/>
    <w:rsid w:val="000A42C5"/>
    <w:rsid w:val="000B1234"/>
    <w:rsid w:val="000B16E1"/>
    <w:rsid w:val="000B24B0"/>
    <w:rsid w:val="000B3F31"/>
    <w:rsid w:val="000B67C6"/>
    <w:rsid w:val="000B784F"/>
    <w:rsid w:val="000B7EC4"/>
    <w:rsid w:val="000B7F41"/>
    <w:rsid w:val="000C14B2"/>
    <w:rsid w:val="000C33B7"/>
    <w:rsid w:val="000C5A37"/>
    <w:rsid w:val="000C5AA0"/>
    <w:rsid w:val="000C5FFA"/>
    <w:rsid w:val="000C76CB"/>
    <w:rsid w:val="000C7C3B"/>
    <w:rsid w:val="000D2F61"/>
    <w:rsid w:val="000D451F"/>
    <w:rsid w:val="000D46B1"/>
    <w:rsid w:val="000E7C4E"/>
    <w:rsid w:val="000F4F54"/>
    <w:rsid w:val="00100CB3"/>
    <w:rsid w:val="00100D1E"/>
    <w:rsid w:val="00103BF3"/>
    <w:rsid w:val="0010422C"/>
    <w:rsid w:val="00104454"/>
    <w:rsid w:val="001052E4"/>
    <w:rsid w:val="00107807"/>
    <w:rsid w:val="00114EA0"/>
    <w:rsid w:val="00116124"/>
    <w:rsid w:val="001176BE"/>
    <w:rsid w:val="00120606"/>
    <w:rsid w:val="001218DD"/>
    <w:rsid w:val="00122FD3"/>
    <w:rsid w:val="0013084E"/>
    <w:rsid w:val="0013386A"/>
    <w:rsid w:val="00144CA8"/>
    <w:rsid w:val="00155D19"/>
    <w:rsid w:val="00156B2D"/>
    <w:rsid w:val="0016173F"/>
    <w:rsid w:val="00165E4C"/>
    <w:rsid w:val="00166FB6"/>
    <w:rsid w:val="0017257C"/>
    <w:rsid w:val="00172C1C"/>
    <w:rsid w:val="00173460"/>
    <w:rsid w:val="001745F6"/>
    <w:rsid w:val="00174B3D"/>
    <w:rsid w:val="00176400"/>
    <w:rsid w:val="0017652F"/>
    <w:rsid w:val="00182477"/>
    <w:rsid w:val="0018341E"/>
    <w:rsid w:val="00186103"/>
    <w:rsid w:val="00186FFA"/>
    <w:rsid w:val="0019077D"/>
    <w:rsid w:val="001913BB"/>
    <w:rsid w:val="00191525"/>
    <w:rsid w:val="00194607"/>
    <w:rsid w:val="00194B7B"/>
    <w:rsid w:val="001A106A"/>
    <w:rsid w:val="001A4D0E"/>
    <w:rsid w:val="001A6545"/>
    <w:rsid w:val="001A7C3E"/>
    <w:rsid w:val="001B3322"/>
    <w:rsid w:val="001B4F24"/>
    <w:rsid w:val="001B7D76"/>
    <w:rsid w:val="001C020E"/>
    <w:rsid w:val="001C04B1"/>
    <w:rsid w:val="001D1628"/>
    <w:rsid w:val="001D7B3E"/>
    <w:rsid w:val="001E105A"/>
    <w:rsid w:val="001E16B0"/>
    <w:rsid w:val="001F03A0"/>
    <w:rsid w:val="001F14F5"/>
    <w:rsid w:val="001F59AC"/>
    <w:rsid w:val="001F6263"/>
    <w:rsid w:val="001F76B4"/>
    <w:rsid w:val="00200A3F"/>
    <w:rsid w:val="00202D8E"/>
    <w:rsid w:val="002034CD"/>
    <w:rsid w:val="0020462E"/>
    <w:rsid w:val="00205C23"/>
    <w:rsid w:val="002070E8"/>
    <w:rsid w:val="00211E17"/>
    <w:rsid w:val="00212D63"/>
    <w:rsid w:val="00214CDD"/>
    <w:rsid w:val="002178AC"/>
    <w:rsid w:val="00217A24"/>
    <w:rsid w:val="0022059E"/>
    <w:rsid w:val="002206AA"/>
    <w:rsid w:val="00221E96"/>
    <w:rsid w:val="00231F59"/>
    <w:rsid w:val="00235D35"/>
    <w:rsid w:val="00242390"/>
    <w:rsid w:val="0024647D"/>
    <w:rsid w:val="00250164"/>
    <w:rsid w:val="00251C91"/>
    <w:rsid w:val="0025206B"/>
    <w:rsid w:val="002533FF"/>
    <w:rsid w:val="002543E5"/>
    <w:rsid w:val="00254BDC"/>
    <w:rsid w:val="00255489"/>
    <w:rsid w:val="00256BD9"/>
    <w:rsid w:val="0026221E"/>
    <w:rsid w:val="0026332E"/>
    <w:rsid w:val="0026475B"/>
    <w:rsid w:val="00270179"/>
    <w:rsid w:val="0027126E"/>
    <w:rsid w:val="00273C55"/>
    <w:rsid w:val="002753CC"/>
    <w:rsid w:val="00276AFF"/>
    <w:rsid w:val="002809DA"/>
    <w:rsid w:val="00281CD8"/>
    <w:rsid w:val="002854C1"/>
    <w:rsid w:val="002868A1"/>
    <w:rsid w:val="00287B58"/>
    <w:rsid w:val="00292350"/>
    <w:rsid w:val="002A404A"/>
    <w:rsid w:val="002A44B0"/>
    <w:rsid w:val="002B0B1E"/>
    <w:rsid w:val="002B1B63"/>
    <w:rsid w:val="002B3AD3"/>
    <w:rsid w:val="002B3B6A"/>
    <w:rsid w:val="002B69B2"/>
    <w:rsid w:val="002C0133"/>
    <w:rsid w:val="002C05D4"/>
    <w:rsid w:val="002C06FE"/>
    <w:rsid w:val="002C4ED6"/>
    <w:rsid w:val="002C5B34"/>
    <w:rsid w:val="002C64E0"/>
    <w:rsid w:val="002D42D6"/>
    <w:rsid w:val="002D45B9"/>
    <w:rsid w:val="002D48F0"/>
    <w:rsid w:val="002D4ABA"/>
    <w:rsid w:val="002E00FC"/>
    <w:rsid w:val="002E2337"/>
    <w:rsid w:val="002E460B"/>
    <w:rsid w:val="002E5067"/>
    <w:rsid w:val="002F0526"/>
    <w:rsid w:val="002F2152"/>
    <w:rsid w:val="0030032D"/>
    <w:rsid w:val="003013BD"/>
    <w:rsid w:val="00301663"/>
    <w:rsid w:val="0030338B"/>
    <w:rsid w:val="00306DDC"/>
    <w:rsid w:val="00311F74"/>
    <w:rsid w:val="00312788"/>
    <w:rsid w:val="00317A27"/>
    <w:rsid w:val="00317E56"/>
    <w:rsid w:val="00321711"/>
    <w:rsid w:val="00326467"/>
    <w:rsid w:val="00327EF5"/>
    <w:rsid w:val="0033046E"/>
    <w:rsid w:val="003332E6"/>
    <w:rsid w:val="0033627D"/>
    <w:rsid w:val="00342919"/>
    <w:rsid w:val="003451FC"/>
    <w:rsid w:val="00346B0B"/>
    <w:rsid w:val="003526F0"/>
    <w:rsid w:val="00354FFE"/>
    <w:rsid w:val="003563E6"/>
    <w:rsid w:val="00362925"/>
    <w:rsid w:val="003646E1"/>
    <w:rsid w:val="003662C6"/>
    <w:rsid w:val="003662F4"/>
    <w:rsid w:val="00372B23"/>
    <w:rsid w:val="00373062"/>
    <w:rsid w:val="00373C41"/>
    <w:rsid w:val="00376BC4"/>
    <w:rsid w:val="003812B7"/>
    <w:rsid w:val="00384430"/>
    <w:rsid w:val="00384F37"/>
    <w:rsid w:val="00387C0F"/>
    <w:rsid w:val="00391187"/>
    <w:rsid w:val="003A1F5A"/>
    <w:rsid w:val="003A4A87"/>
    <w:rsid w:val="003B153E"/>
    <w:rsid w:val="003B43FE"/>
    <w:rsid w:val="003B62C1"/>
    <w:rsid w:val="003B6F92"/>
    <w:rsid w:val="003B770D"/>
    <w:rsid w:val="003C3E23"/>
    <w:rsid w:val="003C4C04"/>
    <w:rsid w:val="003D5225"/>
    <w:rsid w:val="003D5D98"/>
    <w:rsid w:val="003E17DE"/>
    <w:rsid w:val="003E4791"/>
    <w:rsid w:val="003E5248"/>
    <w:rsid w:val="003F6FAC"/>
    <w:rsid w:val="003F7040"/>
    <w:rsid w:val="004016A4"/>
    <w:rsid w:val="0040276B"/>
    <w:rsid w:val="0040468A"/>
    <w:rsid w:val="004049B0"/>
    <w:rsid w:val="00411E5E"/>
    <w:rsid w:val="00412C75"/>
    <w:rsid w:val="00414DF2"/>
    <w:rsid w:val="00415777"/>
    <w:rsid w:val="00420127"/>
    <w:rsid w:val="004208E2"/>
    <w:rsid w:val="00421344"/>
    <w:rsid w:val="00422666"/>
    <w:rsid w:val="00422783"/>
    <w:rsid w:val="00423639"/>
    <w:rsid w:val="004248E4"/>
    <w:rsid w:val="00427A60"/>
    <w:rsid w:val="00431176"/>
    <w:rsid w:val="004339CE"/>
    <w:rsid w:val="004365DB"/>
    <w:rsid w:val="00440782"/>
    <w:rsid w:val="00442CB4"/>
    <w:rsid w:val="00443361"/>
    <w:rsid w:val="0044409C"/>
    <w:rsid w:val="00450290"/>
    <w:rsid w:val="004518B7"/>
    <w:rsid w:val="00456207"/>
    <w:rsid w:val="004633F7"/>
    <w:rsid w:val="00464B55"/>
    <w:rsid w:val="004656A3"/>
    <w:rsid w:val="00465E8B"/>
    <w:rsid w:val="004709A4"/>
    <w:rsid w:val="00475BB5"/>
    <w:rsid w:val="00480AA9"/>
    <w:rsid w:val="0048123E"/>
    <w:rsid w:val="00481D98"/>
    <w:rsid w:val="00493FF5"/>
    <w:rsid w:val="00496003"/>
    <w:rsid w:val="0049677D"/>
    <w:rsid w:val="004A0B5D"/>
    <w:rsid w:val="004A155E"/>
    <w:rsid w:val="004A3BCB"/>
    <w:rsid w:val="004A3E51"/>
    <w:rsid w:val="004A46F0"/>
    <w:rsid w:val="004A7599"/>
    <w:rsid w:val="004B3080"/>
    <w:rsid w:val="004B528C"/>
    <w:rsid w:val="004B5472"/>
    <w:rsid w:val="004B5728"/>
    <w:rsid w:val="004B6CF7"/>
    <w:rsid w:val="004C14D7"/>
    <w:rsid w:val="004C193D"/>
    <w:rsid w:val="004C1D5D"/>
    <w:rsid w:val="004C2789"/>
    <w:rsid w:val="004C33C4"/>
    <w:rsid w:val="004C365C"/>
    <w:rsid w:val="004D2FE1"/>
    <w:rsid w:val="004D3078"/>
    <w:rsid w:val="004D3425"/>
    <w:rsid w:val="004E448D"/>
    <w:rsid w:val="004E799D"/>
    <w:rsid w:val="004F0334"/>
    <w:rsid w:val="004F150D"/>
    <w:rsid w:val="004F2F5A"/>
    <w:rsid w:val="004F32A5"/>
    <w:rsid w:val="004F4F43"/>
    <w:rsid w:val="004F5567"/>
    <w:rsid w:val="004F7DD8"/>
    <w:rsid w:val="00502222"/>
    <w:rsid w:val="00504F61"/>
    <w:rsid w:val="00507614"/>
    <w:rsid w:val="00510BD4"/>
    <w:rsid w:val="00511431"/>
    <w:rsid w:val="005143FD"/>
    <w:rsid w:val="005153CD"/>
    <w:rsid w:val="00520A09"/>
    <w:rsid w:val="005255E1"/>
    <w:rsid w:val="00526457"/>
    <w:rsid w:val="005268B4"/>
    <w:rsid w:val="0052735E"/>
    <w:rsid w:val="005376C2"/>
    <w:rsid w:val="005376CC"/>
    <w:rsid w:val="00537891"/>
    <w:rsid w:val="00542931"/>
    <w:rsid w:val="00544101"/>
    <w:rsid w:val="00547D6D"/>
    <w:rsid w:val="0055255C"/>
    <w:rsid w:val="00553533"/>
    <w:rsid w:val="005547EA"/>
    <w:rsid w:val="0056785C"/>
    <w:rsid w:val="00571F88"/>
    <w:rsid w:val="00581090"/>
    <w:rsid w:val="005817AF"/>
    <w:rsid w:val="00582142"/>
    <w:rsid w:val="005827FB"/>
    <w:rsid w:val="00582AB0"/>
    <w:rsid w:val="0058498C"/>
    <w:rsid w:val="005862C6"/>
    <w:rsid w:val="005914DF"/>
    <w:rsid w:val="00592891"/>
    <w:rsid w:val="005952A0"/>
    <w:rsid w:val="00596668"/>
    <w:rsid w:val="00597D07"/>
    <w:rsid w:val="005A13BB"/>
    <w:rsid w:val="005A1A11"/>
    <w:rsid w:val="005A6A46"/>
    <w:rsid w:val="005A7030"/>
    <w:rsid w:val="005A7677"/>
    <w:rsid w:val="005B04BA"/>
    <w:rsid w:val="005B0D51"/>
    <w:rsid w:val="005B36B1"/>
    <w:rsid w:val="005B69BF"/>
    <w:rsid w:val="005C1E67"/>
    <w:rsid w:val="005C4EE8"/>
    <w:rsid w:val="005C74F9"/>
    <w:rsid w:val="005D10F4"/>
    <w:rsid w:val="005D2D17"/>
    <w:rsid w:val="005D734C"/>
    <w:rsid w:val="005D7994"/>
    <w:rsid w:val="005E084A"/>
    <w:rsid w:val="005E0D73"/>
    <w:rsid w:val="005F03BB"/>
    <w:rsid w:val="005F126D"/>
    <w:rsid w:val="005F17D7"/>
    <w:rsid w:val="005F4E8C"/>
    <w:rsid w:val="005F583E"/>
    <w:rsid w:val="005F6A73"/>
    <w:rsid w:val="00600564"/>
    <w:rsid w:val="00601390"/>
    <w:rsid w:val="00601B4E"/>
    <w:rsid w:val="00605ACA"/>
    <w:rsid w:val="006075AB"/>
    <w:rsid w:val="006079B3"/>
    <w:rsid w:val="00612E33"/>
    <w:rsid w:val="0061545D"/>
    <w:rsid w:val="006160F3"/>
    <w:rsid w:val="00617627"/>
    <w:rsid w:val="00622BD6"/>
    <w:rsid w:val="006252D5"/>
    <w:rsid w:val="00627A79"/>
    <w:rsid w:val="00627F88"/>
    <w:rsid w:val="006300A2"/>
    <w:rsid w:val="00630AF0"/>
    <w:rsid w:val="00635FE9"/>
    <w:rsid w:val="0063795D"/>
    <w:rsid w:val="0064107F"/>
    <w:rsid w:val="0064468A"/>
    <w:rsid w:val="00647724"/>
    <w:rsid w:val="00647F5F"/>
    <w:rsid w:val="0065571B"/>
    <w:rsid w:val="00662DB8"/>
    <w:rsid w:val="00665F55"/>
    <w:rsid w:val="00666E34"/>
    <w:rsid w:val="0067146C"/>
    <w:rsid w:val="006724DB"/>
    <w:rsid w:val="00674638"/>
    <w:rsid w:val="00674735"/>
    <w:rsid w:val="00675815"/>
    <w:rsid w:val="006800F2"/>
    <w:rsid w:val="00680280"/>
    <w:rsid w:val="006965F3"/>
    <w:rsid w:val="006A2099"/>
    <w:rsid w:val="006A2BCB"/>
    <w:rsid w:val="006A4248"/>
    <w:rsid w:val="006A4C4F"/>
    <w:rsid w:val="006A5184"/>
    <w:rsid w:val="006A5363"/>
    <w:rsid w:val="006B183B"/>
    <w:rsid w:val="006B30E7"/>
    <w:rsid w:val="006B385D"/>
    <w:rsid w:val="006B42BB"/>
    <w:rsid w:val="006C0A57"/>
    <w:rsid w:val="006C11B0"/>
    <w:rsid w:val="006D3D54"/>
    <w:rsid w:val="006E3046"/>
    <w:rsid w:val="006E316C"/>
    <w:rsid w:val="006F309E"/>
    <w:rsid w:val="006F538A"/>
    <w:rsid w:val="006F62A3"/>
    <w:rsid w:val="006F6D75"/>
    <w:rsid w:val="006F7E5D"/>
    <w:rsid w:val="00702A90"/>
    <w:rsid w:val="00703B33"/>
    <w:rsid w:val="0070463A"/>
    <w:rsid w:val="007077D5"/>
    <w:rsid w:val="00711978"/>
    <w:rsid w:val="00711CA7"/>
    <w:rsid w:val="00715F4A"/>
    <w:rsid w:val="00717F46"/>
    <w:rsid w:val="00723F13"/>
    <w:rsid w:val="0072407C"/>
    <w:rsid w:val="00726E2F"/>
    <w:rsid w:val="007304E0"/>
    <w:rsid w:val="0073461A"/>
    <w:rsid w:val="007358F3"/>
    <w:rsid w:val="00736487"/>
    <w:rsid w:val="00737782"/>
    <w:rsid w:val="00741898"/>
    <w:rsid w:val="0074235F"/>
    <w:rsid w:val="00745D15"/>
    <w:rsid w:val="007476F2"/>
    <w:rsid w:val="00750759"/>
    <w:rsid w:val="00752DF3"/>
    <w:rsid w:val="00753D7D"/>
    <w:rsid w:val="00756A87"/>
    <w:rsid w:val="00765F04"/>
    <w:rsid w:val="00767034"/>
    <w:rsid w:val="00774640"/>
    <w:rsid w:val="007771E8"/>
    <w:rsid w:val="00781A43"/>
    <w:rsid w:val="00790DC1"/>
    <w:rsid w:val="00792423"/>
    <w:rsid w:val="00795566"/>
    <w:rsid w:val="007A07C1"/>
    <w:rsid w:val="007A0C3F"/>
    <w:rsid w:val="007A484F"/>
    <w:rsid w:val="007A4DBB"/>
    <w:rsid w:val="007B04AB"/>
    <w:rsid w:val="007B61EB"/>
    <w:rsid w:val="007B686E"/>
    <w:rsid w:val="007B6ADC"/>
    <w:rsid w:val="007B7335"/>
    <w:rsid w:val="007C0676"/>
    <w:rsid w:val="007C36CB"/>
    <w:rsid w:val="007C37BF"/>
    <w:rsid w:val="007C4F15"/>
    <w:rsid w:val="007C766D"/>
    <w:rsid w:val="007D02FF"/>
    <w:rsid w:val="007D34ED"/>
    <w:rsid w:val="007D4392"/>
    <w:rsid w:val="007D46A6"/>
    <w:rsid w:val="007D4EB4"/>
    <w:rsid w:val="007D500F"/>
    <w:rsid w:val="007D7AC8"/>
    <w:rsid w:val="007D7FA6"/>
    <w:rsid w:val="007E2096"/>
    <w:rsid w:val="007E5425"/>
    <w:rsid w:val="007E5CD6"/>
    <w:rsid w:val="007E5E63"/>
    <w:rsid w:val="007F0297"/>
    <w:rsid w:val="007F09BA"/>
    <w:rsid w:val="007F3561"/>
    <w:rsid w:val="00805B25"/>
    <w:rsid w:val="0081203C"/>
    <w:rsid w:val="00812D12"/>
    <w:rsid w:val="00825037"/>
    <w:rsid w:val="00825865"/>
    <w:rsid w:val="00830AF0"/>
    <w:rsid w:val="00835507"/>
    <w:rsid w:val="008436F7"/>
    <w:rsid w:val="00846B7B"/>
    <w:rsid w:val="00847FD1"/>
    <w:rsid w:val="0085134F"/>
    <w:rsid w:val="008561F3"/>
    <w:rsid w:val="00856751"/>
    <w:rsid w:val="00863975"/>
    <w:rsid w:val="0086411A"/>
    <w:rsid w:val="008659B8"/>
    <w:rsid w:val="00867028"/>
    <w:rsid w:val="00870ED7"/>
    <w:rsid w:val="00873372"/>
    <w:rsid w:val="0088267F"/>
    <w:rsid w:val="00887C44"/>
    <w:rsid w:val="008910A3"/>
    <w:rsid w:val="00896077"/>
    <w:rsid w:val="00896220"/>
    <w:rsid w:val="008A073A"/>
    <w:rsid w:val="008A339C"/>
    <w:rsid w:val="008A371A"/>
    <w:rsid w:val="008A50A6"/>
    <w:rsid w:val="008B157A"/>
    <w:rsid w:val="008B2A73"/>
    <w:rsid w:val="008B37B9"/>
    <w:rsid w:val="008B65A4"/>
    <w:rsid w:val="008B684C"/>
    <w:rsid w:val="008C39A8"/>
    <w:rsid w:val="008C54F6"/>
    <w:rsid w:val="008D17E5"/>
    <w:rsid w:val="008D723D"/>
    <w:rsid w:val="008D7E75"/>
    <w:rsid w:val="008F180E"/>
    <w:rsid w:val="008F4560"/>
    <w:rsid w:val="00903B07"/>
    <w:rsid w:val="00910D1D"/>
    <w:rsid w:val="0091205B"/>
    <w:rsid w:val="0091271D"/>
    <w:rsid w:val="00912FDC"/>
    <w:rsid w:val="0091379B"/>
    <w:rsid w:val="00913C74"/>
    <w:rsid w:val="00914D10"/>
    <w:rsid w:val="009202C8"/>
    <w:rsid w:val="009216F2"/>
    <w:rsid w:val="009221A8"/>
    <w:rsid w:val="00926519"/>
    <w:rsid w:val="00926D3E"/>
    <w:rsid w:val="009369BA"/>
    <w:rsid w:val="009426C4"/>
    <w:rsid w:val="00942939"/>
    <w:rsid w:val="0094342E"/>
    <w:rsid w:val="009457B2"/>
    <w:rsid w:val="00946B17"/>
    <w:rsid w:val="00954946"/>
    <w:rsid w:val="0095548E"/>
    <w:rsid w:val="00956D0B"/>
    <w:rsid w:val="00965929"/>
    <w:rsid w:val="00966624"/>
    <w:rsid w:val="00971588"/>
    <w:rsid w:val="00982BAE"/>
    <w:rsid w:val="0098342C"/>
    <w:rsid w:val="009835C9"/>
    <w:rsid w:val="0098491B"/>
    <w:rsid w:val="00984ACA"/>
    <w:rsid w:val="0098668B"/>
    <w:rsid w:val="00991142"/>
    <w:rsid w:val="00991837"/>
    <w:rsid w:val="009918E5"/>
    <w:rsid w:val="00993BCD"/>
    <w:rsid w:val="009977DD"/>
    <w:rsid w:val="009979B7"/>
    <w:rsid w:val="009A06E1"/>
    <w:rsid w:val="009A0879"/>
    <w:rsid w:val="009A16BE"/>
    <w:rsid w:val="009A3F98"/>
    <w:rsid w:val="009A6211"/>
    <w:rsid w:val="009B14C4"/>
    <w:rsid w:val="009B15CA"/>
    <w:rsid w:val="009B5183"/>
    <w:rsid w:val="009C0463"/>
    <w:rsid w:val="009C109A"/>
    <w:rsid w:val="009C2064"/>
    <w:rsid w:val="009C260B"/>
    <w:rsid w:val="009C463E"/>
    <w:rsid w:val="009C5519"/>
    <w:rsid w:val="009C636C"/>
    <w:rsid w:val="009D0E1D"/>
    <w:rsid w:val="009D2C61"/>
    <w:rsid w:val="009D57ED"/>
    <w:rsid w:val="009D7314"/>
    <w:rsid w:val="009E046A"/>
    <w:rsid w:val="009E21A9"/>
    <w:rsid w:val="009E2207"/>
    <w:rsid w:val="009E240F"/>
    <w:rsid w:val="009E4169"/>
    <w:rsid w:val="009F13D2"/>
    <w:rsid w:val="009F572B"/>
    <w:rsid w:val="00A00FC5"/>
    <w:rsid w:val="00A03A6D"/>
    <w:rsid w:val="00A0405F"/>
    <w:rsid w:val="00A0451B"/>
    <w:rsid w:val="00A046F5"/>
    <w:rsid w:val="00A050F2"/>
    <w:rsid w:val="00A06E42"/>
    <w:rsid w:val="00A1573C"/>
    <w:rsid w:val="00A162FC"/>
    <w:rsid w:val="00A21257"/>
    <w:rsid w:val="00A22823"/>
    <w:rsid w:val="00A22C40"/>
    <w:rsid w:val="00A2600F"/>
    <w:rsid w:val="00A30E80"/>
    <w:rsid w:val="00A314A5"/>
    <w:rsid w:val="00A32D78"/>
    <w:rsid w:val="00A335D3"/>
    <w:rsid w:val="00A34A41"/>
    <w:rsid w:val="00A3513B"/>
    <w:rsid w:val="00A447C9"/>
    <w:rsid w:val="00A5241A"/>
    <w:rsid w:val="00A55929"/>
    <w:rsid w:val="00A57291"/>
    <w:rsid w:val="00A6298E"/>
    <w:rsid w:val="00A62F50"/>
    <w:rsid w:val="00A64AA3"/>
    <w:rsid w:val="00A65CB7"/>
    <w:rsid w:val="00A66D29"/>
    <w:rsid w:val="00A70F5C"/>
    <w:rsid w:val="00A740B6"/>
    <w:rsid w:val="00A751A0"/>
    <w:rsid w:val="00A81275"/>
    <w:rsid w:val="00A8271A"/>
    <w:rsid w:val="00A9033D"/>
    <w:rsid w:val="00A9108F"/>
    <w:rsid w:val="00A929E8"/>
    <w:rsid w:val="00A94C18"/>
    <w:rsid w:val="00A969D6"/>
    <w:rsid w:val="00AA644D"/>
    <w:rsid w:val="00AA7A37"/>
    <w:rsid w:val="00AB0494"/>
    <w:rsid w:val="00AB367D"/>
    <w:rsid w:val="00AB433A"/>
    <w:rsid w:val="00AC28D4"/>
    <w:rsid w:val="00AD1857"/>
    <w:rsid w:val="00AD3A95"/>
    <w:rsid w:val="00AD4512"/>
    <w:rsid w:val="00AD51C2"/>
    <w:rsid w:val="00AD5E67"/>
    <w:rsid w:val="00AD6092"/>
    <w:rsid w:val="00AD6D70"/>
    <w:rsid w:val="00AD7D77"/>
    <w:rsid w:val="00AD7F90"/>
    <w:rsid w:val="00AE04E5"/>
    <w:rsid w:val="00AE0A2D"/>
    <w:rsid w:val="00AE4683"/>
    <w:rsid w:val="00AE6571"/>
    <w:rsid w:val="00AF0062"/>
    <w:rsid w:val="00AF15CF"/>
    <w:rsid w:val="00AF796C"/>
    <w:rsid w:val="00B02782"/>
    <w:rsid w:val="00B04F66"/>
    <w:rsid w:val="00B05701"/>
    <w:rsid w:val="00B06234"/>
    <w:rsid w:val="00B062F8"/>
    <w:rsid w:val="00B07252"/>
    <w:rsid w:val="00B10C08"/>
    <w:rsid w:val="00B10F5D"/>
    <w:rsid w:val="00B128CC"/>
    <w:rsid w:val="00B12B6A"/>
    <w:rsid w:val="00B1359F"/>
    <w:rsid w:val="00B159BB"/>
    <w:rsid w:val="00B1640D"/>
    <w:rsid w:val="00B17488"/>
    <w:rsid w:val="00B179FA"/>
    <w:rsid w:val="00B209AA"/>
    <w:rsid w:val="00B239BD"/>
    <w:rsid w:val="00B33105"/>
    <w:rsid w:val="00B42D8F"/>
    <w:rsid w:val="00B51B2C"/>
    <w:rsid w:val="00B607FF"/>
    <w:rsid w:val="00B62529"/>
    <w:rsid w:val="00B63041"/>
    <w:rsid w:val="00B6484F"/>
    <w:rsid w:val="00B65765"/>
    <w:rsid w:val="00B71D0C"/>
    <w:rsid w:val="00B7342F"/>
    <w:rsid w:val="00B76605"/>
    <w:rsid w:val="00B77289"/>
    <w:rsid w:val="00B7752E"/>
    <w:rsid w:val="00B77F11"/>
    <w:rsid w:val="00B8277D"/>
    <w:rsid w:val="00B827EE"/>
    <w:rsid w:val="00B83AB2"/>
    <w:rsid w:val="00B846A3"/>
    <w:rsid w:val="00B84DA8"/>
    <w:rsid w:val="00B85CFF"/>
    <w:rsid w:val="00B86BD0"/>
    <w:rsid w:val="00B87797"/>
    <w:rsid w:val="00B90AF6"/>
    <w:rsid w:val="00B930A1"/>
    <w:rsid w:val="00B95A5D"/>
    <w:rsid w:val="00B971E4"/>
    <w:rsid w:val="00BA262F"/>
    <w:rsid w:val="00BA438D"/>
    <w:rsid w:val="00BA5346"/>
    <w:rsid w:val="00BA5B48"/>
    <w:rsid w:val="00BA69E9"/>
    <w:rsid w:val="00BB078E"/>
    <w:rsid w:val="00BB1393"/>
    <w:rsid w:val="00BB25EF"/>
    <w:rsid w:val="00BB5644"/>
    <w:rsid w:val="00BC2469"/>
    <w:rsid w:val="00BC6201"/>
    <w:rsid w:val="00BC6ECC"/>
    <w:rsid w:val="00BC72F8"/>
    <w:rsid w:val="00BC7EF9"/>
    <w:rsid w:val="00BD0083"/>
    <w:rsid w:val="00BD07EB"/>
    <w:rsid w:val="00BD10B8"/>
    <w:rsid w:val="00BD2A4E"/>
    <w:rsid w:val="00BD6A94"/>
    <w:rsid w:val="00BD7773"/>
    <w:rsid w:val="00BE30C0"/>
    <w:rsid w:val="00BF1A66"/>
    <w:rsid w:val="00BF3F4E"/>
    <w:rsid w:val="00BF41E6"/>
    <w:rsid w:val="00BF4F21"/>
    <w:rsid w:val="00C02397"/>
    <w:rsid w:val="00C04943"/>
    <w:rsid w:val="00C04B6F"/>
    <w:rsid w:val="00C05658"/>
    <w:rsid w:val="00C05DD1"/>
    <w:rsid w:val="00C061E3"/>
    <w:rsid w:val="00C2176E"/>
    <w:rsid w:val="00C2418A"/>
    <w:rsid w:val="00C274E1"/>
    <w:rsid w:val="00C27628"/>
    <w:rsid w:val="00C308BF"/>
    <w:rsid w:val="00C31806"/>
    <w:rsid w:val="00C341DD"/>
    <w:rsid w:val="00C412A8"/>
    <w:rsid w:val="00C420DA"/>
    <w:rsid w:val="00C432B9"/>
    <w:rsid w:val="00C43739"/>
    <w:rsid w:val="00C52784"/>
    <w:rsid w:val="00C52F18"/>
    <w:rsid w:val="00C543F1"/>
    <w:rsid w:val="00C547C5"/>
    <w:rsid w:val="00C553F3"/>
    <w:rsid w:val="00C62034"/>
    <w:rsid w:val="00C67509"/>
    <w:rsid w:val="00C745B9"/>
    <w:rsid w:val="00C75D8B"/>
    <w:rsid w:val="00C81DAE"/>
    <w:rsid w:val="00C83BC1"/>
    <w:rsid w:val="00C83CB4"/>
    <w:rsid w:val="00C90035"/>
    <w:rsid w:val="00C90B70"/>
    <w:rsid w:val="00C9119E"/>
    <w:rsid w:val="00C91B8A"/>
    <w:rsid w:val="00C9321A"/>
    <w:rsid w:val="00C9477F"/>
    <w:rsid w:val="00CA0492"/>
    <w:rsid w:val="00CA080F"/>
    <w:rsid w:val="00CA2CF8"/>
    <w:rsid w:val="00CA3F0E"/>
    <w:rsid w:val="00CA4582"/>
    <w:rsid w:val="00CB0450"/>
    <w:rsid w:val="00CB2B5E"/>
    <w:rsid w:val="00CC0451"/>
    <w:rsid w:val="00CC0490"/>
    <w:rsid w:val="00CC31AC"/>
    <w:rsid w:val="00CC5C4E"/>
    <w:rsid w:val="00CC71E5"/>
    <w:rsid w:val="00CD36DE"/>
    <w:rsid w:val="00CE0284"/>
    <w:rsid w:val="00CE130D"/>
    <w:rsid w:val="00CE5545"/>
    <w:rsid w:val="00CE63F0"/>
    <w:rsid w:val="00CE663D"/>
    <w:rsid w:val="00CE69AF"/>
    <w:rsid w:val="00CF025C"/>
    <w:rsid w:val="00CF2423"/>
    <w:rsid w:val="00CF6747"/>
    <w:rsid w:val="00CF78A2"/>
    <w:rsid w:val="00CF7C4F"/>
    <w:rsid w:val="00D00868"/>
    <w:rsid w:val="00D0127D"/>
    <w:rsid w:val="00D04370"/>
    <w:rsid w:val="00D04A69"/>
    <w:rsid w:val="00D069B2"/>
    <w:rsid w:val="00D10008"/>
    <w:rsid w:val="00D10091"/>
    <w:rsid w:val="00D15C40"/>
    <w:rsid w:val="00D21064"/>
    <w:rsid w:val="00D2257C"/>
    <w:rsid w:val="00D23401"/>
    <w:rsid w:val="00D2424A"/>
    <w:rsid w:val="00D262AF"/>
    <w:rsid w:val="00D26A7E"/>
    <w:rsid w:val="00D33B5B"/>
    <w:rsid w:val="00D3667D"/>
    <w:rsid w:val="00D3780A"/>
    <w:rsid w:val="00D43E48"/>
    <w:rsid w:val="00D445BF"/>
    <w:rsid w:val="00D46C51"/>
    <w:rsid w:val="00D529FC"/>
    <w:rsid w:val="00D53042"/>
    <w:rsid w:val="00D55FB7"/>
    <w:rsid w:val="00D62A97"/>
    <w:rsid w:val="00D64602"/>
    <w:rsid w:val="00D64866"/>
    <w:rsid w:val="00D668DB"/>
    <w:rsid w:val="00D67EA2"/>
    <w:rsid w:val="00D73142"/>
    <w:rsid w:val="00D73793"/>
    <w:rsid w:val="00D73E4F"/>
    <w:rsid w:val="00D75868"/>
    <w:rsid w:val="00D7607D"/>
    <w:rsid w:val="00D83E99"/>
    <w:rsid w:val="00D8417B"/>
    <w:rsid w:val="00D86221"/>
    <w:rsid w:val="00D951FC"/>
    <w:rsid w:val="00D96CC9"/>
    <w:rsid w:val="00D970AE"/>
    <w:rsid w:val="00DA2297"/>
    <w:rsid w:val="00DA5010"/>
    <w:rsid w:val="00DB04CF"/>
    <w:rsid w:val="00DB4242"/>
    <w:rsid w:val="00DB62FA"/>
    <w:rsid w:val="00DC5507"/>
    <w:rsid w:val="00DC7470"/>
    <w:rsid w:val="00DC7F32"/>
    <w:rsid w:val="00DD216D"/>
    <w:rsid w:val="00DD25D1"/>
    <w:rsid w:val="00DD4D9D"/>
    <w:rsid w:val="00DD674B"/>
    <w:rsid w:val="00DE00D8"/>
    <w:rsid w:val="00DE0165"/>
    <w:rsid w:val="00DE0274"/>
    <w:rsid w:val="00DE2258"/>
    <w:rsid w:val="00DE2A33"/>
    <w:rsid w:val="00DE399E"/>
    <w:rsid w:val="00DE6780"/>
    <w:rsid w:val="00DE74FE"/>
    <w:rsid w:val="00DF114E"/>
    <w:rsid w:val="00DF3C2C"/>
    <w:rsid w:val="00DF49A4"/>
    <w:rsid w:val="00DF588A"/>
    <w:rsid w:val="00DF6C37"/>
    <w:rsid w:val="00E00B44"/>
    <w:rsid w:val="00E015BE"/>
    <w:rsid w:val="00E0184F"/>
    <w:rsid w:val="00E034EB"/>
    <w:rsid w:val="00E03A87"/>
    <w:rsid w:val="00E0757C"/>
    <w:rsid w:val="00E10E12"/>
    <w:rsid w:val="00E114EE"/>
    <w:rsid w:val="00E136F5"/>
    <w:rsid w:val="00E14426"/>
    <w:rsid w:val="00E144E6"/>
    <w:rsid w:val="00E175B3"/>
    <w:rsid w:val="00E21F33"/>
    <w:rsid w:val="00E226EA"/>
    <w:rsid w:val="00E233C5"/>
    <w:rsid w:val="00E23607"/>
    <w:rsid w:val="00E23D49"/>
    <w:rsid w:val="00E262BF"/>
    <w:rsid w:val="00E30FAC"/>
    <w:rsid w:val="00E3137A"/>
    <w:rsid w:val="00E32092"/>
    <w:rsid w:val="00E32E9E"/>
    <w:rsid w:val="00E343D0"/>
    <w:rsid w:val="00E34A1C"/>
    <w:rsid w:val="00E35ED1"/>
    <w:rsid w:val="00E37EA3"/>
    <w:rsid w:val="00E4305D"/>
    <w:rsid w:val="00E50613"/>
    <w:rsid w:val="00E513CA"/>
    <w:rsid w:val="00E52AAD"/>
    <w:rsid w:val="00E53796"/>
    <w:rsid w:val="00E5496D"/>
    <w:rsid w:val="00E5544C"/>
    <w:rsid w:val="00E56CEC"/>
    <w:rsid w:val="00E604F1"/>
    <w:rsid w:val="00E614BF"/>
    <w:rsid w:val="00E6355E"/>
    <w:rsid w:val="00E63E45"/>
    <w:rsid w:val="00E64DBC"/>
    <w:rsid w:val="00E65890"/>
    <w:rsid w:val="00E713B3"/>
    <w:rsid w:val="00E75F7A"/>
    <w:rsid w:val="00E804C7"/>
    <w:rsid w:val="00E80A12"/>
    <w:rsid w:val="00E83043"/>
    <w:rsid w:val="00E90174"/>
    <w:rsid w:val="00E90ABA"/>
    <w:rsid w:val="00E9189B"/>
    <w:rsid w:val="00E91CAB"/>
    <w:rsid w:val="00E92963"/>
    <w:rsid w:val="00E94937"/>
    <w:rsid w:val="00E96C5A"/>
    <w:rsid w:val="00EA36F4"/>
    <w:rsid w:val="00EA3DAA"/>
    <w:rsid w:val="00EA4793"/>
    <w:rsid w:val="00EA69BA"/>
    <w:rsid w:val="00EB2219"/>
    <w:rsid w:val="00EB2279"/>
    <w:rsid w:val="00EB4B4A"/>
    <w:rsid w:val="00EC1678"/>
    <w:rsid w:val="00EC6C7F"/>
    <w:rsid w:val="00EC761D"/>
    <w:rsid w:val="00ED04CF"/>
    <w:rsid w:val="00ED285B"/>
    <w:rsid w:val="00EE0113"/>
    <w:rsid w:val="00EE01E6"/>
    <w:rsid w:val="00EE1E07"/>
    <w:rsid w:val="00EE1FEE"/>
    <w:rsid w:val="00EE5345"/>
    <w:rsid w:val="00EF01FD"/>
    <w:rsid w:val="00EF24CA"/>
    <w:rsid w:val="00EF3062"/>
    <w:rsid w:val="00EF642B"/>
    <w:rsid w:val="00F03322"/>
    <w:rsid w:val="00F05A79"/>
    <w:rsid w:val="00F07D1B"/>
    <w:rsid w:val="00F07D1C"/>
    <w:rsid w:val="00F101F9"/>
    <w:rsid w:val="00F11418"/>
    <w:rsid w:val="00F1257D"/>
    <w:rsid w:val="00F145F3"/>
    <w:rsid w:val="00F17753"/>
    <w:rsid w:val="00F242C7"/>
    <w:rsid w:val="00F248A6"/>
    <w:rsid w:val="00F252E7"/>
    <w:rsid w:val="00F33F4C"/>
    <w:rsid w:val="00F364A7"/>
    <w:rsid w:val="00F4463B"/>
    <w:rsid w:val="00F45881"/>
    <w:rsid w:val="00F45E43"/>
    <w:rsid w:val="00F462D0"/>
    <w:rsid w:val="00F502BE"/>
    <w:rsid w:val="00F52991"/>
    <w:rsid w:val="00F61065"/>
    <w:rsid w:val="00F62F12"/>
    <w:rsid w:val="00F640BC"/>
    <w:rsid w:val="00F65A2C"/>
    <w:rsid w:val="00F71E16"/>
    <w:rsid w:val="00F72BE9"/>
    <w:rsid w:val="00F7560F"/>
    <w:rsid w:val="00F75FD1"/>
    <w:rsid w:val="00F773AE"/>
    <w:rsid w:val="00F77816"/>
    <w:rsid w:val="00F8359C"/>
    <w:rsid w:val="00F835CF"/>
    <w:rsid w:val="00F8729B"/>
    <w:rsid w:val="00F94EB2"/>
    <w:rsid w:val="00F956B5"/>
    <w:rsid w:val="00F95874"/>
    <w:rsid w:val="00F97420"/>
    <w:rsid w:val="00FA2299"/>
    <w:rsid w:val="00FA5EB5"/>
    <w:rsid w:val="00FA672D"/>
    <w:rsid w:val="00FB6328"/>
    <w:rsid w:val="00FB774F"/>
    <w:rsid w:val="00FC2316"/>
    <w:rsid w:val="00FC48A3"/>
    <w:rsid w:val="00FD01D1"/>
    <w:rsid w:val="00FD0DA0"/>
    <w:rsid w:val="00FD0F50"/>
    <w:rsid w:val="00FD6480"/>
    <w:rsid w:val="00FD713A"/>
    <w:rsid w:val="00FE3B23"/>
    <w:rsid w:val="00FE5F37"/>
    <w:rsid w:val="00FE7555"/>
    <w:rsid w:val="00FF36D5"/>
    <w:rsid w:val="00FF5168"/>
    <w:rsid w:val="018970A3"/>
    <w:rsid w:val="01DE6A0A"/>
    <w:rsid w:val="020659A7"/>
    <w:rsid w:val="0254507B"/>
    <w:rsid w:val="028523E4"/>
    <w:rsid w:val="02E73D28"/>
    <w:rsid w:val="02F9456F"/>
    <w:rsid w:val="032F41EB"/>
    <w:rsid w:val="03697E05"/>
    <w:rsid w:val="03CA2D23"/>
    <w:rsid w:val="040472C3"/>
    <w:rsid w:val="04471B1D"/>
    <w:rsid w:val="04484535"/>
    <w:rsid w:val="04522B01"/>
    <w:rsid w:val="048169CB"/>
    <w:rsid w:val="05157A2A"/>
    <w:rsid w:val="058F1078"/>
    <w:rsid w:val="05BB1017"/>
    <w:rsid w:val="060C5751"/>
    <w:rsid w:val="06151776"/>
    <w:rsid w:val="06161FA6"/>
    <w:rsid w:val="06292216"/>
    <w:rsid w:val="062B47F9"/>
    <w:rsid w:val="06803614"/>
    <w:rsid w:val="06C41A27"/>
    <w:rsid w:val="088E4939"/>
    <w:rsid w:val="0899352B"/>
    <w:rsid w:val="089D0F57"/>
    <w:rsid w:val="094E7744"/>
    <w:rsid w:val="0956327F"/>
    <w:rsid w:val="09676E7B"/>
    <w:rsid w:val="099E47B0"/>
    <w:rsid w:val="09DE060E"/>
    <w:rsid w:val="09F11737"/>
    <w:rsid w:val="0AA4078E"/>
    <w:rsid w:val="0AD83AF6"/>
    <w:rsid w:val="0AF52C44"/>
    <w:rsid w:val="0B3B7FA3"/>
    <w:rsid w:val="0B5E7A2C"/>
    <w:rsid w:val="0B7D7BFF"/>
    <w:rsid w:val="0BC53567"/>
    <w:rsid w:val="0C1D0FB9"/>
    <w:rsid w:val="0C254115"/>
    <w:rsid w:val="0C2F6748"/>
    <w:rsid w:val="0C74688E"/>
    <w:rsid w:val="0DD62233"/>
    <w:rsid w:val="0DDD66F4"/>
    <w:rsid w:val="0DE11CA8"/>
    <w:rsid w:val="0F1D2C54"/>
    <w:rsid w:val="0F767820"/>
    <w:rsid w:val="0FD5353B"/>
    <w:rsid w:val="10707742"/>
    <w:rsid w:val="107E0B2E"/>
    <w:rsid w:val="10AB4FE5"/>
    <w:rsid w:val="12630A99"/>
    <w:rsid w:val="12EC7371"/>
    <w:rsid w:val="130E3597"/>
    <w:rsid w:val="13194999"/>
    <w:rsid w:val="13990336"/>
    <w:rsid w:val="15F06BB8"/>
    <w:rsid w:val="169D5C55"/>
    <w:rsid w:val="182A44AF"/>
    <w:rsid w:val="18DF7644"/>
    <w:rsid w:val="192A42D4"/>
    <w:rsid w:val="196C4A63"/>
    <w:rsid w:val="19862787"/>
    <w:rsid w:val="19C01C25"/>
    <w:rsid w:val="1A25112A"/>
    <w:rsid w:val="1A962C7F"/>
    <w:rsid w:val="1B3915E0"/>
    <w:rsid w:val="1B474C39"/>
    <w:rsid w:val="1B8B5A2F"/>
    <w:rsid w:val="1BFD1253"/>
    <w:rsid w:val="1D1B00B5"/>
    <w:rsid w:val="1D6D6096"/>
    <w:rsid w:val="1D974036"/>
    <w:rsid w:val="1DAB500B"/>
    <w:rsid w:val="1E831C28"/>
    <w:rsid w:val="1F080C46"/>
    <w:rsid w:val="1F4D5919"/>
    <w:rsid w:val="1F551511"/>
    <w:rsid w:val="1F8A7B65"/>
    <w:rsid w:val="1F9E23F4"/>
    <w:rsid w:val="1FE419AA"/>
    <w:rsid w:val="201D7C5C"/>
    <w:rsid w:val="203E5AED"/>
    <w:rsid w:val="2049322B"/>
    <w:rsid w:val="209029D8"/>
    <w:rsid w:val="20AF7D05"/>
    <w:rsid w:val="20F5379F"/>
    <w:rsid w:val="20FF2A5E"/>
    <w:rsid w:val="217752BE"/>
    <w:rsid w:val="2199577D"/>
    <w:rsid w:val="219D1668"/>
    <w:rsid w:val="22241630"/>
    <w:rsid w:val="23D805EB"/>
    <w:rsid w:val="24072E8D"/>
    <w:rsid w:val="249D37E0"/>
    <w:rsid w:val="25F31E90"/>
    <w:rsid w:val="26350CD6"/>
    <w:rsid w:val="263D05C5"/>
    <w:rsid w:val="268C265E"/>
    <w:rsid w:val="26D667B2"/>
    <w:rsid w:val="26E51841"/>
    <w:rsid w:val="270A253F"/>
    <w:rsid w:val="27445927"/>
    <w:rsid w:val="27474A72"/>
    <w:rsid w:val="2A081C89"/>
    <w:rsid w:val="2A540644"/>
    <w:rsid w:val="2A724847"/>
    <w:rsid w:val="2A874D47"/>
    <w:rsid w:val="2B234DB6"/>
    <w:rsid w:val="2C826543"/>
    <w:rsid w:val="2C9C5026"/>
    <w:rsid w:val="2E020210"/>
    <w:rsid w:val="2E4E0A1E"/>
    <w:rsid w:val="2ED57FA4"/>
    <w:rsid w:val="2EF51A8B"/>
    <w:rsid w:val="2F446DF1"/>
    <w:rsid w:val="30454BC8"/>
    <w:rsid w:val="3086472B"/>
    <w:rsid w:val="30AA3A4A"/>
    <w:rsid w:val="30F2671B"/>
    <w:rsid w:val="31241E51"/>
    <w:rsid w:val="314F00C6"/>
    <w:rsid w:val="31650CB2"/>
    <w:rsid w:val="31B472C3"/>
    <w:rsid w:val="32665BDB"/>
    <w:rsid w:val="33C0260F"/>
    <w:rsid w:val="33D63838"/>
    <w:rsid w:val="35013A6D"/>
    <w:rsid w:val="352F77A9"/>
    <w:rsid w:val="36F0447B"/>
    <w:rsid w:val="37CD70B1"/>
    <w:rsid w:val="37F3745E"/>
    <w:rsid w:val="380B5A04"/>
    <w:rsid w:val="38A60374"/>
    <w:rsid w:val="39195E72"/>
    <w:rsid w:val="395D760C"/>
    <w:rsid w:val="3A376AFE"/>
    <w:rsid w:val="3B175880"/>
    <w:rsid w:val="3B77514F"/>
    <w:rsid w:val="3BBA790F"/>
    <w:rsid w:val="3BF73F2C"/>
    <w:rsid w:val="3C907584"/>
    <w:rsid w:val="3D411628"/>
    <w:rsid w:val="3D8D07FF"/>
    <w:rsid w:val="3D91629E"/>
    <w:rsid w:val="3DD102FB"/>
    <w:rsid w:val="3E6E135B"/>
    <w:rsid w:val="3E772824"/>
    <w:rsid w:val="3EEF2B04"/>
    <w:rsid w:val="3EF4702E"/>
    <w:rsid w:val="3F0B0B6E"/>
    <w:rsid w:val="3FD143F6"/>
    <w:rsid w:val="40B623BA"/>
    <w:rsid w:val="413B02B2"/>
    <w:rsid w:val="413E1BC1"/>
    <w:rsid w:val="4144585A"/>
    <w:rsid w:val="416672D5"/>
    <w:rsid w:val="42452619"/>
    <w:rsid w:val="42DF01B7"/>
    <w:rsid w:val="433E13E5"/>
    <w:rsid w:val="440F0CB8"/>
    <w:rsid w:val="44354590"/>
    <w:rsid w:val="44504F4F"/>
    <w:rsid w:val="44EC2EB8"/>
    <w:rsid w:val="450711E5"/>
    <w:rsid w:val="4591575B"/>
    <w:rsid w:val="45B23B2A"/>
    <w:rsid w:val="45F53AFC"/>
    <w:rsid w:val="465977D5"/>
    <w:rsid w:val="470D64F3"/>
    <w:rsid w:val="473C29DC"/>
    <w:rsid w:val="474C5740"/>
    <w:rsid w:val="47AD324C"/>
    <w:rsid w:val="48595A85"/>
    <w:rsid w:val="487B702B"/>
    <w:rsid w:val="49057DA7"/>
    <w:rsid w:val="49432925"/>
    <w:rsid w:val="499B186C"/>
    <w:rsid w:val="4A2C52EE"/>
    <w:rsid w:val="4A3265CD"/>
    <w:rsid w:val="4A4C54A0"/>
    <w:rsid w:val="4A6033A6"/>
    <w:rsid w:val="4A7311DA"/>
    <w:rsid w:val="4A8E7025"/>
    <w:rsid w:val="4C0057C7"/>
    <w:rsid w:val="4C49063B"/>
    <w:rsid w:val="4CF07D86"/>
    <w:rsid w:val="4D2703CB"/>
    <w:rsid w:val="4D4B0B11"/>
    <w:rsid w:val="4D701980"/>
    <w:rsid w:val="4E1D3EBA"/>
    <w:rsid w:val="4E8D74C3"/>
    <w:rsid w:val="4EB27E24"/>
    <w:rsid w:val="4ED22AA2"/>
    <w:rsid w:val="4F266882"/>
    <w:rsid w:val="50815506"/>
    <w:rsid w:val="51622C09"/>
    <w:rsid w:val="51AD38C4"/>
    <w:rsid w:val="52C420F9"/>
    <w:rsid w:val="52E52F59"/>
    <w:rsid w:val="53DD0E41"/>
    <w:rsid w:val="54A877F7"/>
    <w:rsid w:val="550A42A6"/>
    <w:rsid w:val="55B02299"/>
    <w:rsid w:val="55C70614"/>
    <w:rsid w:val="55E31D5F"/>
    <w:rsid w:val="55EA3B6F"/>
    <w:rsid w:val="5613568C"/>
    <w:rsid w:val="56AE28C5"/>
    <w:rsid w:val="56BD4E9B"/>
    <w:rsid w:val="57180872"/>
    <w:rsid w:val="571A1BB1"/>
    <w:rsid w:val="577D74F1"/>
    <w:rsid w:val="578975F8"/>
    <w:rsid w:val="57F16420"/>
    <w:rsid w:val="58ED577D"/>
    <w:rsid w:val="58FF4A68"/>
    <w:rsid w:val="595615B5"/>
    <w:rsid w:val="59964AF2"/>
    <w:rsid w:val="599F73C0"/>
    <w:rsid w:val="5A4E5023"/>
    <w:rsid w:val="5A7A53E5"/>
    <w:rsid w:val="5AC766BF"/>
    <w:rsid w:val="5B3B01B9"/>
    <w:rsid w:val="5BAB72C2"/>
    <w:rsid w:val="5BDB2D08"/>
    <w:rsid w:val="5C6C31E5"/>
    <w:rsid w:val="5C700499"/>
    <w:rsid w:val="5D715E68"/>
    <w:rsid w:val="5DC92CD1"/>
    <w:rsid w:val="5DCD39D8"/>
    <w:rsid w:val="5E371F76"/>
    <w:rsid w:val="5EC566A5"/>
    <w:rsid w:val="5F4178B4"/>
    <w:rsid w:val="5FA919D0"/>
    <w:rsid w:val="60005921"/>
    <w:rsid w:val="607700C6"/>
    <w:rsid w:val="617347EF"/>
    <w:rsid w:val="61C932C4"/>
    <w:rsid w:val="63536849"/>
    <w:rsid w:val="637447C9"/>
    <w:rsid w:val="64E2791B"/>
    <w:rsid w:val="64F33A7E"/>
    <w:rsid w:val="659C0B0C"/>
    <w:rsid w:val="659C2659"/>
    <w:rsid w:val="65E928D7"/>
    <w:rsid w:val="6600202F"/>
    <w:rsid w:val="662A75F4"/>
    <w:rsid w:val="67DB1FB9"/>
    <w:rsid w:val="688A160B"/>
    <w:rsid w:val="68B34E74"/>
    <w:rsid w:val="69051B9C"/>
    <w:rsid w:val="69256060"/>
    <w:rsid w:val="69B57D1D"/>
    <w:rsid w:val="6A7D6284"/>
    <w:rsid w:val="6B015EE8"/>
    <w:rsid w:val="6B0E480A"/>
    <w:rsid w:val="6BC41714"/>
    <w:rsid w:val="6BFA786E"/>
    <w:rsid w:val="6C4D3587"/>
    <w:rsid w:val="6D2D7BBB"/>
    <w:rsid w:val="6D543589"/>
    <w:rsid w:val="6D905A98"/>
    <w:rsid w:val="6DAF004B"/>
    <w:rsid w:val="6DE0783F"/>
    <w:rsid w:val="6DEC0475"/>
    <w:rsid w:val="6DED2CDA"/>
    <w:rsid w:val="6E21715C"/>
    <w:rsid w:val="6E301BE5"/>
    <w:rsid w:val="6F3855B9"/>
    <w:rsid w:val="6F994126"/>
    <w:rsid w:val="6FA47A81"/>
    <w:rsid w:val="6FBF319F"/>
    <w:rsid w:val="70972FBA"/>
    <w:rsid w:val="70B01377"/>
    <w:rsid w:val="70F86CC7"/>
    <w:rsid w:val="717D5C0F"/>
    <w:rsid w:val="71845E27"/>
    <w:rsid w:val="71B7264C"/>
    <w:rsid w:val="71DA0D31"/>
    <w:rsid w:val="71F70369"/>
    <w:rsid w:val="720572BF"/>
    <w:rsid w:val="728926FD"/>
    <w:rsid w:val="72947E56"/>
    <w:rsid w:val="734643F4"/>
    <w:rsid w:val="739D454B"/>
    <w:rsid w:val="73F456D6"/>
    <w:rsid w:val="750F269F"/>
    <w:rsid w:val="75967C48"/>
    <w:rsid w:val="75CE4135"/>
    <w:rsid w:val="76603E70"/>
    <w:rsid w:val="76A6040B"/>
    <w:rsid w:val="77230C18"/>
    <w:rsid w:val="77960174"/>
    <w:rsid w:val="77C31F39"/>
    <w:rsid w:val="780706A9"/>
    <w:rsid w:val="780C3CF5"/>
    <w:rsid w:val="781A54FB"/>
    <w:rsid w:val="785455BB"/>
    <w:rsid w:val="78AD50C5"/>
    <w:rsid w:val="79557B1E"/>
    <w:rsid w:val="79F2698F"/>
    <w:rsid w:val="79F860D7"/>
    <w:rsid w:val="7A67721F"/>
    <w:rsid w:val="7A7578A1"/>
    <w:rsid w:val="7ACD21A0"/>
    <w:rsid w:val="7AE51FBA"/>
    <w:rsid w:val="7B6A38B1"/>
    <w:rsid w:val="7B9278BA"/>
    <w:rsid w:val="7C344066"/>
    <w:rsid w:val="7C565F5C"/>
    <w:rsid w:val="7DFA55AF"/>
    <w:rsid w:val="7E24566F"/>
    <w:rsid w:val="7E99531C"/>
    <w:rsid w:val="7EA04436"/>
    <w:rsid w:val="7EE53C21"/>
    <w:rsid w:val="7F756C66"/>
    <w:rsid w:val="7F9D6A44"/>
    <w:rsid w:val="7FC167C6"/>
    <w:rsid w:val="7FCC066D"/>
    <w:rsid w:val="7FFA5AA9"/>
    <w:rsid w:val="DA7857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9" w:semiHidden="0" w:name="heading 2" w:locked="1"/>
    <w:lsdException w:qFormat="1" w:uiPriority="9"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qFormat="1"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99" w:semiHidden="0" w:name="Emphasis"/>
    <w:lsdException w:qFormat="1" w:unhideWhenUsed="0"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nhideWhenUsed="0"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560" w:lineRule="exact"/>
      <w:jc w:val="center"/>
    </w:pPr>
    <w:rPr>
      <w:rFonts w:ascii="黑体" w:hAnsi="黑体" w:eastAsia="黑体" w:cs="Times New Roman"/>
      <w:kern w:val="2"/>
      <w:sz w:val="21"/>
      <w:szCs w:val="21"/>
      <w:lang w:val="en-US" w:eastAsia="zh-CN" w:bidi="ar-SA"/>
    </w:rPr>
  </w:style>
  <w:style w:type="paragraph" w:styleId="2">
    <w:name w:val="heading 1"/>
    <w:basedOn w:val="1"/>
    <w:next w:val="1"/>
    <w:link w:val="48"/>
    <w:autoRedefine/>
    <w:qFormat/>
    <w:locked/>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50"/>
    <w:autoRedefine/>
    <w:unhideWhenUsed/>
    <w:qFormat/>
    <w:locked/>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51"/>
    <w:autoRedefine/>
    <w:unhideWhenUsed/>
    <w:qFormat/>
    <w:locked/>
    <w:uiPriority w:val="9"/>
    <w:pPr>
      <w:keepNext/>
      <w:keepLines/>
      <w:spacing w:before="260" w:after="260" w:line="416" w:lineRule="auto"/>
      <w:outlineLvl w:val="2"/>
    </w:pPr>
    <w:rPr>
      <w:rFonts w:asciiTheme="minorHAnsi" w:hAnsiTheme="minorHAnsi" w:eastAsiaTheme="minorEastAsia" w:cstheme="minorBidi"/>
      <w:b/>
      <w:bCs/>
      <w:sz w:val="32"/>
      <w:szCs w:val="32"/>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Document Map"/>
    <w:basedOn w:val="1"/>
    <w:link w:val="20"/>
    <w:autoRedefine/>
    <w:semiHidden/>
    <w:qFormat/>
    <w:uiPriority w:val="99"/>
    <w:rPr>
      <w:rFonts w:ascii="宋体"/>
      <w:kern w:val="0"/>
      <w:sz w:val="18"/>
      <w:szCs w:val="18"/>
      <w:lang w:val="zh-CN"/>
    </w:rPr>
  </w:style>
  <w:style w:type="paragraph" w:styleId="6">
    <w:name w:val="annotation text"/>
    <w:basedOn w:val="1"/>
    <w:link w:val="21"/>
    <w:autoRedefine/>
    <w:semiHidden/>
    <w:qFormat/>
    <w:uiPriority w:val="99"/>
    <w:pPr>
      <w:jc w:val="left"/>
    </w:pPr>
    <w:rPr>
      <w:kern w:val="0"/>
      <w:sz w:val="24"/>
      <w:szCs w:val="24"/>
      <w:lang w:val="zh-CN"/>
    </w:rPr>
  </w:style>
  <w:style w:type="paragraph" w:styleId="7">
    <w:name w:val="Balloon Text"/>
    <w:basedOn w:val="1"/>
    <w:link w:val="22"/>
    <w:autoRedefine/>
    <w:semiHidden/>
    <w:qFormat/>
    <w:uiPriority w:val="99"/>
    <w:rPr>
      <w:rFonts w:ascii="Calibri" w:hAnsi="Calibri"/>
      <w:sz w:val="18"/>
      <w:szCs w:val="18"/>
      <w:lang w:val="zh-CN"/>
    </w:rPr>
  </w:style>
  <w:style w:type="paragraph" w:styleId="8">
    <w:name w:val="footer"/>
    <w:basedOn w:val="1"/>
    <w:link w:val="23"/>
    <w:autoRedefine/>
    <w:qFormat/>
    <w:uiPriority w:val="99"/>
    <w:pPr>
      <w:tabs>
        <w:tab w:val="center" w:pos="4153"/>
        <w:tab w:val="right" w:pos="8306"/>
      </w:tabs>
      <w:snapToGrid w:val="0"/>
      <w:jc w:val="left"/>
    </w:pPr>
    <w:rPr>
      <w:rFonts w:ascii="Calibri" w:hAnsi="Calibri"/>
      <w:kern w:val="0"/>
      <w:sz w:val="18"/>
      <w:szCs w:val="18"/>
      <w:lang w:val="zh-CN"/>
    </w:rPr>
  </w:style>
  <w:style w:type="paragraph" w:styleId="9">
    <w:name w:val="header"/>
    <w:basedOn w:val="1"/>
    <w:link w:val="24"/>
    <w:autoRedefine/>
    <w:qFormat/>
    <w:uiPriority w:val="99"/>
    <w:pPr>
      <w:pBdr>
        <w:bottom w:val="single" w:color="auto" w:sz="6" w:space="1"/>
      </w:pBdr>
      <w:tabs>
        <w:tab w:val="center" w:pos="4153"/>
        <w:tab w:val="right" w:pos="8306"/>
      </w:tabs>
      <w:snapToGrid w:val="0"/>
    </w:pPr>
    <w:rPr>
      <w:rFonts w:ascii="Calibri" w:hAnsi="Calibri"/>
      <w:kern w:val="0"/>
      <w:sz w:val="18"/>
      <w:szCs w:val="18"/>
      <w:lang w:val="zh-CN"/>
    </w:rPr>
  </w:style>
  <w:style w:type="paragraph" w:styleId="10">
    <w:name w:val="footnote text"/>
    <w:basedOn w:val="1"/>
    <w:link w:val="45"/>
    <w:autoRedefine/>
    <w:semiHidden/>
    <w:unhideWhenUsed/>
    <w:qFormat/>
    <w:uiPriority w:val="99"/>
    <w:pPr>
      <w:snapToGrid w:val="0"/>
      <w:jc w:val="left"/>
    </w:pPr>
    <w:rPr>
      <w:sz w:val="18"/>
      <w:szCs w:val="18"/>
    </w:rPr>
  </w:style>
  <w:style w:type="paragraph" w:styleId="11">
    <w:name w:val="annotation subject"/>
    <w:basedOn w:val="6"/>
    <w:next w:val="6"/>
    <w:link w:val="46"/>
    <w:autoRedefine/>
    <w:semiHidden/>
    <w:unhideWhenUsed/>
    <w:qFormat/>
    <w:uiPriority w:val="99"/>
    <w:rPr>
      <w:b/>
      <w:bCs/>
      <w:kern w:val="2"/>
      <w:sz w:val="21"/>
      <w:szCs w:val="21"/>
      <w:lang w:val="en-US"/>
    </w:rPr>
  </w:style>
  <w:style w:type="table" w:styleId="13">
    <w:name w:val="Table Grid"/>
    <w:basedOn w:val="12"/>
    <w:autoRedefine/>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autoRedefine/>
    <w:semiHidden/>
    <w:qFormat/>
    <w:uiPriority w:val="99"/>
    <w:rPr>
      <w:rFonts w:ascii="Times New Roman" w:hAnsi="Times New Roman" w:eastAsia="宋体" w:cs="Times New Roman"/>
      <w:sz w:val="20"/>
      <w:szCs w:val="20"/>
    </w:rPr>
  </w:style>
  <w:style w:type="character" w:styleId="16">
    <w:name w:val="Emphasis"/>
    <w:autoRedefine/>
    <w:qFormat/>
    <w:uiPriority w:val="99"/>
    <w:rPr>
      <w:rFonts w:eastAsia="仿宋_GB2312"/>
      <w:color w:val="auto"/>
      <w:sz w:val="20"/>
      <w:szCs w:val="20"/>
    </w:rPr>
  </w:style>
  <w:style w:type="character" w:styleId="17">
    <w:name w:val="HTML Code"/>
    <w:autoRedefine/>
    <w:semiHidden/>
    <w:qFormat/>
    <w:uiPriority w:val="99"/>
    <w:rPr>
      <w:rFonts w:ascii="Courier New" w:hAnsi="Courier New" w:eastAsia="仿宋_GB2312" w:cs="Courier New"/>
      <w:sz w:val="20"/>
      <w:szCs w:val="20"/>
    </w:rPr>
  </w:style>
  <w:style w:type="character" w:styleId="18">
    <w:name w:val="annotation reference"/>
    <w:autoRedefine/>
    <w:semiHidden/>
    <w:unhideWhenUsed/>
    <w:qFormat/>
    <w:uiPriority w:val="99"/>
    <w:rPr>
      <w:sz w:val="21"/>
      <w:szCs w:val="21"/>
    </w:rPr>
  </w:style>
  <w:style w:type="character" w:styleId="19">
    <w:name w:val="footnote reference"/>
    <w:autoRedefine/>
    <w:semiHidden/>
    <w:unhideWhenUsed/>
    <w:qFormat/>
    <w:uiPriority w:val="99"/>
    <w:rPr>
      <w:vertAlign w:val="superscript"/>
    </w:rPr>
  </w:style>
  <w:style w:type="character" w:customStyle="1" w:styleId="20">
    <w:name w:val="文档结构图 字符"/>
    <w:link w:val="5"/>
    <w:autoRedefine/>
    <w:semiHidden/>
    <w:qFormat/>
    <w:locked/>
    <w:uiPriority w:val="99"/>
    <w:rPr>
      <w:rFonts w:ascii="宋体" w:hAnsi="Times New Roman" w:eastAsia="宋体" w:cs="宋体"/>
      <w:sz w:val="18"/>
      <w:szCs w:val="18"/>
    </w:rPr>
  </w:style>
  <w:style w:type="character" w:customStyle="1" w:styleId="21">
    <w:name w:val="批注文字 字符"/>
    <w:link w:val="6"/>
    <w:autoRedefine/>
    <w:semiHidden/>
    <w:qFormat/>
    <w:locked/>
    <w:uiPriority w:val="99"/>
    <w:rPr>
      <w:sz w:val="24"/>
      <w:szCs w:val="24"/>
      <w:lang w:val="zh-CN"/>
    </w:rPr>
  </w:style>
  <w:style w:type="character" w:customStyle="1" w:styleId="22">
    <w:name w:val="批注框文本 字符"/>
    <w:link w:val="7"/>
    <w:autoRedefine/>
    <w:semiHidden/>
    <w:qFormat/>
    <w:locked/>
    <w:uiPriority w:val="99"/>
    <w:rPr>
      <w:kern w:val="2"/>
      <w:sz w:val="18"/>
      <w:szCs w:val="18"/>
    </w:rPr>
  </w:style>
  <w:style w:type="character" w:customStyle="1" w:styleId="23">
    <w:name w:val="页脚 字符1"/>
    <w:link w:val="8"/>
    <w:autoRedefine/>
    <w:semiHidden/>
    <w:qFormat/>
    <w:locked/>
    <w:uiPriority w:val="99"/>
    <w:rPr>
      <w:sz w:val="18"/>
      <w:szCs w:val="18"/>
    </w:rPr>
  </w:style>
  <w:style w:type="character" w:customStyle="1" w:styleId="24">
    <w:name w:val="页眉 字符"/>
    <w:link w:val="9"/>
    <w:autoRedefine/>
    <w:qFormat/>
    <w:locked/>
    <w:uiPriority w:val="99"/>
    <w:rPr>
      <w:rFonts w:ascii="Calibri" w:hAnsi="Calibri"/>
      <w:sz w:val="18"/>
      <w:szCs w:val="18"/>
      <w:lang w:val="zh-CN"/>
    </w:rPr>
  </w:style>
  <w:style w:type="paragraph" w:customStyle="1" w:styleId="25">
    <w:name w:val="标准书脚_奇数页"/>
    <w:autoRedefine/>
    <w:qFormat/>
    <w:uiPriority w:val="99"/>
    <w:pPr>
      <w:spacing w:before="120"/>
      <w:jc w:val="right"/>
    </w:pPr>
    <w:rPr>
      <w:rFonts w:ascii="Times New Roman" w:hAnsi="Times New Roman" w:eastAsia="宋体" w:cs="Times New Roman"/>
      <w:sz w:val="18"/>
      <w:szCs w:val="18"/>
      <w:lang w:val="en-US" w:eastAsia="zh-CN" w:bidi="ar-SA"/>
    </w:rPr>
  </w:style>
  <w:style w:type="paragraph" w:customStyle="1" w:styleId="26">
    <w:name w:val="段"/>
    <w:autoRedefine/>
    <w:qFormat/>
    <w:uiPriority w:val="99"/>
    <w:pPr>
      <w:autoSpaceDE w:val="0"/>
      <w:autoSpaceDN w:val="0"/>
      <w:spacing w:line="360" w:lineRule="auto"/>
      <w:ind w:firstLine="420" w:firstLineChars="200"/>
      <w:jc w:val="both"/>
    </w:pPr>
    <w:rPr>
      <w:rFonts w:ascii="宋体" w:hAnsi="Times New Roman" w:eastAsia="宋体" w:cs="宋体"/>
      <w:sz w:val="21"/>
      <w:szCs w:val="21"/>
      <w:lang w:val="en-US" w:eastAsia="zh-CN" w:bidi="ar-SA"/>
    </w:rPr>
  </w:style>
  <w:style w:type="paragraph" w:customStyle="1" w:styleId="27">
    <w:name w:val="附录章标题"/>
    <w:next w:val="26"/>
    <w:autoRedefine/>
    <w:qFormat/>
    <w:uiPriority w:val="99"/>
    <w:pPr>
      <w:numPr>
        <w:ilvl w:val="1"/>
        <w:numId w:val="1"/>
      </w:numPr>
      <w:wordWrap w:val="0"/>
      <w:overflowPunct w:val="0"/>
      <w:autoSpaceDE w:val="0"/>
      <w:spacing w:beforeLines="50" w:afterLines="50"/>
      <w:jc w:val="both"/>
      <w:textAlignment w:val="baseline"/>
      <w:outlineLvl w:val="1"/>
    </w:pPr>
    <w:rPr>
      <w:rFonts w:ascii="黑体" w:hAnsi="Times New Roman" w:eastAsia="黑体" w:cs="黑体"/>
      <w:kern w:val="21"/>
      <w:sz w:val="21"/>
      <w:szCs w:val="21"/>
      <w:lang w:val="en-US" w:eastAsia="zh-CN" w:bidi="ar-SA"/>
    </w:rPr>
  </w:style>
  <w:style w:type="paragraph" w:customStyle="1" w:styleId="28">
    <w:name w:val="章标题"/>
    <w:next w:val="26"/>
    <w:autoRedefine/>
    <w:qFormat/>
    <w:uiPriority w:val="99"/>
    <w:pPr>
      <w:spacing w:beforeLines="50" w:afterLines="50"/>
      <w:jc w:val="both"/>
      <w:outlineLvl w:val="1"/>
    </w:pPr>
    <w:rPr>
      <w:rFonts w:ascii="黑体" w:hAnsi="Times New Roman" w:eastAsia="黑体" w:cs="黑体"/>
      <w:sz w:val="21"/>
      <w:szCs w:val="21"/>
      <w:lang w:val="en-US" w:eastAsia="zh-CN" w:bidi="ar-SA"/>
    </w:rPr>
  </w:style>
  <w:style w:type="paragraph" w:customStyle="1" w:styleId="29">
    <w:name w:val="二级条标题"/>
    <w:basedOn w:val="30"/>
    <w:next w:val="26"/>
    <w:autoRedefine/>
    <w:qFormat/>
    <w:uiPriority w:val="99"/>
    <w:pPr>
      <w:numPr>
        <w:ilvl w:val="3"/>
        <w:numId w:val="2"/>
      </w:numPr>
      <w:outlineLvl w:val="3"/>
    </w:pPr>
  </w:style>
  <w:style w:type="paragraph" w:customStyle="1" w:styleId="30">
    <w:name w:val="一级条标题"/>
    <w:basedOn w:val="28"/>
    <w:next w:val="26"/>
    <w:autoRedefine/>
    <w:qFormat/>
    <w:uiPriority w:val="99"/>
    <w:pPr>
      <w:numPr>
        <w:ilvl w:val="1"/>
        <w:numId w:val="3"/>
      </w:numPr>
      <w:spacing w:beforeLines="0" w:afterLines="0" w:line="360" w:lineRule="auto"/>
    </w:pPr>
  </w:style>
  <w:style w:type="paragraph" w:customStyle="1" w:styleId="31">
    <w:name w:val="附录二级条标题"/>
    <w:basedOn w:val="1"/>
    <w:next w:val="26"/>
    <w:autoRedefine/>
    <w:qFormat/>
    <w:uiPriority w:val="99"/>
    <w:pPr>
      <w:widowControl/>
      <w:numPr>
        <w:ilvl w:val="3"/>
        <w:numId w:val="1"/>
      </w:numPr>
      <w:wordWrap w:val="0"/>
      <w:overflowPunct w:val="0"/>
      <w:autoSpaceDE w:val="0"/>
      <w:autoSpaceDN w:val="0"/>
      <w:textAlignment w:val="baseline"/>
      <w:outlineLvl w:val="3"/>
    </w:pPr>
    <w:rPr>
      <w:rFonts w:cs="黑体"/>
      <w:kern w:val="21"/>
    </w:rPr>
  </w:style>
  <w:style w:type="paragraph" w:customStyle="1" w:styleId="32">
    <w:name w:val="列项——（一级）"/>
    <w:autoRedefine/>
    <w:qFormat/>
    <w:uiPriority w:val="99"/>
    <w:pPr>
      <w:widowControl w:val="0"/>
      <w:tabs>
        <w:tab w:val="left" w:pos="854"/>
      </w:tabs>
      <w:ind w:left="840" w:leftChars="200" w:hanging="420" w:hangingChars="200"/>
      <w:jc w:val="both"/>
    </w:pPr>
    <w:rPr>
      <w:rFonts w:ascii="宋体" w:hAnsi="Times New Roman" w:eastAsia="宋体" w:cs="宋体"/>
      <w:sz w:val="21"/>
      <w:szCs w:val="21"/>
      <w:lang w:val="en-US" w:eastAsia="zh-CN" w:bidi="ar-SA"/>
    </w:rPr>
  </w:style>
  <w:style w:type="paragraph" w:customStyle="1" w:styleId="33">
    <w:name w:val="二级无"/>
    <w:basedOn w:val="29"/>
    <w:autoRedefine/>
    <w:qFormat/>
    <w:uiPriority w:val="99"/>
    <w:rPr>
      <w:rFonts w:ascii="宋体" w:eastAsia="宋体" w:cs="宋体"/>
    </w:rPr>
  </w:style>
  <w:style w:type="paragraph" w:customStyle="1" w:styleId="34">
    <w:name w:val="三级条标题"/>
    <w:basedOn w:val="29"/>
    <w:next w:val="26"/>
    <w:autoRedefine/>
    <w:qFormat/>
    <w:uiPriority w:val="99"/>
    <w:pPr>
      <w:numPr>
        <w:ilvl w:val="4"/>
      </w:numPr>
      <w:outlineLvl w:val="4"/>
    </w:pPr>
  </w:style>
  <w:style w:type="paragraph" w:styleId="35">
    <w:name w:val="List Paragraph"/>
    <w:basedOn w:val="1"/>
    <w:autoRedefine/>
    <w:qFormat/>
    <w:uiPriority w:val="99"/>
    <w:pPr>
      <w:numPr>
        <w:ilvl w:val="0"/>
        <w:numId w:val="3"/>
      </w:numPr>
    </w:pPr>
  </w:style>
  <w:style w:type="paragraph" w:customStyle="1" w:styleId="36">
    <w:name w:val="三级无"/>
    <w:basedOn w:val="34"/>
    <w:autoRedefine/>
    <w:qFormat/>
    <w:uiPriority w:val="99"/>
    <w:pPr>
      <w:numPr>
        <w:ilvl w:val="0"/>
        <w:numId w:val="0"/>
      </w:numPr>
    </w:pPr>
    <w:rPr>
      <w:rFonts w:ascii="宋体" w:eastAsia="宋体" w:cs="宋体"/>
    </w:rPr>
  </w:style>
  <w:style w:type="character" w:customStyle="1" w:styleId="37">
    <w:name w:val="fontstyle01"/>
    <w:autoRedefine/>
    <w:qFormat/>
    <w:uiPriority w:val="99"/>
    <w:rPr>
      <w:rFonts w:ascii="黑体" w:hAnsi="宋体" w:eastAsia="黑体" w:cs="黑体"/>
      <w:color w:val="auto"/>
      <w:sz w:val="32"/>
      <w:szCs w:val="32"/>
    </w:rPr>
  </w:style>
  <w:style w:type="character" w:customStyle="1" w:styleId="38">
    <w:name w:val="fontstyle11"/>
    <w:autoRedefine/>
    <w:qFormat/>
    <w:uiPriority w:val="99"/>
    <w:rPr>
      <w:rFonts w:ascii="ArialMT" w:hAnsi="ArialMT" w:cs="ArialMT"/>
      <w:color w:val="auto"/>
      <w:sz w:val="32"/>
      <w:szCs w:val="32"/>
    </w:rPr>
  </w:style>
  <w:style w:type="paragraph" w:styleId="39">
    <w:name w:val="No Spacing"/>
    <w:link w:val="40"/>
    <w:autoRedefine/>
    <w:qFormat/>
    <w:uiPriority w:val="99"/>
    <w:rPr>
      <w:rFonts w:ascii="Calibri" w:hAnsi="Calibri" w:eastAsia="宋体" w:cs="Calibri"/>
      <w:sz w:val="22"/>
      <w:szCs w:val="22"/>
      <w:lang w:val="en-US" w:eastAsia="zh-CN" w:bidi="ar-SA"/>
    </w:rPr>
  </w:style>
  <w:style w:type="character" w:customStyle="1" w:styleId="40">
    <w:name w:val="无间隔 字符"/>
    <w:link w:val="39"/>
    <w:autoRedefine/>
    <w:qFormat/>
    <w:locked/>
    <w:uiPriority w:val="99"/>
    <w:rPr>
      <w:rFonts w:cs="Calibri"/>
      <w:sz w:val="22"/>
      <w:szCs w:val="22"/>
      <w:lang w:val="en-US" w:eastAsia="zh-CN" w:bidi="ar-SA"/>
    </w:rPr>
  </w:style>
  <w:style w:type="character" w:customStyle="1" w:styleId="41">
    <w:name w:val="Char Char7"/>
    <w:autoRedefine/>
    <w:qFormat/>
    <w:uiPriority w:val="99"/>
    <w:rPr>
      <w:rFonts w:eastAsia="宋体"/>
      <w:kern w:val="2"/>
      <w:sz w:val="18"/>
      <w:szCs w:val="18"/>
      <w:lang w:val="en-US" w:eastAsia="zh-CN"/>
    </w:rPr>
  </w:style>
  <w:style w:type="paragraph" w:customStyle="1" w:styleId="42">
    <w:name w:val="附录一级条标题"/>
    <w:basedOn w:val="27"/>
    <w:next w:val="26"/>
    <w:autoRedefine/>
    <w:qFormat/>
    <w:uiPriority w:val="0"/>
    <w:pPr>
      <w:numPr>
        <w:ilvl w:val="2"/>
      </w:numPr>
      <w:autoSpaceDN w:val="0"/>
      <w:spacing w:beforeLines="0" w:afterLines="0"/>
      <w:outlineLvl w:val="2"/>
    </w:pPr>
  </w:style>
  <w:style w:type="paragraph" w:customStyle="1" w:styleId="43">
    <w:name w:val="列项●（二级）"/>
    <w:autoRedefine/>
    <w:qFormat/>
    <w:uiPriority w:val="0"/>
    <w:pPr>
      <w:numPr>
        <w:ilvl w:val="1"/>
        <w:numId w:val="4"/>
      </w:numPr>
      <w:tabs>
        <w:tab w:val="left" w:pos="840"/>
        <w:tab w:val="clear" w:pos="760"/>
      </w:tabs>
      <w:jc w:val="both"/>
    </w:pPr>
    <w:rPr>
      <w:rFonts w:ascii="宋体" w:hAnsi="Times New Roman" w:eastAsia="宋体" w:cs="Times New Roman"/>
      <w:sz w:val="21"/>
      <w:lang w:val="en-US" w:eastAsia="zh-CN" w:bidi="ar-SA"/>
    </w:rPr>
  </w:style>
  <w:style w:type="paragraph" w:customStyle="1" w:styleId="44">
    <w:name w:val="Default"/>
    <w:autoRedefine/>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45">
    <w:name w:val="脚注文本 字符"/>
    <w:link w:val="10"/>
    <w:autoRedefine/>
    <w:semiHidden/>
    <w:qFormat/>
    <w:uiPriority w:val="99"/>
    <w:rPr>
      <w:rFonts w:ascii="Times New Roman" w:hAnsi="Times New Roman"/>
      <w:kern w:val="2"/>
      <w:sz w:val="18"/>
      <w:szCs w:val="18"/>
    </w:rPr>
  </w:style>
  <w:style w:type="character" w:customStyle="1" w:styleId="46">
    <w:name w:val="批注主题 字符"/>
    <w:link w:val="11"/>
    <w:autoRedefine/>
    <w:semiHidden/>
    <w:qFormat/>
    <w:uiPriority w:val="99"/>
    <w:rPr>
      <w:rFonts w:ascii="Times New Roman" w:hAnsi="Times New Roman" w:eastAsia="宋体" w:cs="Times New Roman"/>
      <w:b/>
      <w:bCs/>
      <w:kern w:val="2"/>
      <w:sz w:val="21"/>
      <w:szCs w:val="21"/>
    </w:rPr>
  </w:style>
  <w:style w:type="paragraph" w:customStyle="1" w:styleId="47">
    <w:name w:val="修订1"/>
    <w:autoRedefine/>
    <w:hidden/>
    <w:unhideWhenUsed/>
    <w:qFormat/>
    <w:uiPriority w:val="99"/>
    <w:rPr>
      <w:rFonts w:ascii="Times New Roman" w:hAnsi="Times New Roman" w:eastAsia="宋体" w:cs="Times New Roman"/>
      <w:kern w:val="2"/>
      <w:sz w:val="21"/>
      <w:szCs w:val="21"/>
      <w:lang w:val="en-US" w:eastAsia="zh-CN" w:bidi="ar-SA"/>
    </w:rPr>
  </w:style>
  <w:style w:type="character" w:customStyle="1" w:styleId="48">
    <w:name w:val="标题 1 字符"/>
    <w:link w:val="2"/>
    <w:autoRedefine/>
    <w:qFormat/>
    <w:uiPriority w:val="0"/>
    <w:rPr>
      <w:b/>
      <w:bCs/>
      <w:kern w:val="44"/>
      <w:sz w:val="44"/>
      <w:szCs w:val="44"/>
    </w:rPr>
  </w:style>
  <w:style w:type="character" w:customStyle="1" w:styleId="49">
    <w:name w:val="页脚 字符"/>
    <w:autoRedefine/>
    <w:qFormat/>
    <w:uiPriority w:val="99"/>
  </w:style>
  <w:style w:type="character" w:customStyle="1" w:styleId="50">
    <w:name w:val="标题 2 字符"/>
    <w:basedOn w:val="14"/>
    <w:link w:val="3"/>
    <w:autoRedefine/>
    <w:qFormat/>
    <w:uiPriority w:val="9"/>
    <w:rPr>
      <w:rFonts w:asciiTheme="majorHAnsi" w:hAnsiTheme="majorHAnsi" w:eastAsiaTheme="majorEastAsia" w:cstheme="majorBidi"/>
      <w:b/>
      <w:bCs/>
      <w:kern w:val="2"/>
      <w:sz w:val="32"/>
      <w:szCs w:val="32"/>
    </w:rPr>
  </w:style>
  <w:style w:type="character" w:customStyle="1" w:styleId="51">
    <w:name w:val="标题 3 字符"/>
    <w:basedOn w:val="14"/>
    <w:link w:val="4"/>
    <w:autoRedefine/>
    <w:qFormat/>
    <w:uiPriority w:val="9"/>
    <w:rPr>
      <w:rFonts w:asciiTheme="minorHAnsi" w:hAnsiTheme="minorHAnsi" w:eastAsiaTheme="minorEastAsia" w:cstheme="minorBidi"/>
      <w:b/>
      <w:bCs/>
      <w:kern w:val="2"/>
      <w:sz w:val="32"/>
      <w:szCs w:val="32"/>
    </w:rPr>
  </w:style>
  <w:style w:type="paragraph" w:customStyle="1" w:styleId="52">
    <w:name w:val="修订2"/>
    <w:autoRedefine/>
    <w:hidden/>
    <w:unhideWhenUsed/>
    <w:qFormat/>
    <w:uiPriority w:val="99"/>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E6D49B3D-EA55-452B-BD19-3CA37E9F273F}">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13</Pages>
  <Words>1509</Words>
  <Characters>8605</Characters>
  <Lines>71</Lines>
  <Paragraphs>20</Paragraphs>
  <TotalTime>552</TotalTime>
  <ScaleCrop>false</ScaleCrop>
  <LinksUpToDate>false</LinksUpToDate>
  <CharactersWithSpaces>10094</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2024-07-26T17:28:00Z</dcterms:created>
  <dc:creator>姚渊</dc:creator>
  <cp:lastModifiedBy>姚汉杰</cp:lastModifiedBy>
  <cp:lastPrinted>2021-11-12T15:08:00Z</cp:lastPrinted>
  <dcterms:modified xsi:type="dcterms:W3CDTF">2026-03-18T15:18:36Z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F2BEA6912657E2AACC51BA69FA6C1CEB_43</vt:lpwstr>
  </property>
  <property fmtid="{D5CDD505-2E9C-101B-9397-08002B2CF9AE}" pid="4" name="KSOTemplateDocerSaveRecord">
    <vt:lpwstr>eyJoZGlkIjoiOWU0NmZlYzFkOGQ5MTZlZjQ1ZTdmZjk0YTU1ZmNkZmQiLCJ1c2VySWQiOiI2NTUwMDIyNDIifQ==</vt:lpwstr>
  </property>
</Properties>
</file>