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03EF7BB">
      <w:pPr>
        <w:snapToGrid w:val="0"/>
        <w:spacing w:line="660" w:lineRule="exact"/>
        <w:jc w:val="center"/>
        <w:rPr>
          <w:rFonts w:ascii="方正小标宋简体" w:hAnsi="Times New Roman" w:eastAsia="方正小标宋简体" w:cs="Times New Roman"/>
          <w:bCs/>
          <w:spacing w:val="-6"/>
          <w:sz w:val="44"/>
          <w:szCs w:val="21"/>
        </w:rPr>
      </w:pPr>
      <w:r>
        <w:rPr>
          <w:rFonts w:hint="eastAsia" w:ascii="方正小标宋简体" w:hAnsi="Times New Roman" w:eastAsia="方正小标宋简体" w:cs="Times New Roman"/>
          <w:bCs/>
          <w:spacing w:val="-6"/>
          <w:sz w:val="44"/>
          <w:szCs w:val="21"/>
        </w:rPr>
        <w:t>关于采购2026年全站柴油发电机维护保养耗材和服务的请示</w:t>
      </w:r>
    </w:p>
    <w:p w14:paraId="6B224D6E">
      <w:pPr>
        <w:snapToGrid w:val="0"/>
        <w:spacing w:line="660" w:lineRule="exact"/>
        <w:jc w:val="center"/>
        <w:rPr>
          <w:rFonts w:ascii="方正小标宋简体" w:hAnsi="Times New Roman" w:eastAsia="方正小标宋简体" w:cs="Times New Roman"/>
          <w:bCs/>
          <w:spacing w:val="-6"/>
          <w:sz w:val="44"/>
          <w:szCs w:val="21"/>
        </w:rPr>
      </w:pPr>
    </w:p>
    <w:p w14:paraId="02F77BBF">
      <w:pPr>
        <w:spacing w:line="560" w:lineRule="exact"/>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民航深圳空管站：</w:t>
      </w:r>
    </w:p>
    <w:p w14:paraId="5B6950B4">
      <w:pPr>
        <w:spacing w:line="560" w:lineRule="exact"/>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柴油发电机是塔台、运行业务楼等核心场所市电中断时应急供电的关键保障设备，其运行可靠性直接关乎全站设施设备安全稳定运行及空管核心业务正常开展。为确保全站柴油发电机始终保持良好技术状态，具备随时可靠启动、稳定带载的应急供电能力，技术保障部拟组织开展2</w:t>
      </w:r>
      <w:r>
        <w:rPr>
          <w:rFonts w:ascii="仿宋_GB2312" w:hAnsi="Times New Roman" w:eastAsia="仿宋_GB2312" w:cs="Times New Roman"/>
          <w:spacing w:val="-6"/>
          <w:sz w:val="32"/>
          <w:szCs w:val="32"/>
        </w:rPr>
        <w:t>026</w:t>
      </w:r>
      <w:r>
        <w:rPr>
          <w:rFonts w:hint="eastAsia" w:ascii="仿宋_GB2312" w:hAnsi="Times New Roman" w:eastAsia="仿宋_GB2312" w:cs="Times New Roman"/>
          <w:spacing w:val="-6"/>
          <w:sz w:val="32"/>
          <w:szCs w:val="32"/>
        </w:rPr>
        <w:t>年全站柴油发电机维护保养工作，本次维保费用约3.4万元。</w:t>
      </w:r>
    </w:p>
    <w:p w14:paraId="5BDFCCBC">
      <w:pPr>
        <w:pStyle w:val="8"/>
        <w:spacing w:line="560" w:lineRule="exact"/>
        <w:ind w:firstLine="609" w:firstLineChars="198"/>
        <w:rPr>
          <w:rFonts w:ascii="黑体" w:hAnsi="黑体" w:eastAsia="黑体"/>
          <w:sz w:val="32"/>
          <w:szCs w:val="32"/>
        </w:rPr>
      </w:pPr>
      <w:r>
        <w:rPr>
          <w:rFonts w:hint="eastAsia" w:ascii="黑体" w:hAnsi="黑体" w:eastAsia="黑体"/>
          <w:sz w:val="32"/>
          <w:szCs w:val="32"/>
        </w:rPr>
        <w:t>一、</w:t>
      </w:r>
      <w:bookmarkStart w:id="0" w:name="_GoBack"/>
      <w:bookmarkEnd w:id="0"/>
      <w:r>
        <w:rPr>
          <w:rFonts w:hint="eastAsia" w:ascii="黑体" w:hAnsi="黑体" w:eastAsia="黑体"/>
          <w:sz w:val="32"/>
          <w:szCs w:val="32"/>
        </w:rPr>
        <w:t>必要性分析</w:t>
      </w:r>
    </w:p>
    <w:p w14:paraId="09DE3B47">
      <w:pPr>
        <w:spacing w:line="560" w:lineRule="exact"/>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依据《民用航空通信导航监视运行保障与维护维修规程》（AP-115-TM-2016-01）第四十八条规定，运行保障单位需结合设备厂家维护手册及设备实际运行状况，规范开展设备维护维修工作。柴油发电机厂家技术规范要求，机油、柴油滤清器、机油滤清器等关键耗材需按“累计运行500小时或每年更换一次，以先到者为准”的周期进行保养。</w:t>
      </w:r>
    </w:p>
    <w:p w14:paraId="0F728FE2">
      <w:pPr>
        <w:spacing w:line="560" w:lineRule="exact"/>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我站柴油发电机为应急供电专用设备，日常开展周期性试机维护（每周空载试机约10分钟、每季带载试机约30分钟），年累计运行时长远低于500小时，且设备机房环境整洁、温湿度适宜。结合设备实际使用强度、运行环境及历年维保经验，我站采用“两年一次”的维保周期，既契合厂家技术规范基本原则，也符合民航规章“结合实际开展维护”的要求，兼具合规性、合理性与经济性。</w:t>
      </w:r>
    </w:p>
    <w:p w14:paraId="6CE3F653">
      <w:pPr>
        <w:spacing w:line="560" w:lineRule="exact"/>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目前全站14台柴油发电机均已达到既定两年维保周期，设备机油存在氧化变质、杂质沉积等潜在问题，若不及时更换，将导致机组润滑性能下降、核心部件磨损加剧、油泥淤积等故障，直接影响设备应急启动可靠性。通过开展全面标准化维保，更换老化耗材，并对冷却系统、燃油系统等关键部位进行专业检查调试，可消除各类潜在隐患，确保市电中断等紧急情况下，发电机能够快速、安全、可靠投入运行，筑牢空管供电安全防线。</w:t>
      </w:r>
    </w:p>
    <w:p w14:paraId="0208090A">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综上所述，采购2026年全站柴油发电机维护保养耗材及服务是十分必要的。</w:t>
      </w:r>
    </w:p>
    <w:p w14:paraId="347D7EF3">
      <w:pPr>
        <w:pStyle w:val="8"/>
        <w:spacing w:line="560" w:lineRule="exact"/>
        <w:ind w:firstLine="609" w:firstLineChars="198"/>
        <w:rPr>
          <w:rFonts w:ascii="黑体" w:hAnsi="黑体" w:eastAsia="黑体"/>
          <w:sz w:val="32"/>
          <w:szCs w:val="32"/>
        </w:rPr>
      </w:pPr>
      <w:r>
        <w:rPr>
          <w:rFonts w:hint="eastAsia" w:ascii="黑体" w:hAnsi="黑体" w:eastAsia="黑体"/>
          <w:sz w:val="32"/>
          <w:szCs w:val="32"/>
        </w:rPr>
        <w:t>二、维护保养主要内容</w:t>
      </w:r>
    </w:p>
    <w:p w14:paraId="09962A8C">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拟对全站14台柴油发电机开展维护保养，主要工作内容如下：</w:t>
      </w:r>
    </w:p>
    <w:p w14:paraId="330F8284">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（一）更换发动机专用机油、柴油滤清器、机油滤清器等核心耗材；</w:t>
      </w:r>
    </w:p>
    <w:p w14:paraId="5F0F01DA">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（二）检查机组冷却系统，排查冷却液渗漏、管路老化、阀门故障等问题并及时处理；</w:t>
      </w:r>
    </w:p>
    <w:p w14:paraId="08CCD458">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（三）检查燃油系统整体密封性，消除管路渗漏、滤芯堵塞、接头松动等安全隐患；</w:t>
      </w:r>
    </w:p>
    <w:p w14:paraId="57A25779">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（四）检查传动皮带松紧度及磨损、开裂情况，必要时进行调整或更换；</w:t>
      </w:r>
    </w:p>
    <w:p w14:paraId="7E2EDEA7">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（五）检查排气管路密封性与固定状态，消除漏气、松动、腐蚀等问题；</w:t>
      </w:r>
    </w:p>
    <w:p w14:paraId="1BA70027">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（六）全面检查机组各部位紧固件紧固状态，对松动部件进行加固，确保机组结构稳定；</w:t>
      </w:r>
    </w:p>
    <w:p w14:paraId="6AE0B9A3">
      <w:pPr>
        <w:ind w:firstLine="616" w:firstLineChars="2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（七）完成维保后开展机组空载、带载全流程测试，验证设备启动性能、运行稳定性及供电质量。</w:t>
      </w:r>
    </w:p>
    <w:p w14:paraId="50595DAC">
      <w:pPr>
        <w:pStyle w:val="8"/>
        <w:spacing w:line="560" w:lineRule="exact"/>
        <w:ind w:firstLine="609" w:firstLineChars="198"/>
        <w:rPr>
          <w:rFonts w:ascii="黑体" w:hAnsi="黑体" w:eastAsia="黑体"/>
          <w:sz w:val="32"/>
          <w:szCs w:val="32"/>
        </w:rPr>
      </w:pPr>
      <w:r>
        <w:rPr>
          <w:rFonts w:hint="eastAsia" w:ascii="黑体" w:hAnsi="黑体" w:eastAsia="黑体"/>
          <w:sz w:val="32"/>
          <w:szCs w:val="32"/>
        </w:rPr>
        <w:t>三、资金规模及来源</w:t>
      </w:r>
    </w:p>
    <w:p w14:paraId="215CA52F">
      <w:pPr>
        <w:pStyle w:val="8"/>
        <w:spacing w:line="560" w:lineRule="exact"/>
        <w:ind w:firstLine="609" w:firstLineChars="198"/>
        <w:rPr>
          <w:rFonts w:ascii="黑体" w:hAnsi="黑体" w:eastAsia="黑体" w:cs="黑体"/>
          <w:sz w:val="32"/>
          <w:szCs w:val="32"/>
        </w:rPr>
      </w:pPr>
      <w:r>
        <w:rPr>
          <w:rFonts w:hint="eastAsia" w:ascii="仿宋_GB2312" w:hAnsi="仿宋_GB2312" w:eastAsia="仿宋_GB2312" w:cs="仿宋_GB2312"/>
          <w:sz w:val="32"/>
          <w:szCs w:val="32"/>
        </w:rPr>
        <w:t>本次维保费用为</w:t>
      </w:r>
      <w:r>
        <w:rPr>
          <w:rFonts w:ascii="仿宋_GB2312" w:hAnsi="仿宋_GB2312" w:eastAsia="仿宋_GB2312" w:cs="仿宋_GB2312"/>
          <w:sz w:val="32"/>
          <w:szCs w:val="32"/>
        </w:rPr>
        <w:t>33360.40</w:t>
      </w:r>
      <w:r>
        <w:rPr>
          <w:rFonts w:hint="eastAsia" w:ascii="仿宋_GB2312" w:hAnsi="仿宋_GB2312" w:eastAsia="仿宋_GB2312" w:cs="仿宋_GB2312"/>
          <w:sz w:val="32"/>
          <w:szCs w:val="32"/>
        </w:rPr>
        <w:t>元，拟使用2026年预算“维修（护）费-设备维修费</w:t>
      </w:r>
      <w:r>
        <w:rPr>
          <w:rFonts w:ascii="仿宋_GB2312" w:hAnsi="仿宋_GB2312" w:eastAsia="仿宋_GB2312" w:cs="仿宋_GB2312"/>
          <w:sz w:val="32"/>
          <w:szCs w:val="32"/>
        </w:rPr>
        <w:t>-</w:t>
      </w:r>
      <w:r>
        <w:rPr>
          <w:rFonts w:hint="eastAsia" w:ascii="仿宋_GB2312" w:hAnsi="仿宋_GB2312" w:eastAsia="仿宋_GB2312" w:cs="仿宋_GB2312"/>
          <w:sz w:val="32"/>
          <w:szCs w:val="32"/>
        </w:rPr>
        <w:t>通信导航监视类”科目中的“柴油发电机维保”项费用。</w:t>
      </w:r>
    </w:p>
    <w:p w14:paraId="115EB000">
      <w:pPr>
        <w:pStyle w:val="8"/>
        <w:spacing w:line="560" w:lineRule="exact"/>
        <w:ind w:firstLine="609" w:firstLineChars="198"/>
        <w:rPr>
          <w:rFonts w:ascii="黑体" w:hAnsi="黑体" w:eastAsia="黑体"/>
          <w:sz w:val="32"/>
          <w:szCs w:val="32"/>
        </w:rPr>
      </w:pPr>
      <w:r>
        <w:rPr>
          <w:rFonts w:hint="eastAsia" w:ascii="黑体" w:hAnsi="黑体" w:eastAsia="黑体"/>
          <w:sz w:val="32"/>
          <w:szCs w:val="32"/>
        </w:rPr>
        <w:t>四、采购及实施方式</w:t>
      </w:r>
    </w:p>
    <w:p w14:paraId="24AD07AB">
      <w:pPr>
        <w:spacing w:line="560" w:lineRule="exact"/>
        <w:ind w:firstLine="616" w:firstLineChars="200"/>
        <w:rPr>
          <w:rFonts w:ascii="黑体" w:hAnsi="黑体" w:eastAsia="黑体" w:cs="黑体"/>
          <w:spacing w:val="-6"/>
          <w:sz w:val="32"/>
          <w:szCs w:val="32"/>
        </w:rPr>
      </w:pPr>
      <w:r>
        <w:rPr>
          <w:rFonts w:hint="eastAsia" w:ascii="仿宋_GB2312" w:hAnsi="仿宋_GB2312" w:eastAsia="仿宋_GB2312" w:cs="仿宋_GB2312"/>
          <w:spacing w:val="-6"/>
          <w:sz w:val="32"/>
          <w:szCs w:val="32"/>
        </w:rPr>
        <w:t>按照深圳空管站《直接采购、比选采购和询价采购实施管理规定》相关管理规定，经市场调研比价，拟向质优价廉的深圳新源动力设备有限公司直接采购维保服务。</w:t>
      </w:r>
    </w:p>
    <w:p w14:paraId="10981064">
      <w:pPr>
        <w:pStyle w:val="8"/>
        <w:spacing w:line="560" w:lineRule="exact"/>
        <w:ind w:firstLine="609" w:firstLineChars="198"/>
        <w:rPr>
          <w:rFonts w:ascii="黑体" w:hAnsi="黑体" w:eastAsia="黑体"/>
          <w:sz w:val="32"/>
          <w:szCs w:val="32"/>
        </w:rPr>
      </w:pPr>
      <w:r>
        <w:rPr>
          <w:rFonts w:hint="eastAsia" w:ascii="黑体" w:hAnsi="黑体" w:eastAsia="黑体"/>
          <w:sz w:val="32"/>
          <w:szCs w:val="32"/>
        </w:rPr>
        <w:t>五、项目实施计划</w:t>
      </w:r>
    </w:p>
    <w:p w14:paraId="5E084649">
      <w:pPr>
        <w:ind w:firstLine="616" w:firstLineChars="200"/>
        <w:rPr>
          <w:rFonts w:ascii="仿宋_GB2312" w:hAnsi="仿宋" w:eastAsia="仿宋_GB2312" w:cs="Times New Roman"/>
          <w:spacing w:val="-6"/>
          <w:sz w:val="32"/>
          <w:szCs w:val="32"/>
        </w:rPr>
      </w:pPr>
      <w:r>
        <w:rPr>
          <w:rFonts w:hint="eastAsia" w:ascii="仿宋_GB2312" w:hAnsi="仿宋_GB2312" w:eastAsia="仿宋_GB2312" w:cs="仿宋_GB2312"/>
          <w:spacing w:val="-6"/>
          <w:sz w:val="32"/>
          <w:szCs w:val="32"/>
        </w:rPr>
        <w:t>本项目经空管站审核批准后，由技术保障部作为主办部门牵头实施，计划基建部、财务部协办，于</w:t>
      </w:r>
      <w:r>
        <w:rPr>
          <w:rFonts w:ascii="仿宋_GB2312" w:hAnsi="仿宋_GB2312" w:eastAsia="仿宋_GB2312" w:cs="仿宋_GB2312"/>
          <w:spacing w:val="-6"/>
          <w:sz w:val="32"/>
          <w:szCs w:val="32"/>
        </w:rPr>
        <w:t>4</w:t>
      </w:r>
      <w:r>
        <w:rPr>
          <w:rFonts w:hint="eastAsia" w:ascii="仿宋_GB2312" w:hAnsi="仿宋_GB2312" w:eastAsia="仿宋_GB2312" w:cs="仿宋_GB2312"/>
          <w:spacing w:val="-6"/>
          <w:sz w:val="32"/>
          <w:szCs w:val="32"/>
        </w:rPr>
        <w:t>个月内完成</w:t>
      </w:r>
      <w:r>
        <w:rPr>
          <w:rFonts w:hint="eastAsia" w:ascii="仿宋_GB2312" w:hAnsi="仿宋" w:eastAsia="仿宋_GB2312" w:cs="Times New Roman"/>
          <w:spacing w:val="-6"/>
          <w:sz w:val="32"/>
          <w:szCs w:val="32"/>
        </w:rPr>
        <w:t>。</w:t>
      </w:r>
    </w:p>
    <w:p w14:paraId="6E2E5E6E">
      <w:pPr>
        <w:ind w:firstLine="616" w:firstLineChars="200"/>
        <w:rPr>
          <w:rFonts w:ascii="仿宋_GB2312" w:hAnsi="仿宋" w:eastAsia="仿宋_GB2312" w:cs="Times New Roman"/>
          <w:spacing w:val="-6"/>
          <w:sz w:val="32"/>
          <w:szCs w:val="32"/>
        </w:rPr>
      </w:pPr>
      <w:r>
        <w:rPr>
          <w:rFonts w:hint="eastAsia" w:ascii="仿宋_GB2312" w:hAnsi="仿宋" w:eastAsia="仿宋_GB2312" w:cs="Times New Roman"/>
          <w:spacing w:val="-6"/>
          <w:sz w:val="32"/>
          <w:szCs w:val="32"/>
        </w:rPr>
        <w:t>妥否，请批示。</w:t>
      </w:r>
    </w:p>
    <w:p w14:paraId="6B71DECF"/>
    <w:p w14:paraId="32A613F6">
      <w:pPr>
        <w:spacing w:line="560" w:lineRule="exact"/>
        <w:ind w:firstLine="600"/>
        <w:rPr>
          <w:rFonts w:ascii="仿宋_GB2312" w:hAnsi="Times New Roman" w:eastAsia="仿宋_GB2312" w:cs="Times New Roman"/>
          <w:spacing w:val="-6"/>
          <w:sz w:val="32"/>
          <w:szCs w:val="32"/>
        </w:rPr>
      </w:pPr>
      <w:r>
        <w:rPr>
          <w:rFonts w:hint="eastAsia" w:ascii="仿宋_GB2312" w:hAnsi="Times New Roman" w:eastAsia="仿宋_GB2312" w:cs="Times New Roman"/>
          <w:spacing w:val="-6"/>
          <w:sz w:val="32"/>
          <w:szCs w:val="32"/>
        </w:rPr>
        <w:t>附件：1</w:t>
      </w:r>
      <w:r>
        <w:rPr>
          <w:rFonts w:ascii="仿宋_GB2312" w:hAnsi="Times New Roman" w:eastAsia="仿宋_GB2312" w:cs="Times New Roman"/>
          <w:spacing w:val="-6"/>
          <w:sz w:val="32"/>
          <w:szCs w:val="32"/>
        </w:rPr>
        <w:t>.</w:t>
      </w:r>
      <w:r>
        <w:rPr>
          <w:rFonts w:hint="eastAsia" w:ascii="仿宋_GB2312" w:hAnsi="仿宋_GB2312" w:eastAsia="仿宋_GB2312" w:cs="仿宋_GB2312"/>
          <w:sz w:val="32"/>
          <w:szCs w:val="32"/>
        </w:rPr>
        <w:t>机油和滤芯耗材统计</w:t>
      </w:r>
    </w:p>
    <w:p w14:paraId="522EBBCD">
      <w:pPr>
        <w:ind w:firstLine="1540" w:firstLineChars="500"/>
        <w:rPr>
          <w:rFonts w:ascii="仿宋_GB2312" w:hAnsi="Times New Roman" w:eastAsia="仿宋_GB2312" w:cs="Times New Roman"/>
          <w:spacing w:val="-6"/>
          <w:sz w:val="32"/>
          <w:szCs w:val="32"/>
        </w:rPr>
      </w:pPr>
      <w:r>
        <w:rPr>
          <w:rFonts w:ascii="仿宋_GB2312" w:hAnsi="Times New Roman" w:eastAsia="仿宋_GB2312" w:cs="Times New Roman"/>
          <w:spacing w:val="-6"/>
          <w:sz w:val="32"/>
          <w:szCs w:val="32"/>
        </w:rPr>
        <w:t>2.</w:t>
      </w:r>
      <w:r>
        <w:rPr>
          <w:rFonts w:hint="eastAsia" w:ascii="仿宋_GB2312" w:hAnsi="仿宋_GB2312" w:eastAsia="仿宋_GB2312" w:cs="仿宋_GB2312"/>
          <w:spacing w:val="-6"/>
          <w:sz w:val="32"/>
          <w:szCs w:val="32"/>
        </w:rPr>
        <w:t>采购价格查询情况记录表</w:t>
      </w:r>
    </w:p>
    <w:p w14:paraId="7E1389FE">
      <w:pPr>
        <w:ind w:firstLine="1540" w:firstLineChars="500"/>
        <w:rPr>
          <w:rFonts w:ascii="仿宋_GB2312" w:hAnsi="Times New Roman" w:eastAsia="仿宋_GB2312" w:cs="Times New Roman"/>
          <w:spacing w:val="-6"/>
          <w:sz w:val="32"/>
          <w:szCs w:val="32"/>
        </w:rPr>
      </w:pPr>
      <w:r>
        <w:rPr>
          <w:rFonts w:ascii="仿宋_GB2312" w:hAnsi="Times New Roman" w:eastAsia="仿宋_GB2312" w:cs="Times New Roman"/>
          <w:spacing w:val="-6"/>
          <w:sz w:val="32"/>
          <w:szCs w:val="32"/>
        </w:rPr>
        <w:t>3.</w:t>
      </w:r>
      <w:r>
        <w:rPr>
          <w:rFonts w:hint="eastAsia" w:ascii="仿宋_GB2312" w:hAnsi="仿宋_GB2312" w:eastAsia="仿宋_GB2312" w:cs="仿宋_GB2312"/>
          <w:spacing w:val="-6"/>
          <w:sz w:val="32"/>
          <w:szCs w:val="32"/>
        </w:rPr>
        <w:t>三家报价单</w:t>
      </w:r>
    </w:p>
    <w:p w14:paraId="29C61840"/>
    <w:p w14:paraId="79219D71"/>
    <w:p w14:paraId="72EF07B0"/>
    <w:p w14:paraId="1A9005F1">
      <w:pPr>
        <w:wordWrap w:val="0"/>
        <w:spacing w:line="560" w:lineRule="exact"/>
        <w:ind w:right="308" w:firstLine="1580" w:firstLineChars="494"/>
        <w:jc w:val="right"/>
        <w:rPr>
          <w:rFonts w:ascii="仿宋_GB2312" w:eastAsia="仿宋_GB2312"/>
          <w:sz w:val="32"/>
          <w:szCs w:val="32"/>
        </w:rPr>
      </w:pPr>
      <w:r>
        <w:rPr>
          <w:rFonts w:hint="eastAsia" w:ascii="仿宋_GB2312" w:eastAsia="仿宋_GB2312"/>
          <w:sz w:val="32"/>
          <w:szCs w:val="32"/>
        </w:rPr>
        <w:t xml:space="preserve"> </w:t>
      </w:r>
      <w:r>
        <w:rPr>
          <w:rFonts w:ascii="仿宋_GB2312" w:eastAsia="仿宋_GB2312"/>
          <w:sz w:val="32"/>
          <w:szCs w:val="32"/>
        </w:rPr>
        <w:t xml:space="preserve">    </w:t>
      </w:r>
      <w:r>
        <w:rPr>
          <w:rFonts w:hint="eastAsia" w:ascii="仿宋_GB2312" w:eastAsia="仿宋_GB2312"/>
          <w:sz w:val="32"/>
          <w:szCs w:val="32"/>
        </w:rPr>
        <w:t xml:space="preserve">技术保障部       </w:t>
      </w:r>
    </w:p>
    <w:p w14:paraId="3F9CF412">
      <w:pPr>
        <w:ind w:firstLine="4800" w:firstLineChars="1500"/>
      </w:pPr>
      <w:r>
        <w:rPr>
          <w:rFonts w:hint="eastAsia" w:ascii="仿宋_GB2312" w:eastAsia="仿宋_GB2312"/>
          <w:sz w:val="32"/>
          <w:szCs w:val="32"/>
        </w:rPr>
        <w:t>20</w:t>
      </w:r>
      <w:r>
        <w:rPr>
          <w:rFonts w:ascii="仿宋_GB2312" w:eastAsia="仿宋_GB2312"/>
          <w:sz w:val="32"/>
          <w:szCs w:val="32"/>
        </w:rPr>
        <w:t>26</w:t>
      </w:r>
      <w:r>
        <w:rPr>
          <w:rFonts w:hint="eastAsia" w:ascii="仿宋_GB2312" w:eastAsia="仿宋_GB2312"/>
          <w:sz w:val="32"/>
          <w:szCs w:val="32"/>
        </w:rPr>
        <w:t>年</w:t>
      </w:r>
      <w:r>
        <w:rPr>
          <w:rFonts w:ascii="仿宋_GB2312" w:eastAsia="仿宋_GB2312"/>
          <w:sz w:val="32"/>
          <w:szCs w:val="32"/>
        </w:rPr>
        <w:t>3</w:t>
      </w:r>
      <w:r>
        <w:rPr>
          <w:rFonts w:hint="eastAsia" w:ascii="仿宋_GB2312" w:eastAsia="仿宋_GB2312"/>
          <w:sz w:val="32"/>
          <w:szCs w:val="32"/>
        </w:rPr>
        <w:t>月</w:t>
      </w:r>
      <w:r>
        <w:rPr>
          <w:rFonts w:ascii="仿宋_GB2312" w:eastAsia="仿宋_GB2312"/>
          <w:sz w:val="32"/>
          <w:szCs w:val="32"/>
        </w:rPr>
        <w:t>10</w:t>
      </w:r>
      <w:r>
        <w:rPr>
          <w:rFonts w:hint="eastAsia" w:ascii="仿宋_GB2312" w:eastAsia="仿宋_GB2312"/>
          <w:sz w:val="32"/>
          <w:szCs w:val="32"/>
        </w:rPr>
        <w:t>日</w:t>
      </w:r>
    </w:p>
    <w:p w14:paraId="35F55FA2"/>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方正小标宋简体">
    <w:panose1 w:val="02000000000000000000"/>
    <w:charset w:val="86"/>
    <w:family w:val="script"/>
    <w:pitch w:val="default"/>
    <w:sig w:usb0="00000001" w:usb1="08000000" w:usb2="00000000" w:usb3="00000000" w:csb0="00040000" w:csb1="00000000"/>
  </w:font>
  <w:font w:name="仿宋_GB2312">
    <w:altName w:val="方正仿宋_GBK"/>
    <w:panose1 w:val="02010609030101010101"/>
    <w:charset w:val="86"/>
    <w:family w:val="modern"/>
    <w:pitch w:val="default"/>
    <w:sig w:usb0="00000000" w:usb1="00000000" w:usb2="00000000" w:usb3="00000000" w:csb0="00040000" w:csb1="00000000"/>
  </w:font>
  <w:font w:name="仿宋">
    <w:altName w:val="方正仿宋_GBK"/>
    <w:panose1 w:val="02010609060101010101"/>
    <w:charset w:val="86"/>
    <w:family w:val="modern"/>
    <w:pitch w:val="default"/>
    <w:sig w:usb0="00000000" w:usb1="00000000" w:usb2="00000016" w:usb3="00000000" w:csb0="00040001" w:csb1="00000000"/>
  </w:font>
  <w:font w:name="汉仪书宋二KW">
    <w:panose1 w:val="00020600040101010101"/>
    <w:charset w:val="86"/>
    <w:family w:val="auto"/>
    <w:pitch w:val="default"/>
    <w:sig w:usb0="A00002BF" w:usb1="18EF7CFA" w:usb2="00000016" w:usb3="00000000" w:csb0="00040000" w:csb1="00000000"/>
  </w:font>
  <w:font w:name="方正仿宋_GBK">
    <w:panose1 w:val="02000000000000000000"/>
    <w:charset w:val="86"/>
    <w:family w:val="auto"/>
    <w:pitch w:val="default"/>
    <w:sig w:usb0="A00002BF" w:usb1="38CF7CFA" w:usb2="00082016" w:usb3="00000000" w:csb0="00040001" w:csb1="00000000"/>
  </w:font>
  <w:font w:name="汉仪中黑KW">
    <w:panose1 w:val="00020600040101010101"/>
    <w:charset w:val="86"/>
    <w:family w:val="auto"/>
    <w:pitch w:val="default"/>
    <w:sig w:usb0="A00002BF" w:usb1="18EF7CFA" w:usb2="00000016" w:usb3="00000000" w:csb0="00040000" w:csb1="00000000"/>
  </w:font>
  <w:font w:name="Helvetica Neue">
    <w:panose1 w:val="02000503000000020004"/>
    <w:charset w:val="00"/>
    <w:family w:val="auto"/>
    <w:pitch w:val="default"/>
    <w:sig w:usb0="E50002FF" w:usb1="500079DB" w:usb2="00000010" w:usb3="00000000" w:csb0="00000000" w:csb1="00000000"/>
  </w:font>
  <w:font w:name="Kingsoft Sign">
    <w:panose1 w:val="05050102010706020507"/>
    <w:charset w:val="00"/>
    <w:family w:val="auto"/>
    <w:pitch w:val="default"/>
    <w:sig w:usb0="00000000" w:usb1="10000000" w:usb2="00000000" w:usb3="00000000" w:csb0="0000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40"/>
  <w:embedSystemFonts/>
  <w:bordersDoNotSurroundHeader w:val="1"/>
  <w:bordersDoNotSurroundFooter w:val="1"/>
  <w:documentProtection w:enforcement="0"/>
  <w:defaultTabStop w:val="420"/>
  <w:drawingGridVerticalSpacing w:val="156"/>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1D94"/>
    <w:rsid w:val="000A11EE"/>
    <w:rsid w:val="000B1CBF"/>
    <w:rsid w:val="00147302"/>
    <w:rsid w:val="00167D10"/>
    <w:rsid w:val="001A126E"/>
    <w:rsid w:val="002548AD"/>
    <w:rsid w:val="00271C23"/>
    <w:rsid w:val="002B2CDC"/>
    <w:rsid w:val="0045374A"/>
    <w:rsid w:val="004A3800"/>
    <w:rsid w:val="005103E4"/>
    <w:rsid w:val="005F5E27"/>
    <w:rsid w:val="007117D0"/>
    <w:rsid w:val="00871176"/>
    <w:rsid w:val="008B1D94"/>
    <w:rsid w:val="008D1E27"/>
    <w:rsid w:val="009343BC"/>
    <w:rsid w:val="00A045C9"/>
    <w:rsid w:val="00A1114B"/>
    <w:rsid w:val="00A500D6"/>
    <w:rsid w:val="00B17A25"/>
    <w:rsid w:val="00BA358B"/>
    <w:rsid w:val="00BD7396"/>
    <w:rsid w:val="00CA73B3"/>
    <w:rsid w:val="00D13D75"/>
    <w:rsid w:val="00D22576"/>
    <w:rsid w:val="00D853D3"/>
    <w:rsid w:val="00DB4BBF"/>
    <w:rsid w:val="00E17A9C"/>
    <w:rsid w:val="00E62F8D"/>
    <w:rsid w:val="00ED3EB5"/>
    <w:rsid w:val="00EE215B"/>
    <w:rsid w:val="00EF5007"/>
    <w:rsid w:val="00F51C2C"/>
    <w:rsid w:val="7F9B038C"/>
    <w:rsid w:val="FDFD170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0"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5">
    <w:name w:val="Default Paragraph Font"/>
    <w:semiHidden/>
    <w:unhideWhenUsed/>
    <w:qFormat/>
    <w:uiPriority w:val="1"/>
  </w:style>
  <w:style w:type="table" w:default="1" w:styleId="4">
    <w:name w:val="Normal Table"/>
    <w:semiHidden/>
    <w:unhideWhenUsed/>
    <w:qFormat/>
    <w:uiPriority w:val="99"/>
    <w:tblPr>
      <w:tblCellMar>
        <w:top w:w="0" w:type="dxa"/>
        <w:left w:w="108" w:type="dxa"/>
        <w:bottom w:w="0" w:type="dxa"/>
        <w:right w:w="108" w:type="dxa"/>
      </w:tblCellMar>
    </w:tblPr>
  </w:style>
  <w:style w:type="paragraph" w:styleId="2">
    <w:name w:val="footer"/>
    <w:basedOn w:val="1"/>
    <w:link w:val="7"/>
    <w:qFormat/>
    <w:uiPriority w:val="0"/>
    <w:pPr>
      <w:tabs>
        <w:tab w:val="center" w:pos="4153"/>
        <w:tab w:val="right" w:pos="8306"/>
      </w:tabs>
      <w:snapToGrid w:val="0"/>
      <w:jc w:val="left"/>
    </w:pPr>
    <w:rPr>
      <w:sz w:val="18"/>
      <w:szCs w:val="18"/>
    </w:rPr>
  </w:style>
  <w:style w:type="paragraph" w:styleId="3">
    <w:name w:val="header"/>
    <w:basedOn w:val="1"/>
    <w:link w:val="6"/>
    <w:qFormat/>
    <w:uiPriority w:val="0"/>
    <w:pPr>
      <w:pBdr>
        <w:bottom w:val="single" w:color="auto" w:sz="6" w:space="1"/>
      </w:pBdr>
      <w:tabs>
        <w:tab w:val="center" w:pos="4153"/>
        <w:tab w:val="right" w:pos="8306"/>
      </w:tabs>
      <w:snapToGrid w:val="0"/>
      <w:jc w:val="center"/>
    </w:pPr>
    <w:rPr>
      <w:sz w:val="18"/>
      <w:szCs w:val="18"/>
    </w:rPr>
  </w:style>
  <w:style w:type="character" w:customStyle="1" w:styleId="6">
    <w:name w:val="页眉 字符"/>
    <w:basedOn w:val="5"/>
    <w:link w:val="3"/>
    <w:qFormat/>
    <w:uiPriority w:val="0"/>
    <w:rPr>
      <w:rFonts w:asciiTheme="minorHAnsi" w:hAnsiTheme="minorHAnsi" w:eastAsiaTheme="minorEastAsia" w:cstheme="minorBidi"/>
      <w:kern w:val="2"/>
      <w:sz w:val="18"/>
      <w:szCs w:val="18"/>
    </w:rPr>
  </w:style>
  <w:style w:type="character" w:customStyle="1" w:styleId="7">
    <w:name w:val="页脚 字符"/>
    <w:basedOn w:val="5"/>
    <w:link w:val="2"/>
    <w:qFormat/>
    <w:uiPriority w:val="0"/>
    <w:rPr>
      <w:rFonts w:asciiTheme="minorHAnsi" w:hAnsiTheme="minorHAnsi" w:eastAsiaTheme="minorEastAsia" w:cstheme="minorBidi"/>
      <w:kern w:val="2"/>
      <w:sz w:val="18"/>
      <w:szCs w:val="18"/>
    </w:rPr>
  </w:style>
  <w:style w:type="paragraph" w:styleId="8">
    <w:name w:val="List Paragraph"/>
    <w:basedOn w:val="1"/>
    <w:qFormat/>
    <w:uiPriority w:val="0"/>
    <w:pPr>
      <w:ind w:firstLine="420" w:firstLineChars="200"/>
    </w:pPr>
    <w:rPr>
      <w:rFonts w:ascii="Times New Roman" w:hAnsi="Times New Roman" w:eastAsia="宋体" w:cs="Times New Roman"/>
      <w:spacing w:val="-6"/>
      <w:szCs w:val="21"/>
    </w:rPr>
  </w:style>
</w:styles>
</file>

<file path=word/_rels/document.xml.rels><?xml version="1.0" encoding="UTF-8" standalone="yes"?>
<Relationships xmlns="http://schemas.openxmlformats.org/package/2006/relationships"><Relationship Id="rId4" Type="http://schemas.openxmlformats.org/officeDocument/2006/relationships/fontTable" Target="fontTable.xml"/><Relationship Id="rId3"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Normal.dotm</Template>
  <Pages>3</Pages>
  <Words>1272</Words>
  <Characters>1331</Characters>
  <Lines>9</Lines>
  <Paragraphs>2</Paragraphs>
  <TotalTime>37</TotalTime>
  <ScaleCrop>false</ScaleCrop>
  <LinksUpToDate>false</LinksUpToDate>
  <CharactersWithSpaces>1343</CharactersWithSpaces>
  <Application>WPS Office_12.1.25205.25205_F1E327BC-269C-435d-A152-05C5408002CA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2026-03-10T16:21:00Z</dcterms:created>
  <dc:creator>hansy</dc:creator>
  <cp:lastModifiedBy>姚汉杰</cp:lastModifiedBy>
  <dcterms:modified xsi:type="dcterms:W3CDTF">2026-03-15T16:23:31Z</dcterms:modified>
  <cp:revision>32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2052-12.1.25205.25205</vt:lpwstr>
  </property>
  <property fmtid="{D5CDD505-2E9C-101B-9397-08002B2CF9AE}" pid="3" name="KSOTemplateDocerSaveRecord">
    <vt:lpwstr>eyJoZGlkIjoiMzEwNTM5NzYwMDRjMzkwZTVkZjY2ODkwMGIxNGU0OTUiLCJ1c2VySWQiOiI1MzExNDI2NDYifQ==</vt:lpwstr>
  </property>
  <property fmtid="{D5CDD505-2E9C-101B-9397-08002B2CF9AE}" pid="4" name="ICV">
    <vt:lpwstr>C376D1129C918521836CB6698E779645_43</vt:lpwstr>
  </property>
</Properties>
</file>