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3E1AB" w14:textId="77777777" w:rsidR="00BE2473" w:rsidRDefault="00000000">
      <w:pPr>
        <w:pStyle w:val="Title"/>
      </w:pPr>
      <w:r>
        <w:t>FIT-SLM-HC: A Task–Technology Fit Framework for Identifying Tasks Suited to Small Language Models in Healthcare</w:t>
      </w:r>
    </w:p>
    <w:p w14:paraId="3ED51671" w14:textId="77777777" w:rsidR="00BE2473" w:rsidRDefault="00000000">
      <w:pPr>
        <w:pStyle w:val="Author"/>
      </w:pPr>
      <w:r>
        <w:t>Hants Williams</w:t>
      </w:r>
      <w:r>
        <w:rPr>
          <w:rStyle w:val="FootnoteReference"/>
        </w:rPr>
        <w:footnoteReference w:id="1"/>
      </w:r>
      <w:r>
        <w:br/>
        <w:t>Stony Brook University</w:t>
      </w:r>
      <w:r>
        <w:br/>
        <w:t>Stony Brook, New York, USA</w:t>
      </w:r>
    </w:p>
    <w:p w14:paraId="0FCAC52B" w14:textId="77777777" w:rsidR="00BE2473" w:rsidRDefault="00000000">
      <w:pPr>
        <w:pStyle w:val="AbstractTitle"/>
      </w:pPr>
      <w:r>
        <w:t>Abstract</w:t>
      </w:r>
    </w:p>
    <w:p w14:paraId="70FACD79" w14:textId="77777777" w:rsidR="00BE2473" w:rsidRDefault="00000000">
      <w:pPr>
        <w:pStyle w:val="Abstract"/>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60A98667" w14:textId="77777777" w:rsidR="00BE2473" w:rsidRDefault="00000000">
      <w:pPr>
        <w:pStyle w:val="Abstrac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w:t>
      </w:r>
      <w:proofErr w:type="gramStart"/>
      <w:r>
        <w:t>model-agnostic</w:t>
      </w:r>
      <w:proofErr w:type="gramEnd"/>
      <w:r>
        <w:t xml:space="preserve">: it favors no particular </w:t>
      </w:r>
      <w:proofErr w:type="gramStart"/>
      <w:r>
        <w:t>model, but</w:t>
      </w:r>
      <w:proofErr w:type="gramEnd"/>
      <w:r>
        <w:t xml:space="preserve"> specifies an assessment procedure that can be re-run as models, hardware, and practices evolve.</w:t>
      </w:r>
    </w:p>
    <w:p w14:paraId="62960963" w14:textId="77777777" w:rsidR="00BE2473" w:rsidRDefault="00000000">
      <w:pPr>
        <w:pStyle w:val="Abstrac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w:t>
      </w:r>
    </w:p>
    <w:p w14:paraId="30F3115A" w14:textId="77777777" w:rsidR="00BE2473" w:rsidRDefault="00000000">
      <w:pPr>
        <w:pStyle w:val="Abstract"/>
      </w:pPr>
      <w:r>
        <w:rPr>
          <w:b/>
          <w:bCs/>
        </w:rPr>
        <w:t>Results:</w:t>
      </w:r>
      <w:r>
        <w:t xml:space="preserve"> The primary result is the framework itself, composed of three task axes, the </w:t>
      </w:r>
      <w:proofErr w:type="gramStart"/>
      <w:r>
        <w:t>two system</w:t>
      </w:r>
      <w:proofErr w:type="gramEnd"/>
      <w:r>
        <w:t xml:space="preserve">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a decline driven largely by the exam-style QA tasks. Importantly, the output-structure axis remains untested owing to a lack of variation in the available literature.</w:t>
      </w:r>
    </w:p>
    <w:p w14:paraId="77ED833B" w14:textId="77777777" w:rsidR="00BE2473" w:rsidRDefault="00000000">
      <w:pPr>
        <w:pStyle w:val="Abstract"/>
      </w:pPr>
      <w:r>
        <w:rPr>
          <w:b/>
          <w:bCs/>
        </w:rPr>
        <w:lastRenderedPageBreak/>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w:t>
      </w:r>
    </w:p>
    <w:p w14:paraId="6DD070F5" w14:textId="77777777" w:rsidR="00BE2473" w:rsidRDefault="00000000">
      <w:pPr>
        <w:pStyle w:val="Heading1"/>
      </w:pPr>
      <w:r>
        <w:rPr>
          <w:rStyle w:val="SectionNumber"/>
        </w:rPr>
        <w:t>1</w:t>
      </w:r>
      <w:r>
        <w:tab/>
        <w:t>Introduction</w:t>
      </w:r>
    </w:p>
    <w:p w14:paraId="708A50E0" w14:textId="77777777" w:rsidR="00BE2473" w:rsidRDefault="00000000">
      <w:pPr>
        <w:pStyle w:val="FirstParagraph"/>
      </w:pPr>
      <w:r>
        <w:t>Healthcare has been notably quick to experiment with generative artificial intelligence [1], [2]. In a sector with a long reputation for slow technology adoption, healthcare professionals began piloting large language models in clinical documentation, patient messaging, and decision support almost as soon as they became widely available, often ahead of formal evaluation practice [3].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054D948B" w14:textId="2F5B9572" w:rsidR="00BE2473" w:rsidRDefault="00000000">
      <w:pPr>
        <w:pStyle w:val="BodyText"/>
      </w:pPr>
      <w:r>
        <w:t>Large language models (LLMs) are artificial intelligence systems trained on very large text collections to interpret and generate human language</w:t>
      </w:r>
      <w:r w:rsidR="00F01275">
        <w:t>. A non-technical overview by</w:t>
      </w:r>
      <w:r>
        <w:t xml:space="preserve"> </w:t>
      </w:r>
      <w:proofErr w:type="spellStart"/>
      <w:r>
        <w:t>Minaee</w:t>
      </w:r>
      <w:proofErr w:type="spellEnd"/>
      <w:r>
        <w:t xml:space="preserve"> et al. provide</w:t>
      </w:r>
      <w:r w:rsidR="00F01275">
        <w:t>s</w:t>
      </w:r>
      <w:r>
        <w:t xml:space="preserve"> readers new to the field</w:t>
      </w:r>
      <w:r w:rsidR="00F01275">
        <w:t xml:space="preserve"> an introduction to the area</w:t>
      </w:r>
      <w:r>
        <w:t xml:space="preserve"> [4]. A model’s size is conventionally described by its parameter count, which is the number of internal numerical values it learns during training, which serves as a rough index of its capacity. LLMs with billions to trillions of parameters now score well on clinical reasoning tasks [5], [6], medical question answering, biomedical text mining, and clinical documentation [7], [8].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[1], [9]. Cloud endpoints can be operated under a Business Associate Agreement (BAA), the HIPAA mechanism through which a covered entity extends its obligations to a vendor that handles PHI on its behalf [10], [11], and PHI can sometimes be stripped from inputs before transmission using automated de-identification pipelines [12]. BAA-covered endpoints may still raise institutional concerns about data residency, vendor lock-in, and audit control, and de-identification is imperfect, particularly for unstructured clinical text.</w:t>
      </w:r>
    </w:p>
    <w:p w14:paraId="0C485305" w14:textId="77777777" w:rsidR="00BE2473" w:rsidRDefault="00000000">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[13], [14]. As of 2026 this typically means models below roughly ten billion parameters, but that number is a property of current hardware and inference optimization and not of this framework. The operational cutoff used for the retrospective snapshot in Section </w:t>
      </w:r>
      <w:hyperlink w:anchor="sec%3Asnapshot">
        <w:r>
          <w:rPr>
            <w:rStyle w:val="Hyperlink"/>
          </w:rPr>
          <w:t>3</w:t>
        </w:r>
      </w:hyperlink>
      <w:r>
        <w:t xml:space="preserve"> is stated in Section </w:t>
      </w:r>
      <w:hyperlink w:anchor="sec%3Amethods-retro">
        <w:r>
          <w:rPr>
            <w:rStyle w:val="Hyperlink"/>
          </w:rPr>
          <w:t>3.1</w:t>
        </w:r>
      </w:hyperlink>
      <w:r>
        <w:t xml:space="preserve">. Running on institutional hardware, SLMs eliminate the PHI transmission vector entirely, </w:t>
      </w:r>
      <w:r>
        <w:lastRenderedPageBreak/>
        <w:t xml:space="preserve">convert variable API costs into a fixed hardware </w:t>
      </w:r>
      <w:proofErr w:type="gramStart"/>
      <w:r>
        <w:t>investment, and</w:t>
      </w:r>
      <w:proofErr w:type="gramEnd"/>
      <w:r>
        <w:t xml:space="preserve"> give organizations direct governance control. This does not make them HIPAA-compliant by default. The HIPAA Security Rule [15] requires administrative, physical, and technical safeguards regardless of where the model runs: access controls, encryption at rest, audit logging, and workforce training all apply to </w:t>
      </w:r>
      <w:proofErr w:type="gramStart"/>
      <w:r>
        <w:t>on-premise</w:t>
      </w:r>
      <w:proofErr w:type="gramEnd"/>
      <w:r>
        <w:t xml:space="preserve"> deployments [11].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[16].</w:t>
      </w:r>
    </w:p>
    <w:p w14:paraId="4DA594F9" w14:textId="77777777" w:rsidR="00BE2473" w:rsidRDefault="00000000">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[3], [17].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6450EA19" w14:textId="77777777" w:rsidR="00BE2473" w:rsidRDefault="00000000">
      <w:pPr>
        <w:pStyle w:val="BodyText"/>
      </w:pPr>
      <w:r>
        <w:t xml:space="preserve">This paper proposes FIT-SLM-HC (Framework for Identifying Tasks for Small Language Models in Healthcare), which adapts Task–Technology Fit theory [18], [19] to the specific trade-offs of generative language models in clinical settings. The framework separates </w:t>
      </w:r>
      <w:r>
        <w:rPr>
          <w:i/>
          <w:iCs/>
        </w:rPr>
        <w:t>task-side properties</w:t>
      </w:r>
      <w:r>
        <w:t xml:space="preserve"> from </w:t>
      </w:r>
      <w:r>
        <w:rPr>
          <w:i/>
          <w:iCs/>
        </w:rPr>
        <w:t>system-side behavior</w:t>
      </w:r>
      <w:r>
        <w:t xml:space="preserve">.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 and not a replacement for full benchmarking. Second, the task-side scores do not by themselves decide anything. The scores are meant as an objective way to set expectations, order evaluation, and tell an institution what to assess. The framework is first presented, followed by three vignettes that </w:t>
      </w:r>
      <w:proofErr w:type="gramStart"/>
      <w:r>
        <w:t>walk through</w:t>
      </w:r>
      <w:proofErr w:type="gramEnd"/>
      <w:r>
        <w:t xml:space="preserve"> boundary cases from recent healthcare AI literature, and concludes with a broader retrospective snapshot of twenty-two tasks across eleven published benchmarks.</w:t>
      </w:r>
    </w:p>
    <w:p w14:paraId="0F31B287" w14:textId="77777777" w:rsidR="00BE2473" w:rsidRDefault="00000000">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3Aglossary">
        <w:r>
          <w:rPr>
            <w:rStyle w:val="Hyperlink"/>
          </w:rPr>
          <w:t>B1</w:t>
        </w:r>
      </w:hyperlink>
      <w:r>
        <w:t>, Appendix </w:t>
      </w:r>
      <w:hyperlink w:anchor="app%3Aglossary">
        <w:r>
          <w:rPr>
            <w:rStyle w:val="Hyperlink"/>
          </w:rPr>
          <w:t>B</w:t>
        </w:r>
      </w:hyperlink>
      <w:r>
        <w:t>) that defines the model and metric terms used throughout, and each quantitative result in Section </w:t>
      </w:r>
      <w:hyperlink w:anchor="sec%3Asnapshot">
        <w:r>
          <w:rPr>
            <w:rStyle w:val="Hyperlink"/>
          </w:rPr>
          <w:t>3</w:t>
        </w:r>
      </w:hyperlink>
      <w:r>
        <w:t xml:space="preserve"> is paired with a plain-language reading.</w:t>
      </w:r>
    </w:p>
    <w:p w14:paraId="009A98AC" w14:textId="77777777" w:rsidR="00BE2473" w:rsidRDefault="00000000">
      <w:pPr>
        <w:pStyle w:val="Heading2"/>
      </w:pPr>
      <w:r>
        <w:rPr>
          <w:rStyle w:val="SectionNumber"/>
        </w:rPr>
        <w:lastRenderedPageBreak/>
        <w:t>1.1</w:t>
      </w:r>
      <w:r>
        <w:tab/>
        <w:t>Related Approaches</w:t>
      </w:r>
    </w:p>
    <w:p w14:paraId="45DFB7BB" w14:textId="77777777" w:rsidR="00BE2473" w:rsidRDefault="00000000">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xml:space="preserve">. Routers learn, per query, whether a small model’s answer will suffice and escalate to a larger model otherwise [20], [21]. Cascade systems such as </w:t>
      </w:r>
      <w:proofErr w:type="spellStart"/>
      <w:r>
        <w:t>FrugalGPT</w:t>
      </w:r>
      <w:proofErr w:type="spellEnd"/>
      <w:r>
        <w:t xml:space="preserve"> sequence models by </w:t>
      </w:r>
      <w:proofErr w:type="gramStart"/>
      <w:r>
        <w:t>cost, and</w:t>
      </w:r>
      <w:proofErr w:type="gramEnd"/>
      <w:r>
        <w:t xml:space="preserve"> stop as soon as a response is judged reliable [22]. These systems optimize the same accuracy–cost frontier automatically and at inference time. FIT-SLM-HC differs in a few ways that matter specifically for clinical governance.</w:t>
      </w:r>
    </w:p>
    <w:p w14:paraId="32985215" w14:textId="77777777" w:rsidR="00BE2473" w:rsidRDefault="00000000">
      <w:pPr>
        <w:pStyle w:val="BodyText"/>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1891CA12" w14:textId="77777777" w:rsidR="00BE2473" w:rsidRDefault="00000000">
      <w:pPr>
        <w:pStyle w:val="BodyText"/>
      </w:pPr>
      <w:r>
        <w:t>A second adjacent line is reporting and governance guidance for clinical AI, such as TRIPOD+AI for prediction models [23] and CONSORT-AI for trials of AI interventions [24]. Those instruments standardize how studies are reported. FIT-SLM-HC sits earlier in the pipeline by structuring the deployment triage decision and specifying measurement needs (e.g., latency reporting).</w:t>
      </w:r>
    </w:p>
    <w:p w14:paraId="2C01D13C" w14:textId="77777777" w:rsidR="00BE2473" w:rsidRDefault="00000000">
      <w:pPr>
        <w:pStyle w:val="BodyText"/>
      </w:pPr>
      <w:r>
        <w:t>Finally, general LLM evaluation harnesses and healthcare benchmark suites, including several of the sources in Section </w:t>
      </w:r>
      <w:hyperlink w:anchor="sec%3Asnapshot">
        <w:r>
          <w:rPr>
            <w:rStyle w:val="Hyperlink"/>
          </w:rPr>
          <w:t>3</w:t>
        </w:r>
      </w:hyperlink>
      <w:r>
        <w:t>, supply the raw comparisons that this framework consumes. The FIT-SLM-HC framework adds the task-side coordinate system, the explicit reference standard, and the governance thresholds that turn a benchmark number into a deployment decision.</w:t>
      </w:r>
    </w:p>
    <w:p w14:paraId="5CC4A337" w14:textId="77777777" w:rsidR="00BE2473" w:rsidRDefault="00000000">
      <w:pPr>
        <w:pStyle w:val="Heading1"/>
      </w:pPr>
      <w:bookmarkStart w:id="0" w:name="sec%3Aintro"/>
      <w:bookmarkStart w:id="1" w:name="sec%3Arelated"/>
      <w:bookmarkEnd w:id="0"/>
      <w:bookmarkEnd w:id="1"/>
      <w:r>
        <w:rPr>
          <w:rStyle w:val="SectionNumber"/>
        </w:rPr>
        <w:t>2</w:t>
      </w:r>
      <w:r>
        <w:tab/>
        <w:t>The FIT-SLM-HC Framework</w:t>
      </w:r>
    </w:p>
    <w:p w14:paraId="7EB66C90" w14:textId="77777777" w:rsidR="00BE2473" w:rsidRDefault="00000000">
      <w:pPr>
        <w:pStyle w:val="FirstParagraph"/>
      </w:pPr>
      <w:r>
        <w:t>FIT-SLM-HC starts from a simple claim that generative AI (language model) suitability is not a fixed property of a model weights file. It is a relationship between task characteristics and the system (model plus hardware), and this relationship changes when either side changes (Figure </w:t>
      </w:r>
      <w:hyperlink w:anchor="fig%3Aframework">
        <w:r>
          <w:rPr>
            <w:rStyle w:val="Hyperlink"/>
          </w:rPr>
          <w:t>1</w:t>
        </w:r>
      </w:hyperlink>
      <w:r>
        <w:t>).</w:t>
      </w:r>
    </w:p>
    <w:p w14:paraId="376FCC9F" w14:textId="77777777" w:rsidR="00BE2473" w:rsidRDefault="00000000">
      <w:pPr>
        <w:pStyle w:val="CaptionedFigure"/>
      </w:pPr>
      <w:r>
        <w:rPr>
          <w:noProof/>
        </w:rPr>
        <w:lastRenderedPageBreak/>
        <w:drawing>
          <wp:inline distT="0" distB="0" distL="0" distR="0" wp14:anchorId="569BB218" wp14:editId="2E0C2B3F">
            <wp:extent cx="5334000" cy="356743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bwMode="auto">
                    <a:xfrm>
                      <a:off x="0" y="0"/>
                      <a:ext cx="5334000" cy="3567430"/>
                    </a:xfrm>
                    <a:prstGeom prst="rect">
                      <a:avLst/>
                    </a:prstGeom>
                  </pic:spPr>
                </pic:pic>
              </a:graphicData>
            </a:graphic>
          </wp:inline>
        </w:drawing>
      </w:r>
    </w:p>
    <w:p w14:paraId="5709B06C" w14:textId="77777777" w:rsidR="00BE2473" w:rsidRDefault="00000000">
      <w:pPr>
        <w:pStyle w:val="ImageCaption"/>
      </w:pPr>
      <w:r>
        <w:t>Figure 1: The FIT-SLM-HC task-side coordinate system. The three axes are human-scored task properties on a 1–3 ordinal scale with level 1 being the most constrained (SLM-favorable) level of each axis. This diagram describes tasks only. Whether a given system can cover a given task is settled by measurement (Section </w:t>
      </w:r>
      <w:hyperlink w:anchor="sec%3Asystem">
        <w:r>
          <w:rPr>
            <w:rStyle w:val="Hyperlink"/>
          </w:rPr>
          <w:t>2.2</w:t>
        </w:r>
      </w:hyperlink>
      <w:r>
        <w:t>) and not by position in this diagram.</w:t>
      </w:r>
    </w:p>
    <w:p w14:paraId="29C21613" w14:textId="77777777" w:rsidR="00BE2473" w:rsidRDefault="00000000">
      <w:pPr>
        <w:pStyle w:val="Heading2"/>
      </w:pPr>
      <w:r>
        <w:rPr>
          <w:rStyle w:val="SectionNumber"/>
        </w:rPr>
        <w:t>2.1</w:t>
      </w:r>
      <w:r>
        <w:tab/>
        <w:t>Task-Side Properties: The 3-Axis Typology</w:t>
      </w:r>
    </w:p>
    <w:p w14:paraId="15D58D87" w14:textId="77777777" w:rsidR="00BE2473"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3CA3377B" w14:textId="77777777" w:rsidR="00BE2473"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5C942F71" w14:textId="77777777" w:rsidR="00BE2473" w:rsidRDefault="00000000">
      <w:pPr>
        <w:pStyle w:val="BodyText"/>
      </w:pPr>
      <w:r>
        <w:rPr>
          <w:b/>
          <w:bCs/>
        </w:rPr>
        <w:t>Reasoning Complexity (r).</w:t>
      </w:r>
    </w:p>
    <w:p w14:paraId="3BECE003" w14:textId="77777777" w:rsidR="00BE2473" w:rsidRDefault="00000000">
      <w:pPr>
        <w:pStyle w:val="BodyText"/>
      </w:pPr>
      <w:r>
        <w:t xml:space="preserve">This axis captures the number of logical steps required to go from input to output. At the lowest level (r=1), the answer exists contiguously in the source </w:t>
      </w:r>
      <w:proofErr w:type="gramStart"/>
      <w:r>
        <w:t>text</w:t>
      </w:r>
      <w:proofErr w:type="gramEnd"/>
      <w:r>
        <w:t xml:space="preserve"> and the task is pure extraction (e.g., pulling a patient’s age from a clinical note). Moderate complexity (r=2) requires interpretation: single-step logic to rephrase or categorize information that is not </w:t>
      </w:r>
      <w:r>
        <w:lastRenderedPageBreak/>
        <w:t>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through “chain-of-thought” prompting, in which the model is asked to write out its intermediate reasoning steps before answering [25], [26]. Table </w:t>
      </w:r>
      <w:hyperlink w:anchor="tab%3Areasoning">
        <w:r>
          <w:rPr>
            <w:rStyle w:val="Hyperlink"/>
          </w:rPr>
          <w:t>1</w:t>
        </w:r>
      </w:hyperlink>
      <w:r>
        <w:t xml:space="preserve"> summarizes the levels.</w:t>
      </w:r>
    </w:p>
    <w:p w14:paraId="095AA464" w14:textId="77777777" w:rsidR="00BE2473" w:rsidRDefault="00000000">
      <w:pPr>
        <w:pStyle w:val="TableCaption"/>
      </w:pPr>
      <w:r>
        <w:t>Table 1: Reasoning Complexity (r) Scoring Rubric</w:t>
      </w:r>
    </w:p>
    <w:tbl>
      <w:tblPr>
        <w:tblStyle w:val="Table"/>
        <w:tblW w:w="9360" w:type="dxa"/>
        <w:tblInd w:w="0" w:type="dxa"/>
        <w:tblLayout w:type="fixed"/>
        <w:tblLook w:val="0020" w:firstRow="1" w:lastRow="0" w:firstColumn="0" w:lastColumn="0" w:noHBand="0" w:noVBand="0"/>
      </w:tblPr>
      <w:tblGrid>
        <w:gridCol w:w="766"/>
        <w:gridCol w:w="1954"/>
        <w:gridCol w:w="3798"/>
        <w:gridCol w:w="2842"/>
      </w:tblGrid>
      <w:tr w:rsidR="00BE2473" w14:paraId="45CD73E6"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765" w:type="dxa"/>
            <w:tcBorders>
              <w:bottom w:val="single" w:sz="6" w:space="0" w:color="000000"/>
            </w:tcBorders>
          </w:tcPr>
          <w:p w14:paraId="756146DF" w14:textId="77777777" w:rsidR="00BE2473" w:rsidRDefault="00000000">
            <w:pPr>
              <w:pStyle w:val="Compact"/>
              <w:rPr>
                <w:rFonts w:ascii="Cambria" w:eastAsia="Cambria" w:hAnsi="Cambria"/>
              </w:rPr>
            </w:pPr>
            <w:r>
              <w:rPr>
                <w:rFonts w:eastAsia="Cambria"/>
              </w:rPr>
              <w:t>Level</w:t>
            </w:r>
          </w:p>
        </w:tc>
        <w:tc>
          <w:tcPr>
            <w:tcW w:w="1954" w:type="dxa"/>
            <w:tcBorders>
              <w:bottom w:val="single" w:sz="6" w:space="0" w:color="000000"/>
            </w:tcBorders>
          </w:tcPr>
          <w:p w14:paraId="2FE8E235" w14:textId="77777777" w:rsidR="00BE2473" w:rsidRDefault="00000000">
            <w:pPr>
              <w:pStyle w:val="Compact"/>
              <w:rPr>
                <w:rFonts w:ascii="Cambria" w:eastAsia="Cambria" w:hAnsi="Cambria"/>
              </w:rPr>
            </w:pPr>
            <w:r>
              <w:rPr>
                <w:rFonts w:eastAsia="Cambria"/>
              </w:rPr>
              <w:t>Type</w:t>
            </w:r>
          </w:p>
        </w:tc>
        <w:tc>
          <w:tcPr>
            <w:tcW w:w="3798" w:type="dxa"/>
            <w:tcBorders>
              <w:bottom w:val="single" w:sz="6" w:space="0" w:color="000000"/>
            </w:tcBorders>
          </w:tcPr>
          <w:p w14:paraId="143AD536" w14:textId="77777777" w:rsidR="00BE2473" w:rsidRDefault="00000000">
            <w:pPr>
              <w:pStyle w:val="Compact"/>
              <w:rPr>
                <w:rFonts w:ascii="Cambria" w:eastAsia="Cambria" w:hAnsi="Cambria"/>
              </w:rPr>
            </w:pPr>
            <w:r>
              <w:rPr>
                <w:rFonts w:eastAsia="Cambria"/>
              </w:rPr>
              <w:t>Description</w:t>
            </w:r>
          </w:p>
        </w:tc>
        <w:tc>
          <w:tcPr>
            <w:tcW w:w="2842" w:type="dxa"/>
            <w:tcBorders>
              <w:bottom w:val="single" w:sz="6" w:space="0" w:color="000000"/>
            </w:tcBorders>
          </w:tcPr>
          <w:p w14:paraId="301236CF" w14:textId="77777777" w:rsidR="00BE2473" w:rsidRDefault="00000000">
            <w:pPr>
              <w:pStyle w:val="Compact"/>
              <w:rPr>
                <w:rFonts w:ascii="Cambria" w:eastAsia="Cambria" w:hAnsi="Cambria"/>
              </w:rPr>
            </w:pPr>
            <w:r>
              <w:rPr>
                <w:rFonts w:eastAsia="Cambria"/>
              </w:rPr>
              <w:t>Logic Requirement</w:t>
            </w:r>
          </w:p>
        </w:tc>
      </w:tr>
      <w:tr w:rsidR="00BE2473" w14:paraId="58C29691" w14:textId="77777777" w:rsidTr="00BE2473">
        <w:tc>
          <w:tcPr>
            <w:tcW w:w="765" w:type="dxa"/>
          </w:tcPr>
          <w:p w14:paraId="75E40A14" w14:textId="77777777" w:rsidR="00BE2473" w:rsidRDefault="00000000">
            <w:pPr>
              <w:pStyle w:val="Compact"/>
              <w:rPr>
                <w:rFonts w:ascii="Cambria" w:eastAsia="Cambria" w:hAnsi="Cambria"/>
              </w:rPr>
            </w:pPr>
            <w:r>
              <w:rPr>
                <w:rFonts w:eastAsia="Cambria"/>
              </w:rPr>
              <w:t>r=1</w:t>
            </w:r>
          </w:p>
        </w:tc>
        <w:tc>
          <w:tcPr>
            <w:tcW w:w="1954" w:type="dxa"/>
          </w:tcPr>
          <w:p w14:paraId="4863A510" w14:textId="77777777" w:rsidR="00BE2473" w:rsidRDefault="00000000">
            <w:pPr>
              <w:pStyle w:val="Compact"/>
              <w:rPr>
                <w:rFonts w:ascii="Cambria" w:eastAsia="Cambria" w:hAnsi="Cambria"/>
              </w:rPr>
            </w:pPr>
            <w:r>
              <w:rPr>
                <w:rFonts w:eastAsia="Cambria"/>
              </w:rPr>
              <w:t>Direct Extraction</w:t>
            </w:r>
          </w:p>
        </w:tc>
        <w:tc>
          <w:tcPr>
            <w:tcW w:w="3798" w:type="dxa"/>
          </w:tcPr>
          <w:p w14:paraId="31C04422" w14:textId="77777777" w:rsidR="00BE2473" w:rsidRDefault="00000000">
            <w:pPr>
              <w:pStyle w:val="Compact"/>
              <w:rPr>
                <w:rFonts w:ascii="Cambria" w:eastAsia="Cambria" w:hAnsi="Cambria"/>
              </w:rPr>
            </w:pPr>
            <w:r>
              <w:rPr>
                <w:rFonts w:eastAsia="Cambria"/>
              </w:rPr>
              <w:t>Answer exists verbatim in the text</w:t>
            </w:r>
          </w:p>
        </w:tc>
        <w:tc>
          <w:tcPr>
            <w:tcW w:w="2842" w:type="dxa"/>
          </w:tcPr>
          <w:p w14:paraId="3802A6B7" w14:textId="77777777" w:rsidR="00BE2473" w:rsidRDefault="00000000">
            <w:pPr>
              <w:pStyle w:val="Compact"/>
              <w:rPr>
                <w:rFonts w:ascii="Cambria" w:eastAsia="Cambria" w:hAnsi="Cambria"/>
              </w:rPr>
            </w:pPr>
            <w:r>
              <w:rPr>
                <w:rFonts w:eastAsia="Cambria"/>
              </w:rPr>
              <w:t>Zero-step (copy/paste)</w:t>
            </w:r>
          </w:p>
        </w:tc>
      </w:tr>
      <w:tr w:rsidR="00BE2473" w14:paraId="0C23541E" w14:textId="77777777" w:rsidTr="00BE2473">
        <w:tc>
          <w:tcPr>
            <w:tcW w:w="765" w:type="dxa"/>
          </w:tcPr>
          <w:p w14:paraId="3C171B95" w14:textId="77777777" w:rsidR="00BE2473" w:rsidRDefault="00000000">
            <w:pPr>
              <w:pStyle w:val="Compact"/>
              <w:rPr>
                <w:rFonts w:ascii="Cambria" w:eastAsia="Cambria" w:hAnsi="Cambria"/>
              </w:rPr>
            </w:pPr>
            <w:r>
              <w:rPr>
                <w:rFonts w:eastAsia="Cambria"/>
              </w:rPr>
              <w:t>r=2</w:t>
            </w:r>
          </w:p>
        </w:tc>
        <w:tc>
          <w:tcPr>
            <w:tcW w:w="1954" w:type="dxa"/>
          </w:tcPr>
          <w:p w14:paraId="5D89F3FA" w14:textId="77777777" w:rsidR="00BE2473" w:rsidRDefault="00000000">
            <w:pPr>
              <w:pStyle w:val="Compact"/>
              <w:rPr>
                <w:rFonts w:ascii="Cambria" w:eastAsia="Cambria" w:hAnsi="Cambria"/>
              </w:rPr>
            </w:pPr>
            <w:r>
              <w:rPr>
                <w:rFonts w:eastAsia="Cambria"/>
              </w:rPr>
              <w:t>Interpretation</w:t>
            </w:r>
          </w:p>
        </w:tc>
        <w:tc>
          <w:tcPr>
            <w:tcW w:w="3798" w:type="dxa"/>
          </w:tcPr>
          <w:p w14:paraId="1061974A" w14:textId="77777777" w:rsidR="00BE2473" w:rsidRDefault="00000000">
            <w:pPr>
              <w:pStyle w:val="Compact"/>
              <w:rPr>
                <w:rFonts w:ascii="Cambria" w:eastAsia="Cambria" w:hAnsi="Cambria"/>
              </w:rPr>
            </w:pPr>
            <w:r>
              <w:rPr>
                <w:rFonts w:eastAsia="Cambria"/>
              </w:rPr>
              <w:t>Requires rephrasing or categorizing</w:t>
            </w:r>
          </w:p>
        </w:tc>
        <w:tc>
          <w:tcPr>
            <w:tcW w:w="2842" w:type="dxa"/>
          </w:tcPr>
          <w:p w14:paraId="0AF5A0B7" w14:textId="77777777" w:rsidR="00BE2473" w:rsidRDefault="00000000">
            <w:pPr>
              <w:pStyle w:val="Compact"/>
              <w:rPr>
                <w:rFonts w:ascii="Cambria" w:eastAsia="Cambria" w:hAnsi="Cambria"/>
              </w:rPr>
            </w:pPr>
            <w:r>
              <w:rPr>
                <w:rFonts w:eastAsia="Cambria"/>
              </w:rPr>
              <w:t>Single-step logic</w:t>
            </w:r>
          </w:p>
        </w:tc>
      </w:tr>
      <w:tr w:rsidR="00BE2473" w14:paraId="3DF064A7" w14:textId="77777777" w:rsidTr="00BE2473">
        <w:tc>
          <w:tcPr>
            <w:tcW w:w="765" w:type="dxa"/>
          </w:tcPr>
          <w:p w14:paraId="425EA8E3" w14:textId="77777777" w:rsidR="00BE2473" w:rsidRDefault="00000000">
            <w:pPr>
              <w:pStyle w:val="Compact"/>
              <w:rPr>
                <w:rFonts w:ascii="Cambria" w:eastAsia="Cambria" w:hAnsi="Cambria"/>
              </w:rPr>
            </w:pPr>
            <w:r>
              <w:rPr>
                <w:rFonts w:eastAsia="Cambria"/>
              </w:rPr>
              <w:t>r=3</w:t>
            </w:r>
          </w:p>
        </w:tc>
        <w:tc>
          <w:tcPr>
            <w:tcW w:w="1954" w:type="dxa"/>
          </w:tcPr>
          <w:p w14:paraId="4481E9D3" w14:textId="77777777" w:rsidR="00BE2473" w:rsidRDefault="00000000">
            <w:pPr>
              <w:pStyle w:val="Compact"/>
              <w:rPr>
                <w:rFonts w:ascii="Cambria" w:eastAsia="Cambria" w:hAnsi="Cambria"/>
              </w:rPr>
            </w:pPr>
            <w:r>
              <w:rPr>
                <w:rFonts w:eastAsia="Cambria"/>
              </w:rPr>
              <w:t>Synthesis</w:t>
            </w:r>
          </w:p>
        </w:tc>
        <w:tc>
          <w:tcPr>
            <w:tcW w:w="3798" w:type="dxa"/>
          </w:tcPr>
          <w:p w14:paraId="46F429EE" w14:textId="77777777" w:rsidR="00BE2473" w:rsidRDefault="00000000">
            <w:pPr>
              <w:pStyle w:val="Compact"/>
              <w:rPr>
                <w:rFonts w:ascii="Cambria" w:eastAsia="Cambria" w:hAnsi="Cambria"/>
              </w:rPr>
            </w:pPr>
            <w:r>
              <w:rPr>
                <w:rFonts w:eastAsia="Cambria"/>
              </w:rPr>
              <w:t>Requires connecting multiple ideas</w:t>
            </w:r>
          </w:p>
        </w:tc>
        <w:tc>
          <w:tcPr>
            <w:tcW w:w="2842" w:type="dxa"/>
          </w:tcPr>
          <w:p w14:paraId="1FF966FB" w14:textId="77777777" w:rsidR="00BE2473" w:rsidRDefault="00000000">
            <w:pPr>
              <w:pStyle w:val="Compact"/>
              <w:rPr>
                <w:rFonts w:ascii="Cambria" w:eastAsia="Cambria" w:hAnsi="Cambria"/>
              </w:rPr>
            </w:pPr>
            <w:r>
              <w:rPr>
                <w:rFonts w:eastAsia="Cambria"/>
              </w:rPr>
              <w:t>Multi-step / External logic</w:t>
            </w:r>
            <w:bookmarkStart w:id="2" w:name="tab%3Areasoning"/>
            <w:bookmarkEnd w:id="2"/>
          </w:p>
        </w:tc>
      </w:tr>
    </w:tbl>
    <w:p w14:paraId="4A5240B8" w14:textId="77777777" w:rsidR="00BE2473" w:rsidRDefault="00000000">
      <w:pPr>
        <w:pStyle w:val="BodyText"/>
      </w:pPr>
      <w:r>
        <w:rPr>
          <w:b/>
          <w:bCs/>
        </w:rPr>
        <w:t>Knowledge Boundedness (k).</w:t>
      </w:r>
    </w:p>
    <w:p w14:paraId="5089BBD1" w14:textId="77777777" w:rsidR="00BE2473" w:rsidRDefault="00000000">
      <w:pPr>
        <w:pStyle w:val="BodyText"/>
      </w:pPr>
      <w:r>
        <w:t>This axis measures reliance on stored (internal) knowledge versus provided context. Closed-domain tasks (k=1) are self-contained: everything needed to reach an answer is in the prompt [27]. Domain-specific tasks (k=2) require specialized knowledge not in the prompt, such as clinical terminology, pharmacological interactions, or diagnostic criteria. Open-domain tasks (k=3) depend on broad world knowledge or current events [28]. Smaller models, whatever their generation, are least disadvantaged on closed-domain tasks, where they function as reasoning engines over the provided data rather than as knowledge stores. Table </w:t>
      </w:r>
      <w:hyperlink w:anchor="tab%3Aknowledge">
        <w:r>
          <w:rPr>
            <w:rStyle w:val="Hyperlink"/>
          </w:rPr>
          <w:t>2</w:t>
        </w:r>
      </w:hyperlink>
      <w:r>
        <w:t xml:space="preserve"> summarizes the levels.</w:t>
      </w:r>
    </w:p>
    <w:p w14:paraId="4EF72D1F" w14:textId="77777777" w:rsidR="00BE2473" w:rsidRDefault="00000000">
      <w:pPr>
        <w:pStyle w:val="TableCaption"/>
      </w:pPr>
      <w:r>
        <w:t>Table 2: Knowledge Boundedness (k) Scoring Rubric</w:t>
      </w:r>
    </w:p>
    <w:tbl>
      <w:tblPr>
        <w:tblStyle w:val="Table"/>
        <w:tblW w:w="9256" w:type="dxa"/>
        <w:tblInd w:w="0" w:type="dxa"/>
        <w:tblLayout w:type="fixed"/>
        <w:tblLook w:val="0020" w:firstRow="1" w:lastRow="0" w:firstColumn="0" w:lastColumn="0" w:noHBand="0" w:noVBand="0"/>
      </w:tblPr>
      <w:tblGrid>
        <w:gridCol w:w="767"/>
        <w:gridCol w:w="1886"/>
        <w:gridCol w:w="3802"/>
        <w:gridCol w:w="2801"/>
      </w:tblGrid>
      <w:tr w:rsidR="00BE2473" w14:paraId="2EDDB48A"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766" w:type="dxa"/>
            <w:tcBorders>
              <w:bottom w:val="single" w:sz="6" w:space="0" w:color="000000"/>
            </w:tcBorders>
          </w:tcPr>
          <w:p w14:paraId="7B8AE330" w14:textId="77777777" w:rsidR="00BE2473" w:rsidRDefault="00000000">
            <w:pPr>
              <w:pStyle w:val="Compact"/>
              <w:rPr>
                <w:rFonts w:ascii="Cambria" w:eastAsia="Cambria" w:hAnsi="Cambria"/>
              </w:rPr>
            </w:pPr>
            <w:r>
              <w:rPr>
                <w:rFonts w:eastAsia="Cambria"/>
              </w:rPr>
              <w:t>Level</w:t>
            </w:r>
          </w:p>
        </w:tc>
        <w:tc>
          <w:tcPr>
            <w:tcW w:w="1886" w:type="dxa"/>
            <w:tcBorders>
              <w:bottom w:val="single" w:sz="6" w:space="0" w:color="000000"/>
            </w:tcBorders>
          </w:tcPr>
          <w:p w14:paraId="1A3A9BFB" w14:textId="77777777" w:rsidR="00BE2473" w:rsidRDefault="00000000">
            <w:pPr>
              <w:pStyle w:val="Compact"/>
              <w:rPr>
                <w:rFonts w:ascii="Cambria" w:eastAsia="Cambria" w:hAnsi="Cambria"/>
              </w:rPr>
            </w:pPr>
            <w:r>
              <w:rPr>
                <w:rFonts w:eastAsia="Cambria"/>
              </w:rPr>
              <w:t>Type</w:t>
            </w:r>
          </w:p>
        </w:tc>
        <w:tc>
          <w:tcPr>
            <w:tcW w:w="3802" w:type="dxa"/>
            <w:tcBorders>
              <w:bottom w:val="single" w:sz="6" w:space="0" w:color="000000"/>
            </w:tcBorders>
          </w:tcPr>
          <w:p w14:paraId="557EA31B" w14:textId="77777777" w:rsidR="00BE2473" w:rsidRDefault="00000000">
            <w:pPr>
              <w:pStyle w:val="Compact"/>
              <w:rPr>
                <w:rFonts w:ascii="Cambria" w:eastAsia="Cambria" w:hAnsi="Cambria"/>
              </w:rPr>
            </w:pPr>
            <w:r>
              <w:rPr>
                <w:rFonts w:eastAsia="Cambria"/>
              </w:rPr>
              <w:t>Information Source</w:t>
            </w:r>
          </w:p>
        </w:tc>
        <w:tc>
          <w:tcPr>
            <w:tcW w:w="2801" w:type="dxa"/>
            <w:tcBorders>
              <w:bottom w:val="single" w:sz="6" w:space="0" w:color="000000"/>
            </w:tcBorders>
          </w:tcPr>
          <w:p w14:paraId="7644221D" w14:textId="77777777" w:rsidR="00BE2473" w:rsidRDefault="00000000">
            <w:pPr>
              <w:pStyle w:val="Compact"/>
              <w:rPr>
                <w:rFonts w:ascii="Cambria" w:eastAsia="Cambria" w:hAnsi="Cambria"/>
              </w:rPr>
            </w:pPr>
            <w:r>
              <w:rPr>
                <w:rFonts w:eastAsia="Cambria"/>
              </w:rPr>
              <w:t>Reliance</w:t>
            </w:r>
          </w:p>
        </w:tc>
      </w:tr>
      <w:tr w:rsidR="00BE2473" w14:paraId="598A571A" w14:textId="77777777" w:rsidTr="00BE2473">
        <w:tc>
          <w:tcPr>
            <w:tcW w:w="766" w:type="dxa"/>
          </w:tcPr>
          <w:p w14:paraId="0A63CB4F" w14:textId="77777777" w:rsidR="00BE2473" w:rsidRDefault="00000000">
            <w:pPr>
              <w:pStyle w:val="Compact"/>
              <w:rPr>
                <w:rFonts w:ascii="Cambria" w:eastAsia="Cambria" w:hAnsi="Cambria"/>
              </w:rPr>
            </w:pPr>
            <w:r>
              <w:rPr>
                <w:rFonts w:eastAsia="Cambria"/>
              </w:rPr>
              <w:t>k=1</w:t>
            </w:r>
          </w:p>
        </w:tc>
        <w:tc>
          <w:tcPr>
            <w:tcW w:w="1886" w:type="dxa"/>
          </w:tcPr>
          <w:p w14:paraId="317B3984" w14:textId="77777777" w:rsidR="00BE2473" w:rsidRDefault="00000000">
            <w:pPr>
              <w:pStyle w:val="Compact"/>
              <w:rPr>
                <w:rFonts w:ascii="Cambria" w:eastAsia="Cambria" w:hAnsi="Cambria"/>
              </w:rPr>
            </w:pPr>
            <w:r>
              <w:rPr>
                <w:rFonts w:eastAsia="Cambria"/>
              </w:rPr>
              <w:t>Closed-Domain</w:t>
            </w:r>
          </w:p>
        </w:tc>
        <w:tc>
          <w:tcPr>
            <w:tcW w:w="3802" w:type="dxa"/>
          </w:tcPr>
          <w:p w14:paraId="5F5A500C" w14:textId="77777777" w:rsidR="00BE2473" w:rsidRDefault="00000000">
            <w:pPr>
              <w:pStyle w:val="Compact"/>
              <w:rPr>
                <w:rFonts w:ascii="Cambria" w:eastAsia="Cambria" w:hAnsi="Cambria"/>
              </w:rPr>
            </w:pPr>
            <w:r>
              <w:rPr>
                <w:rFonts w:eastAsia="Cambria"/>
              </w:rPr>
              <w:t>Entirely within context window</w:t>
            </w:r>
          </w:p>
        </w:tc>
        <w:tc>
          <w:tcPr>
            <w:tcW w:w="2801" w:type="dxa"/>
          </w:tcPr>
          <w:p w14:paraId="26BDC70F" w14:textId="77777777" w:rsidR="00BE2473" w:rsidRDefault="00000000">
            <w:pPr>
              <w:pStyle w:val="Compact"/>
              <w:rPr>
                <w:rFonts w:ascii="Cambria" w:eastAsia="Cambria" w:hAnsi="Cambria"/>
              </w:rPr>
            </w:pPr>
            <w:r>
              <w:rPr>
                <w:rFonts w:eastAsia="Cambria"/>
              </w:rPr>
              <w:t>None (Self-contained)</w:t>
            </w:r>
          </w:p>
        </w:tc>
      </w:tr>
      <w:tr w:rsidR="00BE2473" w14:paraId="121F25FB" w14:textId="77777777" w:rsidTr="00BE2473">
        <w:tc>
          <w:tcPr>
            <w:tcW w:w="766" w:type="dxa"/>
          </w:tcPr>
          <w:p w14:paraId="2B3C5351" w14:textId="77777777" w:rsidR="00BE2473" w:rsidRDefault="00000000">
            <w:pPr>
              <w:pStyle w:val="Compact"/>
              <w:rPr>
                <w:rFonts w:ascii="Cambria" w:eastAsia="Cambria" w:hAnsi="Cambria"/>
              </w:rPr>
            </w:pPr>
            <w:r>
              <w:rPr>
                <w:rFonts w:eastAsia="Cambria"/>
              </w:rPr>
              <w:t>k=2</w:t>
            </w:r>
          </w:p>
        </w:tc>
        <w:tc>
          <w:tcPr>
            <w:tcW w:w="1886" w:type="dxa"/>
          </w:tcPr>
          <w:p w14:paraId="44552038" w14:textId="77777777" w:rsidR="00BE2473" w:rsidRDefault="00000000">
            <w:pPr>
              <w:pStyle w:val="Compact"/>
              <w:rPr>
                <w:rFonts w:ascii="Cambria" w:eastAsia="Cambria" w:hAnsi="Cambria"/>
              </w:rPr>
            </w:pPr>
            <w:r>
              <w:rPr>
                <w:rFonts w:eastAsia="Cambria"/>
              </w:rPr>
              <w:t>Domain-Specific</w:t>
            </w:r>
          </w:p>
        </w:tc>
        <w:tc>
          <w:tcPr>
            <w:tcW w:w="3802" w:type="dxa"/>
          </w:tcPr>
          <w:p w14:paraId="10C1DD5D" w14:textId="77777777" w:rsidR="00BE2473" w:rsidRDefault="00000000">
            <w:pPr>
              <w:pStyle w:val="Compact"/>
              <w:rPr>
                <w:rFonts w:ascii="Cambria" w:eastAsia="Cambria" w:hAnsi="Cambria"/>
              </w:rPr>
            </w:pPr>
            <w:r>
              <w:rPr>
                <w:rFonts w:eastAsia="Cambria"/>
              </w:rPr>
              <w:t>Specialized or technical knowledge</w:t>
            </w:r>
          </w:p>
        </w:tc>
        <w:tc>
          <w:tcPr>
            <w:tcW w:w="2801" w:type="dxa"/>
          </w:tcPr>
          <w:p w14:paraId="7855E42A" w14:textId="77777777" w:rsidR="00BE2473" w:rsidRDefault="00000000">
            <w:pPr>
              <w:pStyle w:val="Compact"/>
              <w:rPr>
                <w:rFonts w:ascii="Cambria" w:eastAsia="Cambria" w:hAnsi="Cambria"/>
              </w:rPr>
            </w:pPr>
            <w:r>
              <w:rPr>
                <w:rFonts w:eastAsia="Cambria"/>
              </w:rPr>
              <w:t>Moderate (Field-specific)</w:t>
            </w:r>
          </w:p>
        </w:tc>
      </w:tr>
      <w:tr w:rsidR="00BE2473" w14:paraId="723B7A1B" w14:textId="77777777" w:rsidTr="00BE2473">
        <w:tc>
          <w:tcPr>
            <w:tcW w:w="766" w:type="dxa"/>
          </w:tcPr>
          <w:p w14:paraId="5000D849" w14:textId="77777777" w:rsidR="00BE2473" w:rsidRDefault="00000000">
            <w:pPr>
              <w:pStyle w:val="Compact"/>
              <w:rPr>
                <w:rFonts w:ascii="Cambria" w:eastAsia="Cambria" w:hAnsi="Cambria"/>
              </w:rPr>
            </w:pPr>
            <w:r>
              <w:rPr>
                <w:rFonts w:eastAsia="Cambria"/>
              </w:rPr>
              <w:t>k=3</w:t>
            </w:r>
          </w:p>
        </w:tc>
        <w:tc>
          <w:tcPr>
            <w:tcW w:w="1886" w:type="dxa"/>
          </w:tcPr>
          <w:p w14:paraId="4B765B02" w14:textId="77777777" w:rsidR="00BE2473" w:rsidRDefault="00000000">
            <w:pPr>
              <w:pStyle w:val="Compact"/>
              <w:rPr>
                <w:rFonts w:ascii="Cambria" w:eastAsia="Cambria" w:hAnsi="Cambria"/>
              </w:rPr>
            </w:pPr>
            <w:r>
              <w:rPr>
                <w:rFonts w:eastAsia="Cambria"/>
              </w:rPr>
              <w:t>Open-Domain</w:t>
            </w:r>
          </w:p>
        </w:tc>
        <w:tc>
          <w:tcPr>
            <w:tcW w:w="3802" w:type="dxa"/>
          </w:tcPr>
          <w:p w14:paraId="168E4A8C" w14:textId="77777777" w:rsidR="00BE2473" w:rsidRDefault="00000000">
            <w:pPr>
              <w:pStyle w:val="Compact"/>
              <w:rPr>
                <w:rFonts w:ascii="Cambria" w:eastAsia="Cambria" w:hAnsi="Cambria"/>
              </w:rPr>
            </w:pPr>
            <w:r>
              <w:rPr>
                <w:rFonts w:eastAsia="Cambria"/>
              </w:rPr>
              <w:t>General world knowledge/events</w:t>
            </w:r>
          </w:p>
        </w:tc>
        <w:tc>
          <w:tcPr>
            <w:tcW w:w="2801" w:type="dxa"/>
          </w:tcPr>
          <w:p w14:paraId="6BCEA922" w14:textId="77777777" w:rsidR="00BE2473" w:rsidRDefault="00000000">
            <w:pPr>
              <w:pStyle w:val="Compact"/>
              <w:rPr>
                <w:rFonts w:ascii="Cambria" w:eastAsia="Cambria" w:hAnsi="Cambria"/>
              </w:rPr>
            </w:pPr>
            <w:r>
              <w:rPr>
                <w:rFonts w:eastAsia="Cambria"/>
              </w:rPr>
              <w:t>High (External/Stored)</w:t>
            </w:r>
            <w:bookmarkStart w:id="3" w:name="tab%3Aknowledge"/>
            <w:bookmarkEnd w:id="3"/>
          </w:p>
        </w:tc>
      </w:tr>
    </w:tbl>
    <w:p w14:paraId="6EC84847" w14:textId="77777777" w:rsidR="00BE2473" w:rsidRDefault="00000000">
      <w:pPr>
        <w:pStyle w:val="BodyText"/>
      </w:pPr>
      <w:r>
        <w:rPr>
          <w:b/>
          <w:bCs/>
        </w:rPr>
        <w:t>Output Structure (o).</w:t>
      </w:r>
    </w:p>
    <w:p w14:paraId="1489D058" w14:textId="77777777" w:rsidR="00BE2473"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[29]. Table </w:t>
      </w:r>
      <w:hyperlink w:anchor="tab%3Aoutput">
        <w:r>
          <w:rPr>
            <w:rStyle w:val="Hyperlink"/>
          </w:rPr>
          <w:t>3</w:t>
        </w:r>
      </w:hyperlink>
      <w:r>
        <w:t xml:space="preserve"> summarizes the levels.</w:t>
      </w:r>
    </w:p>
    <w:p w14:paraId="060A7FE3" w14:textId="77777777" w:rsidR="00BE2473" w:rsidRDefault="00000000">
      <w:pPr>
        <w:pStyle w:val="TableCaption"/>
      </w:pPr>
      <w:r>
        <w:t>Table 3: Output Structure (o) Scoring Rubric</w:t>
      </w:r>
    </w:p>
    <w:tbl>
      <w:tblPr>
        <w:tblStyle w:val="Table"/>
        <w:tblW w:w="8177" w:type="dxa"/>
        <w:tblInd w:w="0" w:type="dxa"/>
        <w:tblLayout w:type="fixed"/>
        <w:tblLook w:val="0020" w:firstRow="1" w:lastRow="0" w:firstColumn="0" w:lastColumn="0" w:noHBand="0" w:noVBand="0"/>
      </w:tblPr>
      <w:tblGrid>
        <w:gridCol w:w="767"/>
        <w:gridCol w:w="1614"/>
        <w:gridCol w:w="3078"/>
        <w:gridCol w:w="2718"/>
      </w:tblGrid>
      <w:tr w:rsidR="00BE2473" w14:paraId="7D9BF002"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766" w:type="dxa"/>
            <w:tcBorders>
              <w:bottom w:val="single" w:sz="6" w:space="0" w:color="000000"/>
            </w:tcBorders>
          </w:tcPr>
          <w:p w14:paraId="5BD8D89E" w14:textId="77777777" w:rsidR="00BE2473" w:rsidRDefault="00000000">
            <w:pPr>
              <w:pStyle w:val="Compact"/>
              <w:rPr>
                <w:rFonts w:ascii="Cambria" w:eastAsia="Cambria" w:hAnsi="Cambria"/>
              </w:rPr>
            </w:pPr>
            <w:r>
              <w:rPr>
                <w:rFonts w:eastAsia="Cambria"/>
              </w:rPr>
              <w:t>Level</w:t>
            </w:r>
          </w:p>
        </w:tc>
        <w:tc>
          <w:tcPr>
            <w:tcW w:w="1614" w:type="dxa"/>
            <w:tcBorders>
              <w:bottom w:val="single" w:sz="6" w:space="0" w:color="000000"/>
            </w:tcBorders>
          </w:tcPr>
          <w:p w14:paraId="28FB053C" w14:textId="77777777" w:rsidR="00BE2473" w:rsidRDefault="00000000">
            <w:pPr>
              <w:pStyle w:val="Compact"/>
              <w:rPr>
                <w:rFonts w:ascii="Cambria" w:eastAsia="Cambria" w:hAnsi="Cambria"/>
              </w:rPr>
            </w:pPr>
            <w:r>
              <w:rPr>
                <w:rFonts w:eastAsia="Cambria"/>
              </w:rPr>
              <w:t>Type</w:t>
            </w:r>
          </w:p>
        </w:tc>
        <w:tc>
          <w:tcPr>
            <w:tcW w:w="3078" w:type="dxa"/>
            <w:tcBorders>
              <w:bottom w:val="single" w:sz="6" w:space="0" w:color="000000"/>
            </w:tcBorders>
          </w:tcPr>
          <w:p w14:paraId="41048E7C" w14:textId="77777777" w:rsidR="00BE2473" w:rsidRDefault="00000000">
            <w:pPr>
              <w:pStyle w:val="Compact"/>
              <w:rPr>
                <w:rFonts w:ascii="Cambria" w:eastAsia="Cambria" w:hAnsi="Cambria"/>
              </w:rPr>
            </w:pPr>
            <w:r>
              <w:rPr>
                <w:rFonts w:eastAsia="Cambria"/>
              </w:rPr>
              <w:t>Format Style</w:t>
            </w:r>
          </w:p>
        </w:tc>
        <w:tc>
          <w:tcPr>
            <w:tcW w:w="2718" w:type="dxa"/>
            <w:tcBorders>
              <w:bottom w:val="single" w:sz="6" w:space="0" w:color="000000"/>
            </w:tcBorders>
          </w:tcPr>
          <w:p w14:paraId="66DB1405" w14:textId="77777777" w:rsidR="00BE2473" w:rsidRDefault="00000000">
            <w:pPr>
              <w:pStyle w:val="Compact"/>
              <w:rPr>
                <w:rFonts w:ascii="Cambria" w:eastAsia="Cambria" w:hAnsi="Cambria"/>
              </w:rPr>
            </w:pPr>
            <w:r>
              <w:rPr>
                <w:rFonts w:eastAsia="Cambria"/>
              </w:rPr>
              <w:t>Primary Evaluation</w:t>
            </w:r>
          </w:p>
        </w:tc>
      </w:tr>
      <w:tr w:rsidR="00BE2473" w14:paraId="3AC9E1D1" w14:textId="77777777" w:rsidTr="00BE2473">
        <w:tc>
          <w:tcPr>
            <w:tcW w:w="766" w:type="dxa"/>
          </w:tcPr>
          <w:p w14:paraId="62538804" w14:textId="77777777" w:rsidR="00BE2473" w:rsidRDefault="00000000">
            <w:pPr>
              <w:pStyle w:val="Compact"/>
              <w:rPr>
                <w:rFonts w:ascii="Cambria" w:eastAsia="Cambria" w:hAnsi="Cambria"/>
              </w:rPr>
            </w:pPr>
            <w:r>
              <w:rPr>
                <w:rFonts w:eastAsia="Cambria"/>
              </w:rPr>
              <w:lastRenderedPageBreak/>
              <w:t>o=1</w:t>
            </w:r>
          </w:p>
        </w:tc>
        <w:tc>
          <w:tcPr>
            <w:tcW w:w="1614" w:type="dxa"/>
          </w:tcPr>
          <w:p w14:paraId="3995F511" w14:textId="77777777" w:rsidR="00BE2473" w:rsidRDefault="00000000">
            <w:pPr>
              <w:pStyle w:val="Compact"/>
              <w:rPr>
                <w:rFonts w:ascii="Cambria" w:eastAsia="Cambria" w:hAnsi="Cambria"/>
              </w:rPr>
            </w:pPr>
            <w:r>
              <w:rPr>
                <w:rFonts w:eastAsia="Cambria"/>
              </w:rPr>
              <w:t>Deterministic</w:t>
            </w:r>
          </w:p>
        </w:tc>
        <w:tc>
          <w:tcPr>
            <w:tcW w:w="3078" w:type="dxa"/>
          </w:tcPr>
          <w:p w14:paraId="48E7716E" w14:textId="77777777" w:rsidR="00BE2473" w:rsidRDefault="00000000">
            <w:pPr>
              <w:pStyle w:val="Compact"/>
              <w:rPr>
                <w:rFonts w:ascii="Cambria" w:eastAsia="Cambria" w:hAnsi="Cambria"/>
              </w:rPr>
            </w:pPr>
            <w:r>
              <w:rPr>
                <w:rFonts w:eastAsia="Cambria"/>
              </w:rPr>
              <w:t>Fixed (JSON, Binary, Labels)</w:t>
            </w:r>
          </w:p>
        </w:tc>
        <w:tc>
          <w:tcPr>
            <w:tcW w:w="2718" w:type="dxa"/>
          </w:tcPr>
          <w:p w14:paraId="71F76425" w14:textId="77777777" w:rsidR="00BE2473" w:rsidRDefault="00000000">
            <w:pPr>
              <w:pStyle w:val="Compact"/>
              <w:rPr>
                <w:rFonts w:ascii="Cambria" w:eastAsia="Cambria" w:hAnsi="Cambria"/>
              </w:rPr>
            </w:pPr>
            <w:r>
              <w:rPr>
                <w:rFonts w:eastAsia="Cambria"/>
              </w:rPr>
              <w:t>Accuracy / Exact Match</w:t>
            </w:r>
          </w:p>
        </w:tc>
      </w:tr>
      <w:tr w:rsidR="00BE2473" w14:paraId="2538C10C" w14:textId="77777777" w:rsidTr="00BE2473">
        <w:tc>
          <w:tcPr>
            <w:tcW w:w="766" w:type="dxa"/>
          </w:tcPr>
          <w:p w14:paraId="6DE8EADC" w14:textId="77777777" w:rsidR="00BE2473" w:rsidRDefault="00000000">
            <w:pPr>
              <w:pStyle w:val="Compact"/>
              <w:rPr>
                <w:rFonts w:ascii="Cambria" w:eastAsia="Cambria" w:hAnsi="Cambria"/>
              </w:rPr>
            </w:pPr>
            <w:r>
              <w:rPr>
                <w:rFonts w:eastAsia="Cambria"/>
              </w:rPr>
              <w:t>o=2</w:t>
            </w:r>
          </w:p>
        </w:tc>
        <w:tc>
          <w:tcPr>
            <w:tcW w:w="1614" w:type="dxa"/>
          </w:tcPr>
          <w:p w14:paraId="1B86F542" w14:textId="77777777" w:rsidR="00BE2473" w:rsidRDefault="00000000">
            <w:pPr>
              <w:pStyle w:val="Compact"/>
              <w:rPr>
                <w:rFonts w:ascii="Cambria" w:eastAsia="Cambria" w:hAnsi="Cambria"/>
              </w:rPr>
            </w:pPr>
            <w:r>
              <w:rPr>
                <w:rFonts w:eastAsia="Cambria"/>
              </w:rPr>
              <w:t>Templated</w:t>
            </w:r>
          </w:p>
        </w:tc>
        <w:tc>
          <w:tcPr>
            <w:tcW w:w="3078" w:type="dxa"/>
          </w:tcPr>
          <w:p w14:paraId="237B97B5" w14:textId="77777777" w:rsidR="00BE2473" w:rsidRDefault="00000000">
            <w:pPr>
              <w:pStyle w:val="Compact"/>
              <w:rPr>
                <w:rFonts w:ascii="Cambria" w:eastAsia="Cambria" w:hAnsi="Cambria"/>
              </w:rPr>
            </w:pPr>
            <w:r>
              <w:rPr>
                <w:rFonts w:eastAsia="Cambria"/>
              </w:rPr>
              <w:t xml:space="preserve">Constrained </w:t>
            </w:r>
            <w:proofErr w:type="gramStart"/>
            <w:r>
              <w:rPr>
                <w:rFonts w:eastAsia="Cambria"/>
              </w:rPr>
              <w:t>free-text</w:t>
            </w:r>
            <w:proofErr w:type="gramEnd"/>
          </w:p>
        </w:tc>
        <w:tc>
          <w:tcPr>
            <w:tcW w:w="2718" w:type="dxa"/>
          </w:tcPr>
          <w:p w14:paraId="5777AD1B" w14:textId="77777777" w:rsidR="00BE2473" w:rsidRDefault="00000000">
            <w:pPr>
              <w:pStyle w:val="Compact"/>
              <w:rPr>
                <w:rFonts w:ascii="Cambria" w:eastAsia="Cambria" w:hAnsi="Cambria"/>
              </w:rPr>
            </w:pPr>
            <w:r>
              <w:rPr>
                <w:rFonts w:eastAsia="Cambria"/>
              </w:rPr>
              <w:t>Adherence to Guidelines</w:t>
            </w:r>
          </w:p>
        </w:tc>
      </w:tr>
      <w:tr w:rsidR="00BE2473" w14:paraId="4682B9B1" w14:textId="77777777" w:rsidTr="00BE2473">
        <w:tc>
          <w:tcPr>
            <w:tcW w:w="766" w:type="dxa"/>
          </w:tcPr>
          <w:p w14:paraId="0D52B3D7" w14:textId="77777777" w:rsidR="00BE2473" w:rsidRDefault="00000000">
            <w:pPr>
              <w:pStyle w:val="Compact"/>
              <w:rPr>
                <w:rFonts w:ascii="Cambria" w:eastAsia="Cambria" w:hAnsi="Cambria"/>
              </w:rPr>
            </w:pPr>
            <w:r>
              <w:rPr>
                <w:rFonts w:eastAsia="Cambria"/>
              </w:rPr>
              <w:t>o=3</w:t>
            </w:r>
          </w:p>
        </w:tc>
        <w:tc>
          <w:tcPr>
            <w:tcW w:w="1614" w:type="dxa"/>
          </w:tcPr>
          <w:p w14:paraId="38CA07B6" w14:textId="77777777" w:rsidR="00BE2473" w:rsidRDefault="00000000">
            <w:pPr>
              <w:pStyle w:val="Compact"/>
              <w:rPr>
                <w:rFonts w:ascii="Cambria" w:eastAsia="Cambria" w:hAnsi="Cambria"/>
              </w:rPr>
            </w:pPr>
            <w:r>
              <w:rPr>
                <w:rFonts w:eastAsia="Cambria"/>
              </w:rPr>
              <w:t>Creative</w:t>
            </w:r>
          </w:p>
        </w:tc>
        <w:tc>
          <w:tcPr>
            <w:tcW w:w="3078" w:type="dxa"/>
          </w:tcPr>
          <w:p w14:paraId="3996AB55" w14:textId="77777777" w:rsidR="00BE2473" w:rsidRDefault="00000000">
            <w:pPr>
              <w:pStyle w:val="Compact"/>
              <w:rPr>
                <w:rFonts w:ascii="Cambria" w:eastAsia="Cambria" w:hAnsi="Cambria"/>
              </w:rPr>
            </w:pPr>
            <w:r>
              <w:rPr>
                <w:rFonts w:eastAsia="Cambria"/>
              </w:rPr>
              <w:t>Open-ended generation</w:t>
            </w:r>
          </w:p>
        </w:tc>
        <w:tc>
          <w:tcPr>
            <w:tcW w:w="2718" w:type="dxa"/>
          </w:tcPr>
          <w:p w14:paraId="6437AA07" w14:textId="77777777" w:rsidR="00BE2473" w:rsidRDefault="00000000">
            <w:pPr>
              <w:pStyle w:val="Compact"/>
              <w:rPr>
                <w:rFonts w:ascii="Cambria" w:eastAsia="Cambria" w:hAnsi="Cambria"/>
              </w:rPr>
            </w:pPr>
            <w:r>
              <w:rPr>
                <w:rFonts w:eastAsia="Cambria"/>
              </w:rPr>
              <w:t>Quality, Tone, &amp; Novelty</w:t>
            </w:r>
          </w:p>
        </w:tc>
      </w:tr>
    </w:tbl>
    <w:p w14:paraId="201A8B67" w14:textId="77777777" w:rsidR="00BE2473" w:rsidRDefault="00000000">
      <w:pPr>
        <w:pStyle w:val="Heading2"/>
      </w:pPr>
      <w:bookmarkStart w:id="4" w:name="sec%3Aaxes"/>
      <w:bookmarkStart w:id="5" w:name="tab%3Aoutput"/>
      <w:bookmarkEnd w:id="4"/>
      <w:bookmarkEnd w:id="5"/>
      <w:r>
        <w:rPr>
          <w:rStyle w:val="SectionNumber"/>
        </w:rPr>
        <w:t>2.2</w:t>
      </w:r>
      <w:r>
        <w:tab/>
        <w:t>System-Side Capabilities: The Envelope</w:t>
      </w:r>
    </w:p>
    <w:p w14:paraId="3562A890" w14:textId="77777777" w:rsidR="00BE2473" w:rsidRDefault="00000000">
      <w:pPr>
        <w:pStyle w:val="FirstParagraph"/>
      </w:pPr>
      <w:r>
        <w:t>Task suitability is measured by comparing the local inference stack (model, quantization level, and hardware; Table </w:t>
      </w:r>
      <w:hyperlink w:anchor="tab%3Aglossary">
        <w:r>
          <w:rPr>
            <w:rStyle w:val="Hyperlink"/>
          </w:rPr>
          <w:t>B1</w:t>
        </w:r>
      </w:hyperlink>
      <w:r>
        <w:t>, Appendix </w:t>
      </w:r>
      <w:hyperlink w:anchor="app%3Aglossary">
        <w:r>
          <w:rPr>
            <w:rStyle w:val="Hyperlink"/>
          </w:rPr>
          <w:t>B</w:t>
        </w:r>
      </w:hyperlink>
      <w:r>
        <w:t>) [30] against a reference baseline, preferably a frontier cloud LLM, on two dimensions: accuracy and latency.</w:t>
      </w:r>
    </w:p>
    <w:p w14:paraId="2B218AF2" w14:textId="67811186" w:rsidR="00BE2473" w:rsidRDefault="00000000">
      <w:pPr>
        <w:pStyle w:val="BodyText"/>
      </w:pPr>
      <w:r>
        <w:t xml:space="preserve">The </w:t>
      </w:r>
      <w:r>
        <w:rPr>
          <w:b/>
          <w:bCs/>
        </w:rPr>
        <w:t>Accuracy Ratio (AR)</w:t>
      </w:r>
      <w:r>
        <w:t xml:space="preserve"> is the SLM’s performance relative to the reference on whatever metric is appropriate for the task (e.g., F1, Recall, </w:t>
      </w:r>
      <w:proofErr w:type="spellStart"/>
      <w:r>
        <w:t>BERTScore</w:t>
      </w:r>
      <w:proofErr w:type="spellEnd"/>
      <w:r>
        <w:t>):</w:t>
      </w:r>
    </w:p>
    <w:p w14:paraId="40DC2F1F" w14:textId="77777777" w:rsidR="00BE2473" w:rsidRDefault="00000000">
      <w:pPr>
        <w:pStyle w:val="FirstParagraph"/>
      </w:pPr>
      <w:r>
        <w:t xml:space="preserve">An AR ≥ 1.0 means the SLM matches or exceeds the reference model; an AR &lt; 1.0 quantifies the “performance tax” of running </w:t>
      </w:r>
      <w:proofErr w:type="gramStart"/>
      <w:r>
        <w:t>on-device</w:t>
      </w:r>
      <w:proofErr w:type="gramEnd"/>
      <w:r>
        <w:t>.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3Avignette-c">
        <w:r>
          <w:rPr>
            <w:rStyle w:val="Hyperlink"/>
          </w:rPr>
          <w:t>3.4</w:t>
        </w:r>
      </w:hyperlink>
      <w:r>
        <w:t xml:space="preserve"> shows a case where it reverses the verdict.</w:t>
      </w:r>
    </w:p>
    <w:p w14:paraId="5A087D7F" w14:textId="77777777" w:rsidR="00BE2473" w:rsidRDefault="00000000">
      <w:pPr>
        <w:pStyle w:val="BodyText"/>
      </w:pPr>
      <w:r>
        <w:t>Organizations set thresholds based on their own risk threshold. The thresholds used in Section </w:t>
      </w:r>
      <w:hyperlink w:anchor="sec%3Asnapshot">
        <w:r>
          <w:rPr>
            <w:rStyle w:val="Hyperlink"/>
          </w:rPr>
          <w:t>3</w:t>
        </w:r>
      </w:hyperlink>
      <w:r>
        <w:t xml:space="preserve">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w:t>
      </w:r>
      <w:proofErr w:type="spellStart"/>
      <w:r>
        <w:t>BERTScore</w:t>
      </w:r>
      <w:proofErr w:type="spellEnd"/>
      <w:r>
        <w:t>,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682EB55A" w14:textId="0C2BD218" w:rsidR="00BE2473" w:rsidRDefault="00000000">
      <w:pPr>
        <w:pStyle w:val="BodyText"/>
      </w:pPr>
      <w:r>
        <w:rPr>
          <w:b/>
          <w:bCs/>
        </w:rPr>
        <w:t>Latency Efficiency (LE)</w:t>
      </w:r>
      <w:r>
        <w:t xml:space="preserve"> captures the speed consequence of local execution relative to the incumbent alternative:</w:t>
      </w:r>
    </w:p>
    <w:p w14:paraId="62F03E58" w14:textId="77777777" w:rsidR="00BE2473" w:rsidRDefault="00000000">
      <w:pPr>
        <w:pStyle w:val="FirstParagraph"/>
      </w:pPr>
      <w:r>
        <w:t>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[31], [32]. It is also important to note that LE penalizes slowdowns more than it credits equivalent speedups (negative values are unbounded). This asymmetry mirrors the general behavioral pattern that losses loom larger than equivalent gains [33], [34], and it is consistent with large-scale field experiments in which added delay measurably depressed search use, with effects that outlasted the delay itself [35].</w:t>
      </w:r>
    </w:p>
    <w:p w14:paraId="3594B174" w14:textId="77777777" w:rsidR="00BE2473" w:rsidRDefault="00000000">
      <w:pPr>
        <w:pStyle w:val="BodyText"/>
      </w:pPr>
      <w:r>
        <w:lastRenderedPageBreak/>
        <w:t xml:space="preserve">Because LE is purely relative, it says nothing about whether either system is fast </w:t>
      </w:r>
      <w:r>
        <w:rPr>
          <w:i/>
          <w:iCs/>
        </w:rPr>
        <w:t>enough</w:t>
      </w:r>
      <w:r>
        <w:t xml:space="preserve">,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w:t>
      </w:r>
      <w:proofErr w:type="spellStart"/>
      <w:r>
        <w:t>L_max</w:t>
      </w:r>
      <w:proofErr w:type="spellEnd"/>
      <w:r>
        <w:t>, a 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w:t>
      </w:r>
      <w:proofErr w:type="gramStart"/>
      <w:r>
        <w:t>first-token</w:t>
      </w:r>
      <w:proofErr w:type="gramEnd"/>
      <w:r>
        <w:t xml:space="preserve"> for interactive generation, or end-to-end completion time for bounded outputs) with repeated trials and reported spread, especially when cloud latency includes network variability.</w:t>
      </w:r>
    </w:p>
    <w:p w14:paraId="24686FCE" w14:textId="77777777" w:rsidR="00BE2473"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w:t>
      </w:r>
      <w:hyperlink w:anchor="fig%3Ascatter">
        <w:r>
          <w:t>Section 3.6). The framework keeps these as separate governance signals rather than collapsing them into a single score, because institutions weight safety, privacy, and workflow speed differently depending on the task.</w:t>
        </w:r>
      </w:hyperlink>
    </w:p>
    <w:p w14:paraId="5596024F" w14:textId="77777777" w:rsidR="00BE2473" w:rsidRDefault="00000000">
      <w:pPr>
        <w:pStyle w:val="Heading2"/>
      </w:pPr>
      <w:r>
        <w:rPr>
          <w:rStyle w:val="SectionNumber"/>
        </w:rPr>
        <w:t>2.3</w:t>
      </w:r>
      <w:r>
        <w:tab/>
        <w:t>Scope of Claims: What Is Model-Invariant</w:t>
      </w:r>
    </w:p>
    <w:p w14:paraId="76E36DAF" w14:textId="77777777" w:rsidR="00BE2473" w:rsidRDefault="00000000">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0DF3BC60" w14:textId="77777777" w:rsidR="00BE2473" w:rsidRDefault="00000000">
      <w:pPr>
        <w:pStyle w:val="BodyText"/>
      </w:pPr>
      <w:r>
        <w:rPr>
          <w:b/>
          <w:bCs/>
        </w:rPr>
        <w:t>Tier 1: The measurement procedure (model-invariant by construction).</w:t>
      </w:r>
    </w:p>
    <w:p w14:paraId="5A8E74A2" w14:textId="77777777" w:rsidR="00BE2473" w:rsidRDefault="00000000">
      <w:pPr>
        <w:pStyle w:val="BodyText"/>
      </w:pPr>
      <w:r>
        <w:t>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w:t>
      </w:r>
    </w:p>
    <w:p w14:paraId="261D48D0" w14:textId="77777777" w:rsidR="00BE2473" w:rsidRDefault="00000000">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w:t>
      </w:r>
      <w:hyperlink w:anchor="sec%3Asnapshot">
        <w:r>
          <w:rPr>
            <w:rStyle w:val="Hyperlink"/>
          </w:rPr>
          <w:t>3</w:t>
        </w:r>
      </w:hyperlink>
      <w:r>
        <w:t xml:space="preserve"> already includes a local 8B-versus-70B pair [36]).</w:t>
      </w:r>
    </w:p>
    <w:p w14:paraId="4C7F24DC" w14:textId="77777777" w:rsidR="00BE2473" w:rsidRDefault="00000000">
      <w:pPr>
        <w:pStyle w:val="BodyText"/>
      </w:pPr>
      <w:r>
        <w:rPr>
          <w:b/>
          <w:bCs/>
        </w:rPr>
        <w:t>Tier 2: A directional mechanism (expected to hold across model generations).</w:t>
      </w:r>
    </w:p>
    <w:p w14:paraId="44B5E8D5" w14:textId="77777777" w:rsidR="00BE2473" w:rsidRDefault="00000000">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w:t>
      </w:r>
    </w:p>
    <w:p w14:paraId="11B21636" w14:textId="77777777" w:rsidR="00BE2473" w:rsidRDefault="00000000">
      <w:pPr>
        <w:pStyle w:val="BodyText"/>
      </w:pPr>
      <w:r>
        <w:t xml:space="preserve">The three axes within the FIT-SLM-HC framework are predicted to act through three </w:t>
      </w:r>
      <w:r>
        <w:rPr>
          <w:i/>
          <w:iCs/>
        </w:rPr>
        <w:t>different</w:t>
      </w:r>
      <w:r>
        <w:t xml:space="preserve"> mechanisms. For the </w:t>
      </w:r>
      <w:r>
        <w:rPr>
          <w:i/>
          <w:iCs/>
        </w:rPr>
        <w:t>knowledge axis</w:t>
      </w:r>
      <w:r>
        <w:t xml:space="preserve">, overall model capability is predicted to scale </w:t>
      </w:r>
      <w:r>
        <w:lastRenderedPageBreak/>
        <w:t>smoothly with parameter count [37], and the factual knowledge a model can store in its weights also scales with parameter count [38]. This means a smaller model is at its greatest disadvantage when answers must come from stored knowledge rather than from the prompt. At k=1, the prompt itself supplies the knowledge, and the disadvantage is largely neutralized [27], [28].</w:t>
      </w:r>
    </w:p>
    <w:p w14:paraId="780ADF7E" w14:textId="77777777" w:rsidR="00BE2473" w:rsidRDefault="00000000">
      <w:pPr>
        <w:pStyle w:val="BodyText"/>
      </w:pPr>
      <w:r>
        <w:t xml:space="preserve">For the </w:t>
      </w:r>
      <w:r>
        <w:rPr>
          <w:i/>
          <w:iCs/>
        </w:rPr>
        <w:t>reasoning axis</w:t>
      </w:r>
      <w:r>
        <w:t>, every added reasoning step compounds the chance of error, and smaller models lose more accuracy on multi-step reasoning than larger ones do [25], [39], so the capability gap widens with r.</w:t>
      </w:r>
    </w:p>
    <w:p w14:paraId="542CE8B9" w14:textId="77777777" w:rsidR="00BE2473" w:rsidRDefault="00000000">
      <w:pPr>
        <w:pStyle w:val="BodyText"/>
      </w:pPr>
      <w:r>
        <w:t xml:space="preserve">Lastly, on the </w:t>
      </w:r>
      <w:r>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w:t>
      </w:r>
      <w:hyperlink w:anchor="sec%3Asnapshot">
        <w:r>
          <w:rPr>
            <w:rStyle w:val="Hyperlink"/>
          </w:rPr>
          <w:t>3</w:t>
        </w:r>
      </w:hyperlink>
      <w:r>
        <w:t>.</w:t>
      </w:r>
    </w:p>
    <w:p w14:paraId="59E8D619" w14:textId="77777777" w:rsidR="00BE2473" w:rsidRDefault="00000000">
      <w:pPr>
        <w:pStyle w:val="BodyText"/>
      </w:pPr>
      <w:r>
        <w:rPr>
          <w:b/>
          <w:bCs/>
        </w:rPr>
        <w:t>Tier 3: A time-indexed snapshot (expected to date).</w:t>
      </w:r>
    </w:p>
    <w:p w14:paraId="546A7591" w14:textId="77777777" w:rsidR="00BE2473" w:rsidRDefault="00000000">
      <w:pPr>
        <w:pStyle w:val="BodyText"/>
      </w:pPr>
      <w:r>
        <w:t>The retrospective application in Section </w:t>
      </w:r>
      <w:hyperlink w:anchor="sec%3Asnapshot">
        <w:r>
          <w:rPr>
            <w:rStyle w:val="Hyperlink"/>
          </w:rPr>
          <w:t>3</w:t>
        </w:r>
      </w:hyperlink>
      <w:r>
        <w:t xml:space="preserve"> provides an empirical snapshot of healthcare benchmarks published between 2024 and 2026 using the models those studies evaluated. The snapshot demonstrates the framework, and provides a descriptive, non-confirmatory assessment of it.</w:t>
      </w:r>
    </w:p>
    <w:p w14:paraId="132D1884" w14:textId="77777777" w:rsidR="00BE2473" w:rsidRDefault="00000000">
      <w:pPr>
        <w:pStyle w:val="Heading1"/>
      </w:pPr>
      <w:bookmarkStart w:id="6" w:name="sec%3Aframework"/>
      <w:bookmarkStart w:id="7" w:name="sec%3Ascope"/>
      <w:bookmarkEnd w:id="6"/>
      <w:bookmarkEnd w:id="7"/>
      <w:r>
        <w:rPr>
          <w:rStyle w:val="SectionNumber"/>
        </w:rPr>
        <w:t>3</w:t>
      </w:r>
      <w:r>
        <w:tab/>
        <w:t>Illustrative Applications: A 2024–2026 Snapshot</w:t>
      </w:r>
    </w:p>
    <w:p w14:paraId="44123574" w14:textId="77777777" w:rsidR="00BE2473" w:rsidRDefault="00000000">
      <w:pPr>
        <w:pStyle w:val="FirstParagraph"/>
      </w:pPr>
      <w:r>
        <w:t xml:space="preserve">This section applies FIT-SLM-HC retrospectively to published healthcare benchmarks to show how the framework behaves in real-world cases. Three detailed vignettes are presented: one task inside the envelope with both </w:t>
      </w:r>
      <w:proofErr w:type="gramStart"/>
      <w:r>
        <w:t>metrics</w:t>
      </w:r>
      <w:proofErr w:type="gramEnd"/>
      <w:r>
        <w:t xml:space="preserve"> measurable (Section </w:t>
      </w:r>
      <w:hyperlink w:anchor="sec%3Avignette-a">
        <w:r>
          <w:rPr>
            <w:rStyle w:val="Hyperlink"/>
          </w:rPr>
          <w:t>3.2</w:t>
        </w:r>
      </w:hyperlink>
      <w:r>
        <w:t>), one outside on the clinically conservative metric (Section </w:t>
      </w:r>
      <w:hyperlink w:anchor="sec%3Avignette-b">
        <w:r>
          <w:rPr>
            <w:rStyle w:val="Hyperlink"/>
          </w:rPr>
          <w:t>3.3</w:t>
        </w:r>
      </w:hyperlink>
      <w:r>
        <w:t>), and one in which the choice of reference standard flips the verdict (Section </w:t>
      </w:r>
      <w:hyperlink w:anchor="sec%3Avignette-c">
        <w:r>
          <w:rPr>
            <w:rStyle w:val="Hyperlink"/>
          </w:rPr>
          <w:t>3.4</w:t>
        </w:r>
      </w:hyperlink>
      <w:r>
        <w:t>).</w:t>
      </w:r>
    </w:p>
    <w:p w14:paraId="09997125" w14:textId="77777777" w:rsidR="00BE2473" w:rsidRDefault="00000000">
      <w:pPr>
        <w:pStyle w:val="BodyText"/>
      </w:pPr>
      <w:r>
        <w:t>An extended retrospective application to twenty-two tasks across eleven benchmarks follows and is presented descriptively with a full set of sensitivity analyses (formal association tests are confined to Appendix </w:t>
      </w:r>
      <w:hyperlink w:anchor="app%3Atests">
        <w:r>
          <w:rPr>
            <w:rStyle w:val="Hyperlink"/>
          </w:rPr>
          <w:t>A</w:t>
        </w:r>
      </w:hyperlink>
      <w:r>
        <w:t>, labeled exploratory).</w:t>
      </w:r>
    </w:p>
    <w:p w14:paraId="5E964F4A" w14:textId="77777777" w:rsidR="00BE2473" w:rsidRDefault="00000000">
      <w:pPr>
        <w:pStyle w:val="BodyText"/>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3Amethods-retro">
        <w:r>
          <w:rPr>
            <w:rStyle w:val="Hyperlink"/>
          </w:rPr>
          <w:t>3.1</w:t>
        </w:r>
      </w:hyperlink>
      <w:r>
        <w:t xml:space="preserve"> and </w:t>
      </w:r>
      <w:hyperlink w:anchor="sec%3Aresults">
        <w:r>
          <w:rPr>
            <w:rStyle w:val="Hyperlink"/>
          </w:rPr>
          <w:t>3.6</w:t>
        </w:r>
      </w:hyperlink>
      <w:r>
        <w:t>, and Limitations, Section </w:t>
      </w:r>
      <w:hyperlink w:anchor="sec%3Adiscussion">
        <w:r>
          <w:rPr>
            <w:rStyle w:val="Hyperlink"/>
          </w:rPr>
          <w:t>4</w:t>
        </w:r>
      </w:hyperlink>
      <w:r>
        <w:t>).</w:t>
      </w:r>
    </w:p>
    <w:p w14:paraId="476CA239" w14:textId="77777777" w:rsidR="00BE2473" w:rsidRDefault="00000000">
      <w:pPr>
        <w:pStyle w:val="Heading2"/>
      </w:pPr>
      <w:r>
        <w:rPr>
          <w:rStyle w:val="SectionNumber"/>
        </w:rPr>
        <w:t>3.1</w:t>
      </w:r>
      <w:r>
        <w:tab/>
        <w:t>Methods for the Retrospective Application</w:t>
      </w:r>
    </w:p>
    <w:p w14:paraId="2D984478" w14:textId="77777777" w:rsidR="00BE2473" w:rsidRDefault="00000000">
      <w:pPr>
        <w:pStyle w:val="FirstParagraph"/>
      </w:pPr>
      <w:r>
        <w:rPr>
          <w:b/>
          <w:bCs/>
        </w:rPr>
        <w:t>Study identification.</w:t>
      </w:r>
    </w:p>
    <w:p w14:paraId="45876851" w14:textId="77777777" w:rsidR="00BE2473" w:rsidRDefault="00000000">
      <w:pPr>
        <w:pStyle w:val="BodyText"/>
      </w:pPr>
      <w:r>
        <w:t xml:space="preserve">Published healthcare benchmarks comparing SLM(s) and a larger reference model on the same task were identified through a non-systematic convenience search of PubMed, </w:t>
      </w:r>
      <w:proofErr w:type="spellStart"/>
      <w:r>
        <w:t>arXiv</w:t>
      </w:r>
      <w:proofErr w:type="spellEnd"/>
      <w:r>
        <w:t>, and Google Scholar between September 2024 and April 2026, using combinations of “small language model,” “clinical,” “biomedical,” “on-device,” “local deployment,” and names of specific SLMs (e.g., Phi, Llama-3 8B, Gemma, Qwen).</w:t>
      </w:r>
    </w:p>
    <w:p w14:paraId="76B9B228" w14:textId="77777777" w:rsidR="00BE2473" w:rsidRDefault="00000000">
      <w:pPr>
        <w:pStyle w:val="BodyText"/>
      </w:pPr>
      <w:r>
        <w:lastRenderedPageBreak/>
        <w:t>Inclusion required (a) at least one reported SLM-scale model (≤ 9B parameters, the operational cutoff adopted for this snapshot under the functional definition in Section </w:t>
      </w:r>
      <w:hyperlink w:anchor="sec%3Aintro">
        <w:r>
          <w:rPr>
            <w:rStyle w:val="Hyperlink"/>
          </w:rPr>
          <w:t>1</w:t>
        </w:r>
      </w:hyperlink>
      <w:r>
        <w:t>), (b) a cloud-scale or larger reference model evaluated on the same task under comparable conditions, and (c) numerical reporting to compute AR.</w:t>
      </w:r>
    </w:p>
    <w:p w14:paraId="4CF4945A" w14:textId="77777777" w:rsidR="00BE2473" w:rsidRDefault="00000000">
      <w:pPr>
        <w:pStyle w:val="BodyText"/>
      </w:pPr>
      <w:r>
        <w:t xml:space="preserve">Studies reporting only aggregate leaderboard scores without task-level splits, studies not primarily in healthcare, and studies without a comparator were excluded. This procedure is thus a convenience-based retrospective mapping and should not be interpreted as a systematic review. </w:t>
      </w:r>
    </w:p>
    <w:p w14:paraId="5DEC2938" w14:textId="77777777" w:rsidR="00BE2473" w:rsidRDefault="00000000">
      <w:pPr>
        <w:pStyle w:val="BodyText"/>
      </w:pPr>
      <w:r>
        <w:t>Two additional studies, the sources of Vignettes B and C (Sections 3.3 and 3.4) also meet the criteria but are presented as stand-alone vignettes rather than as extended-table rows, because each was selected to illustrate a specific boundary condition (metric choice and reference-standard choice, respectively). References in this paper to the thirteen studies examined therefore mean the eleven Table 4 sources plus these two vignette-only sources.</w:t>
      </w:r>
    </w:p>
    <w:p w14:paraId="47F63218" w14:textId="77777777" w:rsidR="00BE2473" w:rsidRDefault="00000000">
      <w:pPr>
        <w:pStyle w:val="BodyText"/>
      </w:pPr>
      <w:r>
        <w:rPr>
          <w:b/>
          <w:bCs/>
        </w:rPr>
        <w:t>Structure of the resulting sample.</w:t>
      </w:r>
    </w:p>
    <w:p w14:paraId="4AEC9A03" w14:textId="77777777" w:rsidR="00BE2473" w:rsidRDefault="00000000">
      <w:pPr>
        <w:pStyle w:val="BodyText"/>
      </w:pPr>
      <w:r>
        <w:t>The 22 unique tasks cluster heavily by source, with one study (</w:t>
      </w:r>
      <w:proofErr w:type="spellStart"/>
      <w:r>
        <w:t>MedS</w:t>
      </w:r>
      <w:proofErr w:type="spellEnd"/>
      <w:r>
        <w:t>-Bench [40]) contributing seven tasks, and three further studies contributing two or three tasks each. The following data is thus descriptive and the sensitivity analyses in Section </w:t>
      </w:r>
      <w:hyperlink w:anchor="sec%3Aresults">
        <w:r>
          <w:rPr>
            <w:rStyle w:val="Hyperlink"/>
          </w:rPr>
          <w:t>3.6</w:t>
        </w:r>
      </w:hyperlink>
      <w:r>
        <w:t xml:space="preserve"> quantify how much each source cluster drives the overall aggregate-level picture.</w:t>
      </w:r>
    </w:p>
    <w:p w14:paraId="71DD3004" w14:textId="77777777" w:rsidR="00BE2473" w:rsidRDefault="00000000">
      <w:pPr>
        <w:pStyle w:val="BodyText"/>
      </w:pPr>
      <w:r>
        <w:rPr>
          <w:b/>
          <w:bCs/>
        </w:rPr>
        <w:t>Axis scoring and blinding status.</w:t>
      </w:r>
    </w:p>
    <w:p w14:paraId="4D87FBDE" w14:textId="77777777" w:rsidR="00BE2473" w:rsidRDefault="00000000">
      <w:pPr>
        <w:pStyle w:val="BodyText"/>
      </w:pPr>
      <w:r>
        <w:t>Each task was scored on (r, k, o) by the manuscript author using the rubrics (Section </w:t>
      </w:r>
      <w:hyperlink w:anchor="sec%3Aaxes">
        <w:r>
          <w:rPr>
            <w:rStyle w:val="Hyperlink"/>
          </w:rPr>
          <w:t>2.1</w:t>
        </w:r>
      </w:hyperlink>
      <w:r>
        <w:t xml:space="preserve">) based on the task description, example inputs, and target outputs. When a source reported multiple </w:t>
      </w:r>
      <w:proofErr w:type="gramStart"/>
      <w:r>
        <w:t>tasks</w:t>
      </w:r>
      <w:proofErr w:type="gramEnd"/>
      <w:r>
        <w:t xml:space="preserve"> each task was scored separately. Ambiguous cases were scored conservatively (the higher level on the disputed axis). Two caveats about this scoring approach are important to highlight. First, it is single-</w:t>
      </w:r>
      <w:proofErr w:type="gramStart"/>
      <w:r>
        <w:t>rater</w:t>
      </w:r>
      <w:proofErr w:type="gramEnd"/>
      <w:r>
        <w:t xml:space="preserve"> and the rater is the framework’s designer. Second, the original scoring pass, the one used in Table </w:t>
      </w:r>
      <w:hyperlink w:anchor="tab%3Aextended">
        <w:r>
          <w:rPr>
            <w:rStyle w:val="Hyperlink"/>
          </w:rPr>
          <w:t>4</w:t>
        </w:r>
      </w:hyperlink>
      <w:r>
        <w:t xml:space="preserve">, was performed with the source studies’ results in view so it was </w:t>
      </w:r>
      <w:r>
        <w:rPr>
          <w:i/>
          <w:iCs/>
        </w:rPr>
        <w:t>not</w:t>
      </w:r>
      <w:r>
        <w:t xml:space="preserve"> blind to the outcomes it is compared against.</w:t>
      </w:r>
    </w:p>
    <w:p w14:paraId="74D65B92" w14:textId="77777777" w:rsidR="00BE2473" w:rsidRDefault="00000000">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3Aresults">
        <w:r>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5E83EDC4" w14:textId="77777777" w:rsidR="00BE2473" w:rsidRDefault="00000000">
      <w:pPr>
        <w:pStyle w:val="BodyText"/>
      </w:pPr>
      <w:r>
        <w:rPr>
          <w:b/>
          <w:bCs/>
        </w:rPr>
        <w:t>Analysis.</w:t>
      </w:r>
    </w:p>
    <w:p w14:paraId="06457078" w14:textId="77777777" w:rsidR="00BE2473" w:rsidRDefault="00000000">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1), while the absolute latency target (</w:t>
      </w:r>
      <w:proofErr w:type="spellStart"/>
      <w:r>
        <w:t>L_max</w:t>
      </w:r>
      <w:proofErr w:type="spellEnd"/>
      <w:r>
        <w:t>) is checked later at deployment because each institution sets its own speed requirement.</w:t>
      </w:r>
    </w:p>
    <w:p w14:paraId="30F84D2A" w14:textId="77777777" w:rsidR="00BE2473" w:rsidRDefault="00000000">
      <w:pPr>
        <w:pStyle w:val="BodyText"/>
      </w:pPr>
      <w:r>
        <w:lastRenderedPageBreak/>
        <w:t xml:space="preserve">Sensitivity analyses were performed to test whether the main patterns hold under (a) the outcome-blind re-score, (b) leave-one-study-out deletion, (c) every possible one-task-per-study subsample, (d) removal of the two axis-sum-7 tasks, and (e) removal of the </w:t>
      </w:r>
      <w:proofErr w:type="spellStart"/>
      <w:r>
        <w:t>MedS</w:t>
      </w:r>
      <w:proofErr w:type="spellEnd"/>
      <w:r>
        <w:t>-Bench cluster. The scoring audit reports agreement, κ, the direction of all disagreements with an exact sign test, and Bowker’s test of marginal homogeneity [41].</w:t>
      </w:r>
    </w:p>
    <w:p w14:paraId="40B5061F" w14:textId="77777777" w:rsidR="00BE2473" w:rsidRDefault="00000000">
      <w:pPr>
        <w:pStyle w:val="BodyText"/>
      </w:pPr>
      <w:r>
        <w:t>Formal association tests are reported in Appendix </w:t>
      </w:r>
      <w:hyperlink w:anchor="app%3Atests">
        <w:r>
          <w:rPr>
            <w:rStyle w:val="Hyperlink"/>
          </w:rPr>
          <w:t>A</w:t>
        </w:r>
      </w:hyperlink>
      <w:r>
        <w:t xml:space="preserve"> and are exploratory.</w:t>
      </w:r>
    </w:p>
    <w:p w14:paraId="7BB8A023" w14:textId="77777777" w:rsidR="00BE2473" w:rsidRDefault="00000000">
      <w:pPr>
        <w:pStyle w:val="Heading2"/>
      </w:pPr>
      <w:bookmarkStart w:id="8" w:name="sec%3Amethods-retro"/>
      <w:bookmarkEnd w:id="8"/>
      <w:r>
        <w:rPr>
          <w:rStyle w:val="SectionNumber"/>
        </w:rPr>
        <w:t>3.2</w:t>
      </w:r>
      <w:r>
        <w:tab/>
        <w:t>Vignette A: Inside the Envelope (Pathology Structured-Data Extraction)</w:t>
      </w:r>
    </w:p>
    <w:p w14:paraId="74E4467D" w14:textId="77777777" w:rsidR="00BE2473" w:rsidRDefault="00000000">
      <w:pPr>
        <w:pStyle w:val="FirstParagraph"/>
      </w:pPr>
      <w:r>
        <w:t>The first case is extraction of structured parameters from free-text pathology reports [42], the only task in the extended table (Table 4) for which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4711946" w14:textId="77777777" w:rsidR="00BE2473" w:rsidRDefault="00000000">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31E399FA" w14:textId="77777777" w:rsidR="00BE2473" w:rsidRDefault="00000000">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3Aextended">
        <w:r>
          <w:rPr>
            <w:rStyle w:val="Hyperlink"/>
          </w:rPr>
          <w:t>4</w:t>
        </w:r>
      </w:hyperlink>
      <w:r>
        <w:t xml:space="preserve"> therefore carries the 4-bit variant as its own evaluation row: an envelope verdict certifies a configuration, not a model name.</w:t>
      </w:r>
    </w:p>
    <w:p w14:paraId="0396D5EE" w14:textId="77777777" w:rsidR="00BE2473" w:rsidRDefault="00000000">
      <w:pPr>
        <w:pStyle w:val="Heading2"/>
      </w:pPr>
      <w:bookmarkStart w:id="9" w:name="sec%3Avignette-a"/>
      <w:bookmarkEnd w:id="9"/>
      <w:r>
        <w:rPr>
          <w:rStyle w:val="SectionNumber"/>
        </w:rPr>
        <w:t>3.3</w:t>
      </w:r>
      <w:r>
        <w:tab/>
        <w:t>Vignette B: Outside the Envelope (MIMIC-IV Clinical Note Summarization)</w:t>
      </w:r>
    </w:p>
    <w:p w14:paraId="4C99B139" w14:textId="77777777" w:rsidR="00BE2473" w:rsidRDefault="00000000">
      <w:pPr>
        <w:pStyle w:val="FirstParagraph"/>
      </w:pPr>
      <w:r>
        <w:t>The second case is extractive summarization of discharge summaries from the MIMIC-IV clinical database [43].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3F30C687" w14:textId="77777777" w:rsidR="00BE2473" w:rsidRDefault="00000000">
      <w:pPr>
        <w:pStyle w:val="BodyText"/>
      </w:pPr>
      <w:r>
        <w:lastRenderedPageBreak/>
        <w:t xml:space="preserve">The comparison here is LLaMa-3-8B on a local NVIDIA A100 GPU (a data-center-class graphics processing unit) against GPT-4o via cloud API. Against GPT-4o, the results split sharply by metric. On ROUGE-1 (unigram content recall), LLaMa-3-8B scored 0.535 versus 0.731, for an AR = 0.73. On </w:t>
      </w:r>
      <w:proofErr w:type="spellStart"/>
      <w:r>
        <w:t>BERTScore</w:t>
      </w:r>
      <w:proofErr w:type="spellEnd"/>
      <w:r>
        <w:t xml:space="preserve"> F1 (semantic similarity), it scored 0.828 versus 0.841, an AR = 0.98. On reported timing, the local model processed each note in 5.49 seconds versus 10.98 seconds for the cloud API (LE = 0.50).</w:t>
      </w:r>
    </w:p>
    <w:p w14:paraId="4D3CF552" w14:textId="77777777" w:rsidR="00BE2473" w:rsidRDefault="00000000">
      <w:pPr>
        <w:pStyle w:val="BodyText"/>
      </w:pPr>
      <w:r>
        <w:t xml:space="preserve">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w:t>
      </w:r>
      <w:proofErr w:type="gramStart"/>
      <w:r>
        <w:t>lower-risk</w:t>
      </w:r>
      <w:proofErr w:type="gramEnd"/>
      <w:r>
        <w:t xml:space="preserve"> uses where the overall gist matters more than exhaustive detail, the </w:t>
      </w:r>
      <w:proofErr w:type="spellStart"/>
      <w:r>
        <w:t>BERTScore</w:t>
      </w:r>
      <w:proofErr w:type="spellEnd"/>
      <w:r>
        <w:t xml:space="preserve"> AR suggests viability under human review. The contrast with Vignette A is the framework’s intended discriminative behavior: a (1,2,1) extraction task holds 94% of the reference’s accuracy, while a (2,1,2) summarization task loses 27% of its content recall.</w:t>
      </w:r>
    </w:p>
    <w:p w14:paraId="369C212F" w14:textId="77777777" w:rsidR="00BE2473" w:rsidRDefault="00000000">
      <w:pPr>
        <w:pStyle w:val="Heading2"/>
      </w:pPr>
      <w:bookmarkStart w:id="10" w:name="sec%3Avignette-b"/>
      <w:bookmarkEnd w:id="10"/>
      <w:r>
        <w:rPr>
          <w:rStyle w:val="SectionNumber"/>
        </w:rPr>
        <w:t>3.4</w:t>
      </w:r>
      <w:r>
        <w:tab/>
        <w:t>Vignette C: The Reference Standard Flips the Verdict (Wearable Fatigue Prediction)</w:t>
      </w:r>
    </w:p>
    <w:p w14:paraId="1EB1CC1D" w14:textId="77777777" w:rsidR="00BE2473" w:rsidRDefault="00000000">
      <w:pPr>
        <w:pStyle w:val="FirstParagraph"/>
      </w:pPr>
      <w:r>
        <w:t>The third case is a fatigue prediction task from wearable data (</w:t>
      </w:r>
      <w:proofErr w:type="spellStart"/>
      <w:r>
        <w:t>HealthSLM</w:t>
      </w:r>
      <w:proofErr w:type="spellEnd"/>
      <w:r>
        <w:t>-Bench [44]).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25F02551" w14:textId="77777777" w:rsidR="00BE2473" w:rsidRDefault="00000000">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w:t>
      </w:r>
    </w:p>
    <w:p w14:paraId="08D4516C" w14:textId="77777777" w:rsidR="00BE2473" w:rsidRDefault="00000000">
      <w:pPr>
        <w:pStyle w:val="BodyText"/>
      </w:pPr>
      <w:r>
        <w:t>On latency, they report time-to-</w:t>
      </w:r>
      <w:proofErr w:type="gramStart"/>
      <w:r>
        <w:t>first-token</w:t>
      </w:r>
      <w:proofErr w:type="gramEnd"/>
      <w:r>
        <w:t xml:space="preserve"> for on-device models only (6.39 s for Phi-3-mini-4k versus 29.12 s for Llama-2-7B on an iPhone 15 Pro Max) with no cloud latency reported.</w:t>
      </w:r>
    </w:p>
    <w:p w14:paraId="54444A2A" w14:textId="77777777" w:rsidR="00BE2473" w:rsidRDefault="00000000">
      <w:pPr>
        <w:pStyle w:val="BodyText"/>
      </w:pPr>
      <w:r>
        <w:t>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w:t>
      </w:r>
    </w:p>
    <w:p w14:paraId="5ADE145C" w14:textId="77777777" w:rsidR="00BE2473" w:rsidRDefault="00000000">
      <w:pPr>
        <w:pStyle w:val="Heading2"/>
      </w:pPr>
      <w:bookmarkStart w:id="11" w:name="sec%3Avignette-c"/>
      <w:bookmarkEnd w:id="11"/>
      <w:r>
        <w:rPr>
          <w:rStyle w:val="SectionNumber"/>
        </w:rPr>
        <w:lastRenderedPageBreak/>
        <w:t>3.5</w:t>
      </w:r>
      <w:r>
        <w:tab/>
        <w:t>Extended Application Across Published Benchmarks</w:t>
      </w:r>
    </w:p>
    <w:p w14:paraId="14BFE4DE" w14:textId="77777777" w:rsidR="00BE2473" w:rsidRDefault="00000000">
      <w:pPr>
        <w:pStyle w:val="FirstParagraph"/>
      </w:pPr>
      <w:r>
        <w:t>The three vignettes were chosen to illustrate boundary cases, so by themselves they cannot show how the framework behaves across the published literature more broadly. The snapshot below therefore asks across the benchmarks identified in Section </w:t>
      </w:r>
      <w:hyperlink w:anchor="sec%3Amethods-retro">
        <w:r>
          <w:rPr>
            <w:rStyle w:val="Hyperlink"/>
          </w:rPr>
          <w:t>3.1</w:t>
        </w:r>
      </w:hyperlink>
      <w:r>
        <w:t>, do the three task axes separate the places where small models keep up from the places where they fall short? To fill that gap and further characterize the framework’s behavior beyond the three vignettes, FIT-SLM-HC was applied retrospectively to 22 unique healthcare tasks from 11 recent benchmark studies using the identification and scoring procedure described in Section </w:t>
      </w:r>
      <w:hyperlink w:anchor="sec%3Amethods-retro">
        <w:r>
          <w:rPr>
            <w:rStyle w:val="Hyperlink"/>
          </w:rPr>
          <w:t>3.1</w:t>
        </w:r>
      </w:hyperlink>
      <w:r>
        <w:t>.</w:t>
      </w:r>
    </w:p>
    <w:p w14:paraId="20BBCB27" w14:textId="77777777" w:rsidR="00BE2473" w:rsidRDefault="00000000">
      <w:pPr>
        <w:pStyle w:val="BodyText"/>
      </w:pPr>
      <w:r>
        <w:t>For each task, the best-performing SLM and a cloud or larger reference model from the published results were identified, and the Accuracy Ratio was computed. Where inference latency was reported for both systems, Latency Efficiency was also computed. One study [42] additionally reported a 4-bit quantized variant of the same task, which is retained in Table </w:t>
      </w:r>
      <w:hyperlink w:anchor="tab%3Aextended">
        <w:r>
          <w:rPr>
            <w:rStyle w:val="Hyperlink"/>
          </w:rPr>
          <w:t>4</w:t>
        </w:r>
      </w:hyperlink>
      <w:r>
        <w:t xml:space="preserve"> as a separate row (marked with </w:t>
      </w:r>
      <w:r>
        <w:rPr>
          <w:vertAlign w:val="superscript"/>
        </w:rPr>
        <w:t>c</w:t>
      </w:r>
      <w:r>
        <w:t>) to illustrate configuration-level effects, yielding 23 evaluation rows in total. Table </w:t>
      </w:r>
      <w:hyperlink w:anchor="tab%3Aextended">
        <w:r>
          <w:rPr>
            <w:rStyle w:val="Hyperlink"/>
          </w:rPr>
          <w:t>4</w:t>
        </w:r>
      </w:hyperlink>
      <w:r>
        <w:t xml:space="preserve"> reports the results.</w:t>
      </w:r>
    </w:p>
    <w:p w14:paraId="5F6D5AFA" w14:textId="77777777" w:rsidR="00BE2473" w:rsidRDefault="00000000">
      <w:pPr>
        <w:pStyle w:val="TableCaption"/>
      </w:pPr>
      <w:r>
        <w:t>Table 4: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3Aresults">
        <w:r>
          <w:rPr>
            <w:rStyle w:val="Hyperlink"/>
          </w:rPr>
          <w:t>3.6</w:t>
        </w:r>
      </w:hyperlink>
      <w:r>
        <w:t>.</w:t>
      </w:r>
    </w:p>
    <w:tbl>
      <w:tblPr>
        <w:tblStyle w:val="Table"/>
        <w:tblW w:w="5000" w:type="pct"/>
        <w:tblInd w:w="0" w:type="dxa"/>
        <w:tblLayout w:type="fixed"/>
        <w:tblLook w:val="0020" w:firstRow="1" w:lastRow="0" w:firstColumn="0" w:lastColumn="0" w:noHBand="0" w:noVBand="0"/>
      </w:tblPr>
      <w:tblGrid>
        <w:gridCol w:w="1695"/>
        <w:gridCol w:w="694"/>
        <w:gridCol w:w="1328"/>
        <w:gridCol w:w="1231"/>
        <w:gridCol w:w="515"/>
        <w:gridCol w:w="678"/>
        <w:gridCol w:w="669"/>
        <w:gridCol w:w="525"/>
        <w:gridCol w:w="525"/>
        <w:gridCol w:w="612"/>
        <w:gridCol w:w="583"/>
        <w:gridCol w:w="521"/>
      </w:tblGrid>
      <w:tr w:rsidR="00BE2473" w14:paraId="30870FE8"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1657" w:type="dxa"/>
            <w:tcBorders>
              <w:bottom w:val="single" w:sz="6" w:space="0" w:color="000000"/>
            </w:tcBorders>
          </w:tcPr>
          <w:p w14:paraId="0148116D" w14:textId="77777777" w:rsidR="00BE2473" w:rsidRDefault="00000000">
            <w:pPr>
              <w:pStyle w:val="Compact"/>
              <w:rPr>
                <w:rFonts w:ascii="Cambria" w:eastAsia="Cambria" w:hAnsi="Cambria"/>
              </w:rPr>
            </w:pPr>
            <w:r>
              <w:rPr>
                <w:rFonts w:eastAsia="Cambria"/>
                <w:sz w:val="15"/>
                <w:szCs w:val="15"/>
              </w:rPr>
              <w:t>Task</w:t>
            </w:r>
          </w:p>
        </w:tc>
        <w:tc>
          <w:tcPr>
            <w:tcW w:w="678" w:type="dxa"/>
            <w:tcBorders>
              <w:bottom w:val="single" w:sz="6" w:space="0" w:color="000000"/>
            </w:tcBorders>
          </w:tcPr>
          <w:p w14:paraId="44D12597" w14:textId="77777777" w:rsidR="00BE2473" w:rsidRDefault="00000000">
            <w:pPr>
              <w:pStyle w:val="Compact"/>
              <w:rPr>
                <w:rFonts w:ascii="Cambria" w:eastAsia="Cambria" w:hAnsi="Cambria"/>
              </w:rPr>
            </w:pPr>
            <w:r>
              <w:rPr>
                <w:rFonts w:eastAsia="Cambria"/>
                <w:sz w:val="15"/>
                <w:szCs w:val="15"/>
              </w:rPr>
              <w:t>Source</w:t>
            </w:r>
          </w:p>
        </w:tc>
        <w:tc>
          <w:tcPr>
            <w:tcW w:w="1298" w:type="dxa"/>
            <w:tcBorders>
              <w:bottom w:val="single" w:sz="6" w:space="0" w:color="000000"/>
            </w:tcBorders>
          </w:tcPr>
          <w:p w14:paraId="269BE507" w14:textId="77777777" w:rsidR="00BE2473" w:rsidRDefault="00000000">
            <w:pPr>
              <w:pStyle w:val="Compact"/>
              <w:rPr>
                <w:rFonts w:ascii="Cambria" w:eastAsia="Cambria" w:hAnsi="Cambria"/>
              </w:rPr>
            </w:pPr>
            <w:r>
              <w:rPr>
                <w:rFonts w:eastAsia="Cambria"/>
                <w:sz w:val="15"/>
                <w:szCs w:val="15"/>
              </w:rPr>
              <w:t>SLM</w:t>
            </w:r>
          </w:p>
        </w:tc>
        <w:tc>
          <w:tcPr>
            <w:tcW w:w="1203" w:type="dxa"/>
            <w:tcBorders>
              <w:bottom w:val="single" w:sz="6" w:space="0" w:color="000000"/>
            </w:tcBorders>
          </w:tcPr>
          <w:p w14:paraId="45AE144F" w14:textId="77777777" w:rsidR="00BE2473" w:rsidRDefault="00000000">
            <w:pPr>
              <w:pStyle w:val="Compact"/>
              <w:rPr>
                <w:rFonts w:ascii="Cambria" w:eastAsia="Cambria" w:hAnsi="Cambria"/>
              </w:rPr>
            </w:pPr>
            <w:r>
              <w:rPr>
                <w:rFonts w:eastAsia="Cambria"/>
                <w:sz w:val="15"/>
                <w:szCs w:val="15"/>
              </w:rPr>
              <w:t>Ref.</w:t>
            </w:r>
          </w:p>
        </w:tc>
        <w:tc>
          <w:tcPr>
            <w:tcW w:w="503" w:type="dxa"/>
            <w:tcBorders>
              <w:bottom w:val="single" w:sz="6" w:space="0" w:color="000000"/>
            </w:tcBorders>
          </w:tcPr>
          <w:p w14:paraId="424E0193" w14:textId="77777777" w:rsidR="00BE2473" w:rsidRDefault="00000000">
            <w:pPr>
              <w:pStyle w:val="Compact"/>
              <w:rPr>
                <w:rFonts w:ascii="Cambria" w:eastAsia="Cambria" w:hAnsi="Cambria"/>
              </w:rPr>
            </w:pPr>
            <w:r>
              <w:rPr>
                <w:rFonts w:eastAsia="Cambria"/>
                <w:sz w:val="15"/>
                <w:szCs w:val="15"/>
              </w:rPr>
              <w:t>Reg.</w:t>
            </w:r>
          </w:p>
        </w:tc>
        <w:tc>
          <w:tcPr>
            <w:tcW w:w="663" w:type="dxa"/>
            <w:tcBorders>
              <w:bottom w:val="single" w:sz="6" w:space="0" w:color="000000"/>
            </w:tcBorders>
          </w:tcPr>
          <w:p w14:paraId="459F4D4D" w14:textId="77777777" w:rsidR="00BE2473" w:rsidRDefault="00000000">
            <w:pPr>
              <w:pStyle w:val="Compact"/>
              <w:rPr>
                <w:rFonts w:ascii="Cambria" w:eastAsia="Cambria" w:hAnsi="Cambria"/>
              </w:rPr>
            </w:pPr>
            <w:r>
              <w:rPr>
                <w:rFonts w:eastAsia="Cambria"/>
                <w:sz w:val="15"/>
                <w:szCs w:val="15"/>
              </w:rPr>
              <w:t>(</w:t>
            </w:r>
            <w:proofErr w:type="spellStart"/>
            <w:proofErr w:type="gramStart"/>
            <w:r>
              <w:rPr>
                <w:rFonts w:eastAsia="Cambria"/>
                <w:sz w:val="15"/>
                <w:szCs w:val="15"/>
              </w:rPr>
              <w:t>r,k</w:t>
            </w:r>
            <w:proofErr w:type="gramEnd"/>
            <w:r>
              <w:rPr>
                <w:rFonts w:eastAsia="Cambria"/>
                <w:sz w:val="15"/>
                <w:szCs w:val="15"/>
              </w:rPr>
              <w:t>,o</w:t>
            </w:r>
            <w:proofErr w:type="spellEnd"/>
            <w:r>
              <w:rPr>
                <w:rFonts w:eastAsia="Cambria"/>
                <w:sz w:val="15"/>
                <w:szCs w:val="15"/>
              </w:rPr>
              <w:t>)</w:t>
            </w:r>
          </w:p>
        </w:tc>
        <w:tc>
          <w:tcPr>
            <w:tcW w:w="654" w:type="dxa"/>
            <w:tcBorders>
              <w:bottom w:val="single" w:sz="6" w:space="0" w:color="000000"/>
            </w:tcBorders>
          </w:tcPr>
          <w:p w14:paraId="0B656834" w14:textId="77777777" w:rsidR="00BE2473" w:rsidRDefault="00000000">
            <w:pPr>
              <w:pStyle w:val="Compact"/>
              <w:rPr>
                <w:rFonts w:ascii="Cambria" w:eastAsia="Cambria" w:hAnsi="Cambria"/>
              </w:rPr>
            </w:pPr>
            <w:r>
              <w:rPr>
                <w:rFonts w:eastAsia="Cambria"/>
                <w:sz w:val="15"/>
                <w:szCs w:val="15"/>
              </w:rPr>
              <w:t>Metric</w:t>
            </w:r>
          </w:p>
        </w:tc>
        <w:tc>
          <w:tcPr>
            <w:tcW w:w="513" w:type="dxa"/>
            <w:tcBorders>
              <w:bottom w:val="single" w:sz="6" w:space="0" w:color="000000"/>
            </w:tcBorders>
          </w:tcPr>
          <w:p w14:paraId="4C5B5594" w14:textId="77777777" w:rsidR="00BE2473" w:rsidRDefault="00000000">
            <w:pPr>
              <w:pStyle w:val="Compact"/>
              <w:rPr>
                <w:rFonts w:ascii="Cambria" w:eastAsia="Cambria" w:hAnsi="Cambria"/>
              </w:rPr>
            </w:pPr>
            <w:r>
              <w:rPr>
                <w:rFonts w:eastAsia="Cambria"/>
                <w:sz w:val="15"/>
                <w:szCs w:val="15"/>
              </w:rPr>
              <w:t>SLM</w:t>
            </w:r>
          </w:p>
        </w:tc>
        <w:tc>
          <w:tcPr>
            <w:tcW w:w="513" w:type="dxa"/>
            <w:tcBorders>
              <w:bottom w:val="single" w:sz="6" w:space="0" w:color="000000"/>
            </w:tcBorders>
          </w:tcPr>
          <w:p w14:paraId="66EEDB91" w14:textId="77777777" w:rsidR="00BE2473" w:rsidRDefault="00000000">
            <w:pPr>
              <w:pStyle w:val="Compact"/>
              <w:rPr>
                <w:rFonts w:ascii="Cambria" w:eastAsia="Cambria" w:hAnsi="Cambria"/>
              </w:rPr>
            </w:pPr>
            <w:r>
              <w:rPr>
                <w:rFonts w:eastAsia="Cambria"/>
                <w:sz w:val="15"/>
                <w:szCs w:val="15"/>
              </w:rPr>
              <w:t>Ref.</w:t>
            </w:r>
          </w:p>
        </w:tc>
        <w:tc>
          <w:tcPr>
            <w:tcW w:w="598" w:type="dxa"/>
            <w:tcBorders>
              <w:bottom w:val="single" w:sz="6" w:space="0" w:color="000000"/>
            </w:tcBorders>
          </w:tcPr>
          <w:p w14:paraId="746A2A7B" w14:textId="77777777" w:rsidR="00BE2473" w:rsidRDefault="00000000">
            <w:pPr>
              <w:pStyle w:val="Compact"/>
              <w:rPr>
                <w:rFonts w:ascii="Cambria" w:eastAsia="Cambria" w:hAnsi="Cambria"/>
              </w:rPr>
            </w:pPr>
            <w:r>
              <w:rPr>
                <w:rFonts w:eastAsia="Cambria"/>
                <w:sz w:val="15"/>
                <w:szCs w:val="15"/>
              </w:rPr>
              <w:t>AR</w:t>
            </w:r>
          </w:p>
        </w:tc>
        <w:tc>
          <w:tcPr>
            <w:tcW w:w="570" w:type="dxa"/>
            <w:tcBorders>
              <w:bottom w:val="single" w:sz="6" w:space="0" w:color="000000"/>
            </w:tcBorders>
          </w:tcPr>
          <w:p w14:paraId="27ECA499" w14:textId="77777777" w:rsidR="00BE2473" w:rsidRDefault="00000000">
            <w:pPr>
              <w:pStyle w:val="Compact"/>
              <w:rPr>
                <w:rFonts w:ascii="Cambria" w:eastAsia="Cambria" w:hAnsi="Cambria"/>
              </w:rPr>
            </w:pPr>
            <w:r>
              <w:rPr>
                <w:rFonts w:eastAsia="Cambria"/>
                <w:sz w:val="15"/>
                <w:szCs w:val="15"/>
              </w:rPr>
              <w:t>LE</w:t>
            </w:r>
          </w:p>
        </w:tc>
        <w:tc>
          <w:tcPr>
            <w:tcW w:w="509" w:type="dxa"/>
            <w:tcBorders>
              <w:bottom w:val="single" w:sz="6" w:space="0" w:color="000000"/>
            </w:tcBorders>
          </w:tcPr>
          <w:p w14:paraId="3C735B6C" w14:textId="77777777" w:rsidR="00BE2473" w:rsidRDefault="00000000">
            <w:pPr>
              <w:pStyle w:val="Compact"/>
              <w:rPr>
                <w:rFonts w:ascii="Cambria" w:eastAsia="Cambria" w:hAnsi="Cambria"/>
              </w:rPr>
            </w:pPr>
            <w:r>
              <w:rPr>
                <w:rFonts w:eastAsia="Cambria"/>
                <w:sz w:val="15"/>
                <w:szCs w:val="15"/>
              </w:rPr>
              <w:t>Env.</w:t>
            </w:r>
          </w:p>
        </w:tc>
      </w:tr>
      <w:tr w:rsidR="00BE2473" w14:paraId="0DDE64B7" w14:textId="77777777" w:rsidTr="00BE2473">
        <w:tc>
          <w:tcPr>
            <w:tcW w:w="9359" w:type="dxa"/>
            <w:gridSpan w:val="12"/>
          </w:tcPr>
          <w:p w14:paraId="487A10AC" w14:textId="77777777" w:rsidR="00BE2473" w:rsidRDefault="00000000">
            <w:pPr>
              <w:pStyle w:val="Compact"/>
              <w:rPr>
                <w:rFonts w:ascii="Cambria" w:eastAsia="Cambria" w:hAnsi="Cambria"/>
              </w:rPr>
            </w:pPr>
            <w:r>
              <w:rPr>
                <w:rFonts w:eastAsia="Cambria"/>
                <w:i/>
                <w:iCs/>
                <w:sz w:val="15"/>
                <w:szCs w:val="15"/>
              </w:rPr>
              <w:t>Low complexity (</w:t>
            </w:r>
            <w:proofErr w:type="spellStart"/>
            <w:r>
              <w:rPr>
                <w:rFonts w:eastAsia="Cambria"/>
                <w:i/>
                <w:iCs/>
                <w:sz w:val="15"/>
                <w:szCs w:val="15"/>
              </w:rPr>
              <w:t>r+k+o</w:t>
            </w:r>
            <w:proofErr w:type="spellEnd"/>
            <w:r>
              <w:rPr>
                <w:rFonts w:eastAsia="Cambria"/>
                <w:i/>
                <w:iCs/>
                <w:sz w:val="15"/>
                <w:szCs w:val="15"/>
              </w:rPr>
              <w:t xml:space="preserve"> = 3)</w:t>
            </w:r>
          </w:p>
        </w:tc>
      </w:tr>
      <w:tr w:rsidR="00BE2473" w14:paraId="25B2C609" w14:textId="77777777" w:rsidTr="00BE2473">
        <w:tc>
          <w:tcPr>
            <w:tcW w:w="1657" w:type="dxa"/>
          </w:tcPr>
          <w:p w14:paraId="27CA65DF" w14:textId="77777777" w:rsidR="00BE2473" w:rsidRDefault="00000000">
            <w:pPr>
              <w:pStyle w:val="Compact"/>
              <w:rPr>
                <w:rFonts w:ascii="Cambria" w:eastAsia="Cambria" w:hAnsi="Cambria"/>
              </w:rPr>
            </w:pPr>
            <w:r>
              <w:rPr>
                <w:rFonts w:eastAsia="Cambria"/>
                <w:sz w:val="15"/>
                <w:szCs w:val="15"/>
              </w:rPr>
              <w:t>Report labeling</w:t>
            </w:r>
          </w:p>
        </w:tc>
        <w:tc>
          <w:tcPr>
            <w:tcW w:w="678" w:type="dxa"/>
          </w:tcPr>
          <w:p w14:paraId="1AB2E7FE" w14:textId="77777777" w:rsidR="00BE2473" w:rsidRDefault="00000000">
            <w:pPr>
              <w:pStyle w:val="Compact"/>
              <w:rPr>
                <w:rFonts w:ascii="Cambria" w:eastAsia="Cambria" w:hAnsi="Cambria"/>
              </w:rPr>
            </w:pPr>
            <w:r>
              <w:rPr>
                <w:rFonts w:eastAsia="Cambria"/>
                <w:sz w:val="15"/>
                <w:szCs w:val="15"/>
              </w:rPr>
              <w:t>[45]</w:t>
            </w:r>
          </w:p>
        </w:tc>
        <w:tc>
          <w:tcPr>
            <w:tcW w:w="1298" w:type="dxa"/>
          </w:tcPr>
          <w:p w14:paraId="5C7AB5CB" w14:textId="77777777" w:rsidR="00BE2473" w:rsidRDefault="00000000">
            <w:pPr>
              <w:pStyle w:val="Compact"/>
              <w:rPr>
                <w:rFonts w:ascii="Cambria" w:eastAsia="Cambria" w:hAnsi="Cambria"/>
              </w:rPr>
            </w:pPr>
            <w:r>
              <w:rPr>
                <w:rFonts w:eastAsia="Cambria"/>
                <w:sz w:val="15"/>
                <w:szCs w:val="15"/>
              </w:rPr>
              <w:t>OPT-350M</w:t>
            </w:r>
          </w:p>
        </w:tc>
        <w:tc>
          <w:tcPr>
            <w:tcW w:w="1203" w:type="dxa"/>
          </w:tcPr>
          <w:p w14:paraId="6A9D0143" w14:textId="77777777" w:rsidR="00BE2473" w:rsidRDefault="00000000">
            <w:pPr>
              <w:pStyle w:val="Compact"/>
              <w:rPr>
                <w:rFonts w:ascii="Cambria" w:eastAsia="Cambria" w:hAnsi="Cambria"/>
              </w:rPr>
            </w:pPr>
            <w:r>
              <w:rPr>
                <w:rFonts w:eastAsia="Cambria"/>
                <w:sz w:val="15"/>
                <w:szCs w:val="15"/>
              </w:rPr>
              <w:t>GPT-4o</w:t>
            </w:r>
          </w:p>
        </w:tc>
        <w:tc>
          <w:tcPr>
            <w:tcW w:w="503" w:type="dxa"/>
          </w:tcPr>
          <w:p w14:paraId="24466359" w14:textId="77777777" w:rsidR="00BE2473" w:rsidRDefault="00000000">
            <w:pPr>
              <w:pStyle w:val="Compact"/>
              <w:rPr>
                <w:rFonts w:ascii="Cambria" w:eastAsia="Cambria" w:hAnsi="Cambria"/>
              </w:rPr>
            </w:pPr>
            <w:r>
              <w:rPr>
                <w:rFonts w:eastAsia="Cambria"/>
                <w:sz w:val="15"/>
                <w:szCs w:val="15"/>
              </w:rPr>
              <w:t>P</w:t>
            </w:r>
          </w:p>
        </w:tc>
        <w:tc>
          <w:tcPr>
            <w:tcW w:w="663" w:type="dxa"/>
          </w:tcPr>
          <w:p w14:paraId="3B5E1869" w14:textId="77777777" w:rsidR="00BE2473" w:rsidRDefault="00000000">
            <w:pPr>
              <w:pStyle w:val="Compact"/>
              <w:rPr>
                <w:rFonts w:ascii="Cambria" w:eastAsia="Cambria" w:hAnsi="Cambria"/>
              </w:rPr>
            </w:pPr>
            <w:r>
              <w:rPr>
                <w:rFonts w:eastAsia="Cambria"/>
                <w:sz w:val="15"/>
                <w:szCs w:val="15"/>
              </w:rPr>
              <w:t>(1,1,1)</w:t>
            </w:r>
          </w:p>
        </w:tc>
        <w:tc>
          <w:tcPr>
            <w:tcW w:w="654" w:type="dxa"/>
          </w:tcPr>
          <w:p w14:paraId="23DB4E23" w14:textId="77777777" w:rsidR="00BE2473" w:rsidRDefault="00000000">
            <w:pPr>
              <w:pStyle w:val="Compact"/>
              <w:rPr>
                <w:rFonts w:ascii="Cambria" w:eastAsia="Cambria" w:hAnsi="Cambria"/>
              </w:rPr>
            </w:pPr>
            <w:r>
              <w:rPr>
                <w:rFonts w:eastAsia="Cambria"/>
                <w:sz w:val="15"/>
                <w:szCs w:val="15"/>
              </w:rPr>
              <w:t>F1</w:t>
            </w:r>
          </w:p>
        </w:tc>
        <w:tc>
          <w:tcPr>
            <w:tcW w:w="513" w:type="dxa"/>
          </w:tcPr>
          <w:p w14:paraId="2F514DF6" w14:textId="77777777" w:rsidR="00BE2473" w:rsidRDefault="00000000">
            <w:pPr>
              <w:pStyle w:val="Compact"/>
              <w:rPr>
                <w:rFonts w:ascii="Cambria" w:eastAsia="Cambria" w:hAnsi="Cambria"/>
              </w:rPr>
            </w:pPr>
            <w:r>
              <w:rPr>
                <w:rFonts w:eastAsia="Cambria"/>
                <w:sz w:val="15"/>
                <w:szCs w:val="15"/>
              </w:rPr>
              <w:t>.894</w:t>
            </w:r>
          </w:p>
        </w:tc>
        <w:tc>
          <w:tcPr>
            <w:tcW w:w="513" w:type="dxa"/>
          </w:tcPr>
          <w:p w14:paraId="5D28A783" w14:textId="77777777" w:rsidR="00BE2473" w:rsidRDefault="00000000">
            <w:pPr>
              <w:pStyle w:val="Compact"/>
              <w:rPr>
                <w:rFonts w:ascii="Cambria" w:eastAsia="Cambria" w:hAnsi="Cambria"/>
              </w:rPr>
            </w:pPr>
            <w:r>
              <w:rPr>
                <w:rFonts w:eastAsia="Cambria"/>
                <w:sz w:val="15"/>
                <w:szCs w:val="15"/>
              </w:rPr>
              <w:t>.728</w:t>
            </w:r>
          </w:p>
        </w:tc>
        <w:tc>
          <w:tcPr>
            <w:tcW w:w="598" w:type="dxa"/>
          </w:tcPr>
          <w:p w14:paraId="7BAF41ED" w14:textId="77777777" w:rsidR="00BE2473" w:rsidRDefault="00000000">
            <w:pPr>
              <w:pStyle w:val="Compact"/>
              <w:rPr>
                <w:rFonts w:ascii="Cambria" w:eastAsia="Cambria" w:hAnsi="Cambria"/>
              </w:rPr>
            </w:pPr>
            <w:r>
              <w:rPr>
                <w:rFonts w:eastAsia="Cambria"/>
                <w:sz w:val="15"/>
                <w:szCs w:val="15"/>
              </w:rPr>
              <w:t>1.23</w:t>
            </w:r>
          </w:p>
        </w:tc>
        <w:tc>
          <w:tcPr>
            <w:tcW w:w="570" w:type="dxa"/>
          </w:tcPr>
          <w:p w14:paraId="0D810C2C" w14:textId="77777777" w:rsidR="00BE2473" w:rsidRDefault="00000000">
            <w:pPr>
              <w:pStyle w:val="Compact"/>
              <w:rPr>
                <w:rFonts w:ascii="Cambria" w:eastAsia="Cambria" w:hAnsi="Cambria"/>
              </w:rPr>
            </w:pPr>
            <w:r>
              <w:rPr>
                <w:rFonts w:eastAsia="Cambria"/>
                <w:sz w:val="15"/>
                <w:szCs w:val="15"/>
              </w:rPr>
              <w:t>NR</w:t>
            </w:r>
          </w:p>
        </w:tc>
        <w:tc>
          <w:tcPr>
            <w:tcW w:w="509" w:type="dxa"/>
          </w:tcPr>
          <w:p w14:paraId="2ABCBD31" w14:textId="77777777" w:rsidR="00BE2473" w:rsidRDefault="00000000">
            <w:pPr>
              <w:pStyle w:val="Compact"/>
              <w:rPr>
                <w:rFonts w:ascii="Cambria" w:eastAsia="Cambria" w:hAnsi="Cambria"/>
              </w:rPr>
            </w:pPr>
            <w:r>
              <w:rPr>
                <w:rFonts w:eastAsia="Cambria"/>
                <w:sz w:val="15"/>
                <w:szCs w:val="15"/>
              </w:rPr>
              <w:t>✓</w:t>
            </w:r>
          </w:p>
        </w:tc>
      </w:tr>
      <w:tr w:rsidR="00BE2473" w14:paraId="79B61F37" w14:textId="77777777" w:rsidTr="00BE2473">
        <w:tc>
          <w:tcPr>
            <w:tcW w:w="1657" w:type="dxa"/>
          </w:tcPr>
          <w:p w14:paraId="56641AD0" w14:textId="77777777" w:rsidR="00BE2473" w:rsidRDefault="00000000">
            <w:pPr>
              <w:pStyle w:val="Compact"/>
              <w:rPr>
                <w:rFonts w:ascii="Cambria" w:eastAsia="Cambria" w:hAnsi="Cambria"/>
              </w:rPr>
            </w:pPr>
            <w:r>
              <w:rPr>
                <w:rFonts w:eastAsia="Cambria"/>
                <w:sz w:val="15"/>
                <w:szCs w:val="15"/>
              </w:rPr>
              <w:t xml:space="preserve">Text </w:t>
            </w:r>
            <w:proofErr w:type="spellStart"/>
            <w:r>
              <w:rPr>
                <w:rFonts w:eastAsia="Cambria"/>
                <w:sz w:val="15"/>
                <w:szCs w:val="15"/>
              </w:rPr>
              <w:t>classif</w:t>
            </w:r>
            <w:proofErr w:type="spellEnd"/>
            <w:r>
              <w:rPr>
                <w:rFonts w:eastAsia="Cambria"/>
                <w:sz w:val="15"/>
                <w:szCs w:val="15"/>
              </w:rPr>
              <w:t>.</w:t>
            </w:r>
          </w:p>
        </w:tc>
        <w:tc>
          <w:tcPr>
            <w:tcW w:w="678" w:type="dxa"/>
          </w:tcPr>
          <w:p w14:paraId="59658BB5" w14:textId="77777777" w:rsidR="00BE2473" w:rsidRDefault="00000000">
            <w:pPr>
              <w:pStyle w:val="Compact"/>
              <w:rPr>
                <w:rFonts w:ascii="Cambria" w:eastAsia="Cambria" w:hAnsi="Cambria"/>
              </w:rPr>
            </w:pPr>
            <w:r>
              <w:rPr>
                <w:rFonts w:eastAsia="Cambria"/>
                <w:sz w:val="15"/>
                <w:szCs w:val="15"/>
              </w:rPr>
              <w:t>[40]</w:t>
            </w:r>
          </w:p>
        </w:tc>
        <w:tc>
          <w:tcPr>
            <w:tcW w:w="1298" w:type="dxa"/>
          </w:tcPr>
          <w:p w14:paraId="27AD790B"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4509701D" w14:textId="77777777" w:rsidR="00BE2473" w:rsidRDefault="00000000">
            <w:pPr>
              <w:pStyle w:val="Compact"/>
              <w:rPr>
                <w:rFonts w:ascii="Cambria" w:eastAsia="Cambria" w:hAnsi="Cambria"/>
              </w:rPr>
            </w:pPr>
            <w:r>
              <w:rPr>
                <w:rFonts w:eastAsia="Cambria"/>
                <w:sz w:val="15"/>
                <w:szCs w:val="15"/>
              </w:rPr>
              <w:t>GPT-4</w:t>
            </w:r>
          </w:p>
        </w:tc>
        <w:tc>
          <w:tcPr>
            <w:tcW w:w="503" w:type="dxa"/>
          </w:tcPr>
          <w:p w14:paraId="161EEF90" w14:textId="77777777" w:rsidR="00BE2473" w:rsidRDefault="00000000">
            <w:pPr>
              <w:pStyle w:val="Compact"/>
              <w:rPr>
                <w:rFonts w:ascii="Cambria" w:eastAsia="Cambria" w:hAnsi="Cambria"/>
              </w:rPr>
            </w:pPr>
            <w:r>
              <w:rPr>
                <w:rFonts w:eastAsia="Cambria"/>
                <w:sz w:val="15"/>
                <w:szCs w:val="15"/>
              </w:rPr>
              <w:t>3S</w:t>
            </w:r>
          </w:p>
        </w:tc>
        <w:tc>
          <w:tcPr>
            <w:tcW w:w="663" w:type="dxa"/>
          </w:tcPr>
          <w:p w14:paraId="3BD937C9" w14:textId="77777777" w:rsidR="00BE2473" w:rsidRDefault="00000000">
            <w:pPr>
              <w:pStyle w:val="Compact"/>
              <w:rPr>
                <w:rFonts w:ascii="Cambria" w:eastAsia="Cambria" w:hAnsi="Cambria"/>
              </w:rPr>
            </w:pPr>
            <w:r>
              <w:rPr>
                <w:rFonts w:eastAsia="Cambria"/>
                <w:sz w:val="15"/>
                <w:szCs w:val="15"/>
              </w:rPr>
              <w:t>(1,1,1)</w:t>
            </w:r>
          </w:p>
        </w:tc>
        <w:tc>
          <w:tcPr>
            <w:tcW w:w="654" w:type="dxa"/>
          </w:tcPr>
          <w:p w14:paraId="173DF702" w14:textId="77777777" w:rsidR="00BE2473" w:rsidRDefault="00000000">
            <w:pPr>
              <w:pStyle w:val="Compact"/>
              <w:rPr>
                <w:rFonts w:ascii="Cambria" w:eastAsia="Cambria" w:hAnsi="Cambria"/>
              </w:rPr>
            </w:pPr>
            <w:r>
              <w:rPr>
                <w:rFonts w:eastAsia="Cambria"/>
                <w:sz w:val="15"/>
                <w:szCs w:val="15"/>
              </w:rPr>
              <w:t>F1</w:t>
            </w:r>
          </w:p>
        </w:tc>
        <w:tc>
          <w:tcPr>
            <w:tcW w:w="513" w:type="dxa"/>
          </w:tcPr>
          <w:p w14:paraId="3F39CB2A" w14:textId="77777777" w:rsidR="00BE2473" w:rsidRDefault="00000000">
            <w:pPr>
              <w:pStyle w:val="Compact"/>
              <w:rPr>
                <w:rFonts w:ascii="Cambria" w:eastAsia="Cambria" w:hAnsi="Cambria"/>
              </w:rPr>
            </w:pPr>
            <w:r>
              <w:rPr>
                <w:rFonts w:eastAsia="Cambria"/>
                <w:sz w:val="15"/>
                <w:szCs w:val="15"/>
              </w:rPr>
              <w:t>86.7</w:t>
            </w:r>
          </w:p>
        </w:tc>
        <w:tc>
          <w:tcPr>
            <w:tcW w:w="513" w:type="dxa"/>
          </w:tcPr>
          <w:p w14:paraId="2733D005" w14:textId="77777777" w:rsidR="00BE2473" w:rsidRDefault="00000000">
            <w:pPr>
              <w:pStyle w:val="Compact"/>
              <w:rPr>
                <w:rFonts w:ascii="Cambria" w:eastAsia="Cambria" w:hAnsi="Cambria"/>
              </w:rPr>
            </w:pPr>
            <w:r>
              <w:rPr>
                <w:rFonts w:eastAsia="Cambria"/>
                <w:sz w:val="15"/>
                <w:szCs w:val="15"/>
              </w:rPr>
              <w:t>68.1</w:t>
            </w:r>
          </w:p>
        </w:tc>
        <w:tc>
          <w:tcPr>
            <w:tcW w:w="598" w:type="dxa"/>
          </w:tcPr>
          <w:p w14:paraId="09C0076B" w14:textId="77777777" w:rsidR="00BE2473" w:rsidRDefault="00000000">
            <w:pPr>
              <w:pStyle w:val="Compact"/>
              <w:rPr>
                <w:rFonts w:ascii="Cambria" w:eastAsia="Cambria" w:hAnsi="Cambria"/>
              </w:rPr>
            </w:pPr>
            <w:r>
              <w:rPr>
                <w:rFonts w:eastAsia="Cambria"/>
                <w:sz w:val="15"/>
                <w:szCs w:val="15"/>
              </w:rPr>
              <w:t>1.27</w:t>
            </w:r>
          </w:p>
        </w:tc>
        <w:tc>
          <w:tcPr>
            <w:tcW w:w="570" w:type="dxa"/>
          </w:tcPr>
          <w:p w14:paraId="26E93ECF" w14:textId="77777777" w:rsidR="00BE2473" w:rsidRDefault="00000000">
            <w:pPr>
              <w:pStyle w:val="Compact"/>
              <w:rPr>
                <w:rFonts w:ascii="Cambria" w:eastAsia="Cambria" w:hAnsi="Cambria"/>
              </w:rPr>
            </w:pPr>
            <w:r>
              <w:rPr>
                <w:rFonts w:eastAsia="Cambria"/>
                <w:sz w:val="15"/>
                <w:szCs w:val="15"/>
              </w:rPr>
              <w:t>NR</w:t>
            </w:r>
          </w:p>
        </w:tc>
        <w:tc>
          <w:tcPr>
            <w:tcW w:w="509" w:type="dxa"/>
          </w:tcPr>
          <w:p w14:paraId="5D1B41BF" w14:textId="77777777" w:rsidR="00BE2473" w:rsidRDefault="00000000">
            <w:pPr>
              <w:pStyle w:val="Compact"/>
              <w:rPr>
                <w:rFonts w:ascii="Cambria" w:eastAsia="Cambria" w:hAnsi="Cambria"/>
              </w:rPr>
            </w:pPr>
            <w:r>
              <w:rPr>
                <w:rFonts w:eastAsia="Cambria"/>
                <w:sz w:val="15"/>
                <w:szCs w:val="15"/>
              </w:rPr>
              <w:t>✓</w:t>
            </w:r>
          </w:p>
        </w:tc>
      </w:tr>
      <w:tr w:rsidR="00BE2473" w14:paraId="116A4274" w14:textId="77777777" w:rsidTr="00BE2473">
        <w:tc>
          <w:tcPr>
            <w:tcW w:w="1657" w:type="dxa"/>
          </w:tcPr>
          <w:p w14:paraId="5AD87139" w14:textId="77777777" w:rsidR="00BE2473" w:rsidRDefault="00000000">
            <w:pPr>
              <w:pStyle w:val="Compact"/>
              <w:rPr>
                <w:rFonts w:ascii="Cambria" w:eastAsia="Cambria" w:hAnsi="Cambria"/>
              </w:rPr>
            </w:pPr>
            <w:r>
              <w:rPr>
                <w:rFonts w:eastAsia="Cambria"/>
                <w:sz w:val="15"/>
                <w:szCs w:val="15"/>
              </w:rPr>
              <w:t>Info. extraction</w:t>
            </w:r>
          </w:p>
        </w:tc>
        <w:tc>
          <w:tcPr>
            <w:tcW w:w="678" w:type="dxa"/>
          </w:tcPr>
          <w:p w14:paraId="3C7C754B" w14:textId="77777777" w:rsidR="00BE2473" w:rsidRDefault="00000000">
            <w:pPr>
              <w:pStyle w:val="Compact"/>
              <w:rPr>
                <w:rFonts w:ascii="Cambria" w:eastAsia="Cambria" w:hAnsi="Cambria"/>
              </w:rPr>
            </w:pPr>
            <w:r>
              <w:rPr>
                <w:rFonts w:eastAsia="Cambria"/>
                <w:sz w:val="15"/>
                <w:szCs w:val="15"/>
              </w:rPr>
              <w:t>[40]</w:t>
            </w:r>
          </w:p>
        </w:tc>
        <w:tc>
          <w:tcPr>
            <w:tcW w:w="1298" w:type="dxa"/>
          </w:tcPr>
          <w:p w14:paraId="0DAC9311"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3092BE55" w14:textId="77777777" w:rsidR="00BE2473" w:rsidRDefault="00000000">
            <w:pPr>
              <w:pStyle w:val="Compact"/>
              <w:rPr>
                <w:rFonts w:ascii="Cambria" w:eastAsia="Cambria" w:hAnsi="Cambria"/>
              </w:rPr>
            </w:pPr>
            <w:r>
              <w:rPr>
                <w:rFonts w:eastAsia="Cambria"/>
                <w:sz w:val="15"/>
                <w:szCs w:val="15"/>
              </w:rPr>
              <w:t>GPT-4</w:t>
            </w:r>
          </w:p>
        </w:tc>
        <w:tc>
          <w:tcPr>
            <w:tcW w:w="503" w:type="dxa"/>
          </w:tcPr>
          <w:p w14:paraId="089C7D7A" w14:textId="77777777" w:rsidR="00BE2473" w:rsidRDefault="00000000">
            <w:pPr>
              <w:pStyle w:val="Compact"/>
              <w:rPr>
                <w:rFonts w:ascii="Cambria" w:eastAsia="Cambria" w:hAnsi="Cambria"/>
              </w:rPr>
            </w:pPr>
            <w:r>
              <w:rPr>
                <w:rFonts w:eastAsia="Cambria"/>
                <w:sz w:val="15"/>
                <w:szCs w:val="15"/>
              </w:rPr>
              <w:t>3S</w:t>
            </w:r>
          </w:p>
        </w:tc>
        <w:tc>
          <w:tcPr>
            <w:tcW w:w="663" w:type="dxa"/>
          </w:tcPr>
          <w:p w14:paraId="76866671" w14:textId="77777777" w:rsidR="00BE2473" w:rsidRDefault="00000000">
            <w:pPr>
              <w:pStyle w:val="Compact"/>
              <w:rPr>
                <w:rFonts w:ascii="Cambria" w:eastAsia="Cambria" w:hAnsi="Cambria"/>
              </w:rPr>
            </w:pPr>
            <w:r>
              <w:rPr>
                <w:rFonts w:eastAsia="Cambria"/>
                <w:sz w:val="15"/>
                <w:szCs w:val="15"/>
              </w:rPr>
              <w:t>(1,1,1)</w:t>
            </w:r>
          </w:p>
        </w:tc>
        <w:tc>
          <w:tcPr>
            <w:tcW w:w="654" w:type="dxa"/>
          </w:tcPr>
          <w:p w14:paraId="1D14F4F0" w14:textId="77777777" w:rsidR="00BE2473" w:rsidRDefault="00000000">
            <w:pPr>
              <w:pStyle w:val="Compact"/>
              <w:rPr>
                <w:rFonts w:ascii="Cambria" w:eastAsia="Cambria" w:hAnsi="Cambria"/>
              </w:rPr>
            </w:pPr>
            <w:r>
              <w:rPr>
                <w:rFonts w:eastAsia="Cambria"/>
                <w:sz w:val="15"/>
                <w:szCs w:val="15"/>
              </w:rPr>
              <w:t>Acc</w:t>
            </w:r>
          </w:p>
        </w:tc>
        <w:tc>
          <w:tcPr>
            <w:tcW w:w="513" w:type="dxa"/>
          </w:tcPr>
          <w:p w14:paraId="480566A4" w14:textId="77777777" w:rsidR="00BE2473" w:rsidRDefault="00000000">
            <w:pPr>
              <w:pStyle w:val="Compact"/>
              <w:rPr>
                <w:rFonts w:ascii="Cambria" w:eastAsia="Cambria" w:hAnsi="Cambria"/>
              </w:rPr>
            </w:pPr>
            <w:r>
              <w:rPr>
                <w:rFonts w:eastAsia="Cambria"/>
                <w:sz w:val="15"/>
                <w:szCs w:val="15"/>
              </w:rPr>
              <w:t>83.8</w:t>
            </w:r>
          </w:p>
        </w:tc>
        <w:tc>
          <w:tcPr>
            <w:tcW w:w="513" w:type="dxa"/>
          </w:tcPr>
          <w:p w14:paraId="123F780C" w14:textId="77777777" w:rsidR="00BE2473" w:rsidRDefault="00000000">
            <w:pPr>
              <w:pStyle w:val="Compact"/>
              <w:rPr>
                <w:rFonts w:ascii="Cambria" w:eastAsia="Cambria" w:hAnsi="Cambria"/>
              </w:rPr>
            </w:pPr>
            <w:r>
              <w:rPr>
                <w:rFonts w:eastAsia="Cambria"/>
                <w:sz w:val="15"/>
                <w:szCs w:val="15"/>
              </w:rPr>
              <w:t>76.9</w:t>
            </w:r>
          </w:p>
        </w:tc>
        <w:tc>
          <w:tcPr>
            <w:tcW w:w="598" w:type="dxa"/>
          </w:tcPr>
          <w:p w14:paraId="27ED2F5D" w14:textId="77777777" w:rsidR="00BE2473" w:rsidRDefault="00000000">
            <w:pPr>
              <w:pStyle w:val="Compact"/>
              <w:rPr>
                <w:rFonts w:ascii="Cambria" w:eastAsia="Cambria" w:hAnsi="Cambria"/>
              </w:rPr>
            </w:pPr>
            <w:r>
              <w:rPr>
                <w:rFonts w:eastAsia="Cambria"/>
                <w:sz w:val="15"/>
                <w:szCs w:val="15"/>
              </w:rPr>
              <w:t>1.09</w:t>
            </w:r>
          </w:p>
        </w:tc>
        <w:tc>
          <w:tcPr>
            <w:tcW w:w="570" w:type="dxa"/>
          </w:tcPr>
          <w:p w14:paraId="513ED5CE" w14:textId="77777777" w:rsidR="00BE2473" w:rsidRDefault="00000000">
            <w:pPr>
              <w:pStyle w:val="Compact"/>
              <w:rPr>
                <w:rFonts w:ascii="Cambria" w:eastAsia="Cambria" w:hAnsi="Cambria"/>
              </w:rPr>
            </w:pPr>
            <w:r>
              <w:rPr>
                <w:rFonts w:eastAsia="Cambria"/>
                <w:sz w:val="15"/>
                <w:szCs w:val="15"/>
              </w:rPr>
              <w:t>NR</w:t>
            </w:r>
          </w:p>
        </w:tc>
        <w:tc>
          <w:tcPr>
            <w:tcW w:w="509" w:type="dxa"/>
          </w:tcPr>
          <w:p w14:paraId="729D2390" w14:textId="77777777" w:rsidR="00BE2473" w:rsidRDefault="00000000">
            <w:pPr>
              <w:pStyle w:val="Compact"/>
              <w:rPr>
                <w:rFonts w:ascii="Cambria" w:eastAsia="Cambria" w:hAnsi="Cambria"/>
              </w:rPr>
            </w:pPr>
            <w:r>
              <w:rPr>
                <w:rFonts w:eastAsia="Cambria"/>
                <w:sz w:val="15"/>
                <w:szCs w:val="15"/>
              </w:rPr>
              <w:t>✓</w:t>
            </w:r>
          </w:p>
        </w:tc>
      </w:tr>
      <w:tr w:rsidR="00BE2473" w14:paraId="5E250E6B" w14:textId="77777777" w:rsidTr="00BE2473">
        <w:tc>
          <w:tcPr>
            <w:tcW w:w="1657" w:type="dxa"/>
          </w:tcPr>
          <w:p w14:paraId="34840846" w14:textId="77777777" w:rsidR="00BE2473" w:rsidRDefault="00000000">
            <w:pPr>
              <w:pStyle w:val="Compact"/>
              <w:rPr>
                <w:rFonts w:ascii="Cambria" w:eastAsia="Cambria" w:hAnsi="Cambria"/>
              </w:rPr>
            </w:pPr>
            <w:r>
              <w:rPr>
                <w:rFonts w:eastAsia="Cambria"/>
                <w:sz w:val="15"/>
                <w:szCs w:val="15"/>
              </w:rPr>
              <w:t>Stress detection</w:t>
            </w:r>
          </w:p>
        </w:tc>
        <w:tc>
          <w:tcPr>
            <w:tcW w:w="678" w:type="dxa"/>
          </w:tcPr>
          <w:p w14:paraId="483E3EBE" w14:textId="77777777" w:rsidR="00BE2473" w:rsidRDefault="00000000">
            <w:pPr>
              <w:pStyle w:val="Compact"/>
              <w:rPr>
                <w:rFonts w:ascii="Cambria" w:eastAsia="Cambria" w:hAnsi="Cambria"/>
              </w:rPr>
            </w:pPr>
            <w:r>
              <w:rPr>
                <w:rFonts w:eastAsia="Cambria"/>
                <w:sz w:val="15"/>
                <w:szCs w:val="15"/>
              </w:rPr>
              <w:t>[46]</w:t>
            </w:r>
          </w:p>
        </w:tc>
        <w:tc>
          <w:tcPr>
            <w:tcW w:w="1298" w:type="dxa"/>
          </w:tcPr>
          <w:p w14:paraId="16F9ECA5" w14:textId="77777777" w:rsidR="00BE2473" w:rsidRDefault="00000000">
            <w:pPr>
              <w:pStyle w:val="Compact"/>
              <w:rPr>
                <w:rFonts w:ascii="Cambria" w:eastAsia="Cambria" w:hAnsi="Cambria"/>
              </w:rPr>
            </w:pPr>
            <w:r>
              <w:rPr>
                <w:rFonts w:eastAsia="Cambria"/>
                <w:sz w:val="15"/>
                <w:szCs w:val="15"/>
              </w:rPr>
              <w:t>Gemma 2 9B</w:t>
            </w:r>
          </w:p>
        </w:tc>
        <w:tc>
          <w:tcPr>
            <w:tcW w:w="1203" w:type="dxa"/>
          </w:tcPr>
          <w:p w14:paraId="0CF845D2" w14:textId="77777777" w:rsidR="00BE2473" w:rsidRDefault="00000000">
            <w:pPr>
              <w:pStyle w:val="Compact"/>
              <w:rPr>
                <w:rFonts w:ascii="Cambria" w:eastAsia="Cambria" w:hAnsi="Cambria"/>
              </w:rPr>
            </w:pPr>
            <w:r>
              <w:rPr>
                <w:rFonts w:eastAsia="Cambria"/>
                <w:sz w:val="15"/>
                <w:szCs w:val="15"/>
              </w:rPr>
              <w:t>GPT-4</w:t>
            </w:r>
          </w:p>
        </w:tc>
        <w:tc>
          <w:tcPr>
            <w:tcW w:w="503" w:type="dxa"/>
          </w:tcPr>
          <w:p w14:paraId="2B9B2E88" w14:textId="77777777" w:rsidR="00BE2473" w:rsidRDefault="00000000">
            <w:pPr>
              <w:pStyle w:val="Compact"/>
              <w:rPr>
                <w:rFonts w:ascii="Cambria" w:eastAsia="Cambria" w:hAnsi="Cambria"/>
              </w:rPr>
            </w:pPr>
            <w:r>
              <w:rPr>
                <w:rFonts w:eastAsia="Cambria"/>
                <w:sz w:val="15"/>
                <w:szCs w:val="15"/>
              </w:rPr>
              <w:t>P</w:t>
            </w:r>
          </w:p>
        </w:tc>
        <w:tc>
          <w:tcPr>
            <w:tcW w:w="663" w:type="dxa"/>
          </w:tcPr>
          <w:p w14:paraId="7B54D572" w14:textId="77777777" w:rsidR="00BE2473" w:rsidRDefault="00000000">
            <w:pPr>
              <w:pStyle w:val="Compact"/>
              <w:rPr>
                <w:rFonts w:ascii="Cambria" w:eastAsia="Cambria" w:hAnsi="Cambria"/>
              </w:rPr>
            </w:pPr>
            <w:r>
              <w:rPr>
                <w:rFonts w:eastAsia="Cambria"/>
                <w:sz w:val="15"/>
                <w:szCs w:val="15"/>
              </w:rPr>
              <w:t>(1,1,1)</w:t>
            </w:r>
          </w:p>
        </w:tc>
        <w:tc>
          <w:tcPr>
            <w:tcW w:w="654" w:type="dxa"/>
          </w:tcPr>
          <w:p w14:paraId="008D5F8B" w14:textId="77777777" w:rsidR="00BE2473" w:rsidRDefault="00000000">
            <w:pPr>
              <w:pStyle w:val="Compact"/>
              <w:rPr>
                <w:rFonts w:ascii="Cambria" w:eastAsia="Cambria" w:hAnsi="Cambria"/>
              </w:rPr>
            </w:pPr>
            <w:r>
              <w:rPr>
                <w:rFonts w:eastAsia="Cambria"/>
                <w:sz w:val="15"/>
                <w:szCs w:val="15"/>
              </w:rPr>
              <w:t>Acc</w:t>
            </w:r>
          </w:p>
        </w:tc>
        <w:tc>
          <w:tcPr>
            <w:tcW w:w="513" w:type="dxa"/>
          </w:tcPr>
          <w:p w14:paraId="4A9704FA" w14:textId="77777777" w:rsidR="00BE2473" w:rsidRDefault="00000000">
            <w:pPr>
              <w:pStyle w:val="Compact"/>
              <w:rPr>
                <w:rFonts w:ascii="Cambria" w:eastAsia="Cambria" w:hAnsi="Cambria"/>
              </w:rPr>
            </w:pPr>
            <w:r>
              <w:rPr>
                <w:rFonts w:eastAsia="Cambria"/>
                <w:sz w:val="15"/>
                <w:szCs w:val="15"/>
              </w:rPr>
              <w:t>72</w:t>
            </w:r>
          </w:p>
        </w:tc>
        <w:tc>
          <w:tcPr>
            <w:tcW w:w="513" w:type="dxa"/>
          </w:tcPr>
          <w:p w14:paraId="1EA6CE7A" w14:textId="77777777" w:rsidR="00BE2473" w:rsidRDefault="00000000">
            <w:pPr>
              <w:pStyle w:val="Compact"/>
              <w:rPr>
                <w:rFonts w:ascii="Cambria" w:eastAsia="Cambria" w:hAnsi="Cambria"/>
              </w:rPr>
            </w:pPr>
            <w:r>
              <w:rPr>
                <w:rFonts w:eastAsia="Cambria"/>
                <w:sz w:val="15"/>
                <w:szCs w:val="15"/>
              </w:rPr>
              <w:t>70</w:t>
            </w:r>
          </w:p>
        </w:tc>
        <w:tc>
          <w:tcPr>
            <w:tcW w:w="598" w:type="dxa"/>
          </w:tcPr>
          <w:p w14:paraId="004BF398" w14:textId="77777777" w:rsidR="00BE2473" w:rsidRDefault="00000000">
            <w:pPr>
              <w:pStyle w:val="Compact"/>
              <w:rPr>
                <w:rFonts w:ascii="Cambria" w:eastAsia="Cambria" w:hAnsi="Cambria"/>
              </w:rPr>
            </w:pPr>
            <w:r>
              <w:rPr>
                <w:rFonts w:eastAsia="Cambria"/>
                <w:sz w:val="15"/>
                <w:szCs w:val="15"/>
              </w:rPr>
              <w:t>1.03</w:t>
            </w:r>
          </w:p>
        </w:tc>
        <w:tc>
          <w:tcPr>
            <w:tcW w:w="570" w:type="dxa"/>
          </w:tcPr>
          <w:p w14:paraId="7CCCB674" w14:textId="77777777" w:rsidR="00BE2473" w:rsidRDefault="00000000">
            <w:pPr>
              <w:pStyle w:val="Compact"/>
              <w:rPr>
                <w:rFonts w:ascii="Cambria" w:eastAsia="Cambria" w:hAnsi="Cambria"/>
              </w:rPr>
            </w:pPr>
            <w:r>
              <w:rPr>
                <w:rFonts w:eastAsia="Cambria"/>
                <w:sz w:val="15"/>
                <w:szCs w:val="15"/>
              </w:rPr>
              <w:t>NR</w:t>
            </w:r>
          </w:p>
        </w:tc>
        <w:tc>
          <w:tcPr>
            <w:tcW w:w="509" w:type="dxa"/>
          </w:tcPr>
          <w:p w14:paraId="54806EBC" w14:textId="77777777" w:rsidR="00BE2473" w:rsidRDefault="00000000">
            <w:pPr>
              <w:pStyle w:val="Compact"/>
              <w:rPr>
                <w:rFonts w:ascii="Cambria" w:eastAsia="Cambria" w:hAnsi="Cambria"/>
              </w:rPr>
            </w:pPr>
            <w:r>
              <w:rPr>
                <w:rFonts w:eastAsia="Cambria"/>
                <w:sz w:val="15"/>
                <w:szCs w:val="15"/>
              </w:rPr>
              <w:t>✓</w:t>
            </w:r>
          </w:p>
        </w:tc>
      </w:tr>
      <w:tr w:rsidR="00BE2473" w14:paraId="773E48AC" w14:textId="77777777" w:rsidTr="00BE2473">
        <w:tc>
          <w:tcPr>
            <w:tcW w:w="9359" w:type="dxa"/>
            <w:gridSpan w:val="12"/>
          </w:tcPr>
          <w:p w14:paraId="4EA6FCD5" w14:textId="77777777" w:rsidR="00BE2473" w:rsidRDefault="00000000">
            <w:pPr>
              <w:pStyle w:val="Compact"/>
              <w:rPr>
                <w:rFonts w:ascii="Cambria" w:eastAsia="Cambria" w:hAnsi="Cambria"/>
              </w:rPr>
            </w:pPr>
            <w:r>
              <w:rPr>
                <w:rFonts w:eastAsia="Cambria"/>
                <w:i/>
                <w:iCs/>
                <w:sz w:val="15"/>
                <w:szCs w:val="15"/>
              </w:rPr>
              <w:t>Low–moderate complexity (</w:t>
            </w:r>
            <w:proofErr w:type="spellStart"/>
            <w:r>
              <w:rPr>
                <w:rFonts w:eastAsia="Cambria"/>
                <w:i/>
                <w:iCs/>
                <w:sz w:val="15"/>
                <w:szCs w:val="15"/>
              </w:rPr>
              <w:t>r+k+o</w:t>
            </w:r>
            <w:proofErr w:type="spellEnd"/>
            <w:r>
              <w:rPr>
                <w:rFonts w:eastAsia="Cambria"/>
                <w:i/>
                <w:iCs/>
                <w:sz w:val="15"/>
                <w:szCs w:val="15"/>
              </w:rPr>
              <w:t xml:space="preserve"> = 4)</w:t>
            </w:r>
          </w:p>
        </w:tc>
      </w:tr>
      <w:tr w:rsidR="00BE2473" w14:paraId="65E64D12" w14:textId="77777777" w:rsidTr="00BE2473">
        <w:tc>
          <w:tcPr>
            <w:tcW w:w="1657" w:type="dxa"/>
          </w:tcPr>
          <w:p w14:paraId="2B76F1C3" w14:textId="77777777" w:rsidR="00BE2473" w:rsidRDefault="00000000">
            <w:pPr>
              <w:pStyle w:val="Compact"/>
              <w:rPr>
                <w:rFonts w:ascii="Cambria" w:eastAsia="Cambria" w:hAnsi="Cambria"/>
              </w:rPr>
            </w:pPr>
            <w:r>
              <w:rPr>
                <w:rFonts w:eastAsia="Cambria"/>
                <w:sz w:val="15"/>
                <w:szCs w:val="15"/>
              </w:rPr>
              <w:t xml:space="preserve">DICOM </w:t>
            </w:r>
            <w:proofErr w:type="spellStart"/>
            <w:r>
              <w:rPr>
                <w:rFonts w:eastAsia="Cambria"/>
                <w:sz w:val="15"/>
                <w:szCs w:val="15"/>
              </w:rPr>
              <w:t>harmoniz</w:t>
            </w:r>
            <w:proofErr w:type="spellEnd"/>
            <w:r>
              <w:rPr>
                <w:rFonts w:eastAsia="Cambria"/>
                <w:sz w:val="15"/>
                <w:szCs w:val="15"/>
              </w:rPr>
              <w:t>.</w:t>
            </w:r>
          </w:p>
        </w:tc>
        <w:tc>
          <w:tcPr>
            <w:tcW w:w="678" w:type="dxa"/>
          </w:tcPr>
          <w:p w14:paraId="0D25824F" w14:textId="77777777" w:rsidR="00BE2473" w:rsidRDefault="00000000">
            <w:pPr>
              <w:pStyle w:val="Compact"/>
              <w:rPr>
                <w:rFonts w:ascii="Cambria" w:eastAsia="Cambria" w:hAnsi="Cambria"/>
              </w:rPr>
            </w:pPr>
            <w:r>
              <w:rPr>
                <w:rFonts w:eastAsia="Cambria"/>
                <w:sz w:val="15"/>
                <w:szCs w:val="15"/>
              </w:rPr>
              <w:t>[45]</w:t>
            </w:r>
          </w:p>
        </w:tc>
        <w:tc>
          <w:tcPr>
            <w:tcW w:w="1298" w:type="dxa"/>
          </w:tcPr>
          <w:p w14:paraId="7304DA93" w14:textId="77777777" w:rsidR="00BE2473" w:rsidRDefault="00000000">
            <w:pPr>
              <w:pStyle w:val="Compact"/>
              <w:rPr>
                <w:rFonts w:ascii="Cambria" w:eastAsia="Cambria" w:hAnsi="Cambria"/>
              </w:rPr>
            </w:pPr>
            <w:r>
              <w:rPr>
                <w:rFonts w:eastAsia="Cambria"/>
                <w:sz w:val="15"/>
                <w:szCs w:val="15"/>
              </w:rPr>
              <w:t>OPT-350M</w:t>
            </w:r>
          </w:p>
        </w:tc>
        <w:tc>
          <w:tcPr>
            <w:tcW w:w="1203" w:type="dxa"/>
          </w:tcPr>
          <w:p w14:paraId="1C423D5B" w14:textId="77777777" w:rsidR="00BE2473" w:rsidRDefault="00000000">
            <w:pPr>
              <w:pStyle w:val="Compact"/>
              <w:rPr>
                <w:rFonts w:ascii="Cambria" w:eastAsia="Cambria" w:hAnsi="Cambria"/>
              </w:rPr>
            </w:pPr>
            <w:r>
              <w:rPr>
                <w:rFonts w:eastAsia="Cambria"/>
                <w:sz w:val="15"/>
                <w:szCs w:val="15"/>
              </w:rPr>
              <w:t>GPT-4o</w:t>
            </w:r>
          </w:p>
        </w:tc>
        <w:tc>
          <w:tcPr>
            <w:tcW w:w="503" w:type="dxa"/>
          </w:tcPr>
          <w:p w14:paraId="34387A97" w14:textId="77777777" w:rsidR="00BE2473" w:rsidRDefault="00000000">
            <w:pPr>
              <w:pStyle w:val="Compact"/>
              <w:rPr>
                <w:rFonts w:ascii="Cambria" w:eastAsia="Cambria" w:hAnsi="Cambria"/>
              </w:rPr>
            </w:pPr>
            <w:r>
              <w:rPr>
                <w:rFonts w:eastAsia="Cambria"/>
                <w:sz w:val="15"/>
                <w:szCs w:val="15"/>
              </w:rPr>
              <w:t>P</w:t>
            </w:r>
          </w:p>
        </w:tc>
        <w:tc>
          <w:tcPr>
            <w:tcW w:w="663" w:type="dxa"/>
          </w:tcPr>
          <w:p w14:paraId="75C3C4F9" w14:textId="77777777" w:rsidR="00BE2473" w:rsidRDefault="00000000">
            <w:pPr>
              <w:pStyle w:val="Compact"/>
              <w:rPr>
                <w:rFonts w:ascii="Cambria" w:eastAsia="Cambria" w:hAnsi="Cambria"/>
              </w:rPr>
            </w:pPr>
            <w:r>
              <w:rPr>
                <w:rFonts w:eastAsia="Cambria"/>
                <w:sz w:val="15"/>
                <w:szCs w:val="15"/>
              </w:rPr>
              <w:t>(1,2,1)</w:t>
            </w:r>
          </w:p>
        </w:tc>
        <w:tc>
          <w:tcPr>
            <w:tcW w:w="654" w:type="dxa"/>
          </w:tcPr>
          <w:p w14:paraId="726887A7" w14:textId="77777777" w:rsidR="00BE2473" w:rsidRDefault="00000000">
            <w:pPr>
              <w:pStyle w:val="Compact"/>
              <w:rPr>
                <w:rFonts w:ascii="Cambria" w:eastAsia="Cambria" w:hAnsi="Cambria"/>
              </w:rPr>
            </w:pPr>
            <w:r>
              <w:rPr>
                <w:rFonts w:eastAsia="Cambria"/>
                <w:sz w:val="15"/>
                <w:szCs w:val="15"/>
              </w:rPr>
              <w:t>Acc</w:t>
            </w:r>
          </w:p>
        </w:tc>
        <w:tc>
          <w:tcPr>
            <w:tcW w:w="513" w:type="dxa"/>
          </w:tcPr>
          <w:p w14:paraId="2F2913F8" w14:textId="77777777" w:rsidR="00BE2473" w:rsidRDefault="00000000">
            <w:pPr>
              <w:pStyle w:val="Compact"/>
              <w:rPr>
                <w:rFonts w:ascii="Cambria" w:eastAsia="Cambria" w:hAnsi="Cambria"/>
              </w:rPr>
            </w:pPr>
            <w:r>
              <w:rPr>
                <w:rFonts w:eastAsia="Cambria"/>
                <w:sz w:val="15"/>
                <w:szCs w:val="15"/>
              </w:rPr>
              <w:t>.975</w:t>
            </w:r>
          </w:p>
        </w:tc>
        <w:tc>
          <w:tcPr>
            <w:tcW w:w="513" w:type="dxa"/>
          </w:tcPr>
          <w:p w14:paraId="55EFE623" w14:textId="77777777" w:rsidR="00BE2473" w:rsidRDefault="00000000">
            <w:pPr>
              <w:pStyle w:val="Compact"/>
              <w:rPr>
                <w:rFonts w:ascii="Cambria" w:eastAsia="Cambria" w:hAnsi="Cambria"/>
              </w:rPr>
            </w:pPr>
            <w:r>
              <w:rPr>
                <w:rFonts w:eastAsia="Cambria"/>
                <w:sz w:val="15"/>
                <w:szCs w:val="15"/>
              </w:rPr>
              <w:t>.878</w:t>
            </w:r>
          </w:p>
        </w:tc>
        <w:tc>
          <w:tcPr>
            <w:tcW w:w="598" w:type="dxa"/>
          </w:tcPr>
          <w:p w14:paraId="6F5CACC5" w14:textId="77777777" w:rsidR="00BE2473" w:rsidRDefault="00000000">
            <w:pPr>
              <w:pStyle w:val="Compact"/>
              <w:rPr>
                <w:rFonts w:ascii="Cambria" w:eastAsia="Cambria" w:hAnsi="Cambria"/>
              </w:rPr>
            </w:pPr>
            <w:r>
              <w:rPr>
                <w:rFonts w:eastAsia="Cambria"/>
                <w:sz w:val="15"/>
                <w:szCs w:val="15"/>
              </w:rPr>
              <w:t>1.11</w:t>
            </w:r>
          </w:p>
        </w:tc>
        <w:tc>
          <w:tcPr>
            <w:tcW w:w="570" w:type="dxa"/>
          </w:tcPr>
          <w:p w14:paraId="515CFC86" w14:textId="77777777" w:rsidR="00BE2473" w:rsidRDefault="00000000">
            <w:pPr>
              <w:pStyle w:val="Compact"/>
              <w:rPr>
                <w:rFonts w:ascii="Cambria" w:eastAsia="Cambria" w:hAnsi="Cambria"/>
              </w:rPr>
            </w:pPr>
            <w:r>
              <w:rPr>
                <w:rFonts w:eastAsia="Cambria"/>
                <w:sz w:val="15"/>
                <w:szCs w:val="15"/>
              </w:rPr>
              <w:t>NR</w:t>
            </w:r>
          </w:p>
        </w:tc>
        <w:tc>
          <w:tcPr>
            <w:tcW w:w="509" w:type="dxa"/>
          </w:tcPr>
          <w:p w14:paraId="77507D5D" w14:textId="77777777" w:rsidR="00BE2473" w:rsidRDefault="00000000">
            <w:pPr>
              <w:pStyle w:val="Compact"/>
              <w:rPr>
                <w:rFonts w:ascii="Cambria" w:eastAsia="Cambria" w:hAnsi="Cambria"/>
              </w:rPr>
            </w:pPr>
            <w:r>
              <w:rPr>
                <w:rFonts w:eastAsia="Cambria"/>
                <w:sz w:val="15"/>
                <w:szCs w:val="15"/>
              </w:rPr>
              <w:t>✓</w:t>
            </w:r>
          </w:p>
        </w:tc>
      </w:tr>
      <w:tr w:rsidR="00BE2473" w14:paraId="477F54DC" w14:textId="77777777" w:rsidTr="00BE2473">
        <w:tc>
          <w:tcPr>
            <w:tcW w:w="1657" w:type="dxa"/>
          </w:tcPr>
          <w:p w14:paraId="4F27A825" w14:textId="77777777" w:rsidR="00BE2473" w:rsidRDefault="00000000">
            <w:pPr>
              <w:pStyle w:val="Compact"/>
              <w:rPr>
                <w:rFonts w:ascii="Cambria" w:eastAsia="Cambria" w:hAnsi="Cambria"/>
              </w:rPr>
            </w:pPr>
            <w:r>
              <w:rPr>
                <w:rFonts w:eastAsia="Cambria"/>
                <w:sz w:val="15"/>
                <w:szCs w:val="15"/>
              </w:rPr>
              <w:t>Clinical NER</w:t>
            </w:r>
          </w:p>
        </w:tc>
        <w:tc>
          <w:tcPr>
            <w:tcW w:w="678" w:type="dxa"/>
          </w:tcPr>
          <w:p w14:paraId="3F6A6FE7" w14:textId="77777777" w:rsidR="00BE2473" w:rsidRDefault="00000000">
            <w:pPr>
              <w:pStyle w:val="Compact"/>
              <w:rPr>
                <w:rFonts w:ascii="Cambria" w:eastAsia="Cambria" w:hAnsi="Cambria"/>
              </w:rPr>
            </w:pPr>
            <w:r>
              <w:rPr>
                <w:rFonts w:eastAsia="Cambria"/>
                <w:sz w:val="15"/>
                <w:szCs w:val="15"/>
              </w:rPr>
              <w:t>[40]</w:t>
            </w:r>
          </w:p>
        </w:tc>
        <w:tc>
          <w:tcPr>
            <w:tcW w:w="1298" w:type="dxa"/>
          </w:tcPr>
          <w:p w14:paraId="7153D04D"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376AFC94" w14:textId="77777777" w:rsidR="00BE2473" w:rsidRDefault="00000000">
            <w:pPr>
              <w:pStyle w:val="Compact"/>
              <w:rPr>
                <w:rFonts w:ascii="Cambria" w:eastAsia="Cambria" w:hAnsi="Cambria"/>
              </w:rPr>
            </w:pPr>
            <w:r>
              <w:rPr>
                <w:rFonts w:eastAsia="Cambria"/>
                <w:sz w:val="15"/>
                <w:szCs w:val="15"/>
              </w:rPr>
              <w:t>GPT-4</w:t>
            </w:r>
          </w:p>
        </w:tc>
        <w:tc>
          <w:tcPr>
            <w:tcW w:w="503" w:type="dxa"/>
          </w:tcPr>
          <w:p w14:paraId="1E68951B" w14:textId="77777777" w:rsidR="00BE2473" w:rsidRDefault="00000000">
            <w:pPr>
              <w:pStyle w:val="Compact"/>
              <w:rPr>
                <w:rFonts w:ascii="Cambria" w:eastAsia="Cambria" w:hAnsi="Cambria"/>
              </w:rPr>
            </w:pPr>
            <w:r>
              <w:rPr>
                <w:rFonts w:eastAsia="Cambria"/>
                <w:sz w:val="15"/>
                <w:szCs w:val="15"/>
              </w:rPr>
              <w:t>3S</w:t>
            </w:r>
          </w:p>
        </w:tc>
        <w:tc>
          <w:tcPr>
            <w:tcW w:w="663" w:type="dxa"/>
          </w:tcPr>
          <w:p w14:paraId="2D2CF065" w14:textId="77777777" w:rsidR="00BE2473" w:rsidRDefault="00000000">
            <w:pPr>
              <w:pStyle w:val="Compact"/>
              <w:rPr>
                <w:rFonts w:ascii="Cambria" w:eastAsia="Cambria" w:hAnsi="Cambria"/>
              </w:rPr>
            </w:pPr>
            <w:r>
              <w:rPr>
                <w:rFonts w:eastAsia="Cambria"/>
                <w:sz w:val="15"/>
                <w:szCs w:val="15"/>
              </w:rPr>
              <w:t>(1,2,1)</w:t>
            </w:r>
          </w:p>
        </w:tc>
        <w:tc>
          <w:tcPr>
            <w:tcW w:w="654" w:type="dxa"/>
          </w:tcPr>
          <w:p w14:paraId="300F2663" w14:textId="77777777" w:rsidR="00BE2473" w:rsidRDefault="00000000">
            <w:pPr>
              <w:pStyle w:val="Compact"/>
              <w:rPr>
                <w:rFonts w:ascii="Cambria" w:eastAsia="Cambria" w:hAnsi="Cambria"/>
              </w:rPr>
            </w:pPr>
            <w:r>
              <w:rPr>
                <w:rFonts w:eastAsia="Cambria"/>
                <w:sz w:val="15"/>
                <w:szCs w:val="15"/>
              </w:rPr>
              <w:t>F1</w:t>
            </w:r>
          </w:p>
        </w:tc>
        <w:tc>
          <w:tcPr>
            <w:tcW w:w="513" w:type="dxa"/>
          </w:tcPr>
          <w:p w14:paraId="504079AF" w14:textId="77777777" w:rsidR="00BE2473" w:rsidRDefault="00000000">
            <w:pPr>
              <w:pStyle w:val="Compact"/>
              <w:rPr>
                <w:rFonts w:ascii="Cambria" w:eastAsia="Cambria" w:hAnsi="Cambria"/>
              </w:rPr>
            </w:pPr>
            <w:r>
              <w:rPr>
                <w:rFonts w:eastAsia="Cambria"/>
                <w:sz w:val="15"/>
                <w:szCs w:val="15"/>
              </w:rPr>
              <w:t>79.3</w:t>
            </w:r>
          </w:p>
        </w:tc>
        <w:tc>
          <w:tcPr>
            <w:tcW w:w="513" w:type="dxa"/>
          </w:tcPr>
          <w:p w14:paraId="5489009F" w14:textId="77777777" w:rsidR="00BE2473" w:rsidRDefault="00000000">
            <w:pPr>
              <w:pStyle w:val="Compact"/>
              <w:rPr>
                <w:rFonts w:ascii="Cambria" w:eastAsia="Cambria" w:hAnsi="Cambria"/>
              </w:rPr>
            </w:pPr>
            <w:r>
              <w:rPr>
                <w:rFonts w:eastAsia="Cambria"/>
                <w:sz w:val="15"/>
                <w:szCs w:val="15"/>
              </w:rPr>
              <w:t>59.5</w:t>
            </w:r>
          </w:p>
        </w:tc>
        <w:tc>
          <w:tcPr>
            <w:tcW w:w="598" w:type="dxa"/>
          </w:tcPr>
          <w:p w14:paraId="26E9A9A2" w14:textId="77777777" w:rsidR="00BE2473" w:rsidRDefault="00000000">
            <w:pPr>
              <w:pStyle w:val="Compact"/>
              <w:rPr>
                <w:rFonts w:ascii="Cambria" w:eastAsia="Cambria" w:hAnsi="Cambria"/>
              </w:rPr>
            </w:pPr>
            <w:r>
              <w:rPr>
                <w:rFonts w:eastAsia="Cambria"/>
                <w:sz w:val="15"/>
                <w:szCs w:val="15"/>
              </w:rPr>
              <w:t>1.33</w:t>
            </w:r>
          </w:p>
        </w:tc>
        <w:tc>
          <w:tcPr>
            <w:tcW w:w="570" w:type="dxa"/>
          </w:tcPr>
          <w:p w14:paraId="6D1D6578" w14:textId="77777777" w:rsidR="00BE2473" w:rsidRDefault="00000000">
            <w:pPr>
              <w:pStyle w:val="Compact"/>
              <w:rPr>
                <w:rFonts w:ascii="Cambria" w:eastAsia="Cambria" w:hAnsi="Cambria"/>
              </w:rPr>
            </w:pPr>
            <w:r>
              <w:rPr>
                <w:rFonts w:eastAsia="Cambria"/>
                <w:sz w:val="15"/>
                <w:szCs w:val="15"/>
              </w:rPr>
              <w:t>NR</w:t>
            </w:r>
          </w:p>
        </w:tc>
        <w:tc>
          <w:tcPr>
            <w:tcW w:w="509" w:type="dxa"/>
          </w:tcPr>
          <w:p w14:paraId="1BCAA096" w14:textId="77777777" w:rsidR="00BE2473" w:rsidRDefault="00000000">
            <w:pPr>
              <w:pStyle w:val="Compact"/>
              <w:rPr>
                <w:rFonts w:ascii="Cambria" w:eastAsia="Cambria" w:hAnsi="Cambria"/>
              </w:rPr>
            </w:pPr>
            <w:r>
              <w:rPr>
                <w:rFonts w:eastAsia="Cambria"/>
                <w:sz w:val="15"/>
                <w:szCs w:val="15"/>
              </w:rPr>
              <w:t>✓</w:t>
            </w:r>
          </w:p>
        </w:tc>
      </w:tr>
      <w:tr w:rsidR="00BE2473" w14:paraId="7EB5DD75" w14:textId="77777777" w:rsidTr="00BE2473">
        <w:tc>
          <w:tcPr>
            <w:tcW w:w="1657" w:type="dxa"/>
          </w:tcPr>
          <w:p w14:paraId="7AE768DD" w14:textId="77777777" w:rsidR="00BE2473" w:rsidRDefault="00000000">
            <w:pPr>
              <w:pStyle w:val="Compact"/>
              <w:rPr>
                <w:rFonts w:ascii="Cambria" w:eastAsia="Cambria" w:hAnsi="Cambria"/>
              </w:rPr>
            </w:pPr>
            <w:r>
              <w:rPr>
                <w:rFonts w:eastAsia="Cambria"/>
                <w:sz w:val="15"/>
                <w:szCs w:val="15"/>
              </w:rPr>
              <w:t>Pathology IE</w:t>
            </w:r>
          </w:p>
        </w:tc>
        <w:tc>
          <w:tcPr>
            <w:tcW w:w="678" w:type="dxa"/>
          </w:tcPr>
          <w:p w14:paraId="1AAEEA89" w14:textId="77777777" w:rsidR="00BE2473" w:rsidRDefault="00000000">
            <w:pPr>
              <w:pStyle w:val="Compact"/>
              <w:rPr>
                <w:rFonts w:ascii="Cambria" w:eastAsia="Cambria" w:hAnsi="Cambria"/>
              </w:rPr>
            </w:pPr>
            <w:r>
              <w:rPr>
                <w:rFonts w:eastAsia="Cambria"/>
                <w:sz w:val="15"/>
                <w:szCs w:val="15"/>
              </w:rPr>
              <w:t>[42]</w:t>
            </w:r>
          </w:p>
        </w:tc>
        <w:tc>
          <w:tcPr>
            <w:tcW w:w="1298" w:type="dxa"/>
          </w:tcPr>
          <w:p w14:paraId="4368542C" w14:textId="77777777" w:rsidR="00BE2473" w:rsidRDefault="00000000">
            <w:pPr>
              <w:pStyle w:val="Compact"/>
              <w:rPr>
                <w:rFonts w:ascii="Cambria" w:eastAsia="Cambria" w:hAnsi="Cambria"/>
              </w:rPr>
            </w:pPr>
            <w:r>
              <w:rPr>
                <w:rFonts w:eastAsia="Cambria"/>
                <w:sz w:val="15"/>
                <w:szCs w:val="15"/>
              </w:rPr>
              <w:t>Llama3-8B</w:t>
            </w:r>
          </w:p>
        </w:tc>
        <w:tc>
          <w:tcPr>
            <w:tcW w:w="1203" w:type="dxa"/>
          </w:tcPr>
          <w:p w14:paraId="147203FD" w14:textId="77777777" w:rsidR="00BE2473" w:rsidRDefault="00000000">
            <w:pPr>
              <w:pStyle w:val="Compact"/>
              <w:rPr>
                <w:rFonts w:ascii="Cambria" w:eastAsia="Cambria" w:hAnsi="Cambria"/>
              </w:rPr>
            </w:pPr>
            <w:r>
              <w:rPr>
                <w:rFonts w:eastAsia="Cambria"/>
                <w:sz w:val="15"/>
                <w:szCs w:val="15"/>
              </w:rPr>
              <w:t>GPT-4</w:t>
            </w:r>
          </w:p>
        </w:tc>
        <w:tc>
          <w:tcPr>
            <w:tcW w:w="503" w:type="dxa"/>
          </w:tcPr>
          <w:p w14:paraId="750FB8E1" w14:textId="77777777" w:rsidR="00BE2473" w:rsidRDefault="00000000">
            <w:pPr>
              <w:pStyle w:val="Compact"/>
              <w:rPr>
                <w:rFonts w:ascii="Cambria" w:eastAsia="Cambria" w:hAnsi="Cambria"/>
              </w:rPr>
            </w:pPr>
            <w:r>
              <w:rPr>
                <w:rFonts w:eastAsia="Cambria"/>
                <w:sz w:val="15"/>
                <w:szCs w:val="15"/>
              </w:rPr>
              <w:t>P</w:t>
            </w:r>
          </w:p>
        </w:tc>
        <w:tc>
          <w:tcPr>
            <w:tcW w:w="663" w:type="dxa"/>
          </w:tcPr>
          <w:p w14:paraId="773483E0" w14:textId="77777777" w:rsidR="00BE2473" w:rsidRDefault="00000000">
            <w:pPr>
              <w:pStyle w:val="Compact"/>
              <w:rPr>
                <w:rFonts w:ascii="Cambria" w:eastAsia="Cambria" w:hAnsi="Cambria"/>
              </w:rPr>
            </w:pPr>
            <w:r>
              <w:rPr>
                <w:rFonts w:eastAsia="Cambria"/>
                <w:sz w:val="15"/>
                <w:szCs w:val="15"/>
              </w:rPr>
              <w:t>(1,2,1)</w:t>
            </w:r>
          </w:p>
        </w:tc>
        <w:tc>
          <w:tcPr>
            <w:tcW w:w="654" w:type="dxa"/>
          </w:tcPr>
          <w:p w14:paraId="34B4170C" w14:textId="77777777" w:rsidR="00BE2473" w:rsidRDefault="00000000">
            <w:pPr>
              <w:pStyle w:val="Compact"/>
              <w:rPr>
                <w:rFonts w:ascii="Cambria" w:eastAsia="Cambria" w:hAnsi="Cambria"/>
              </w:rPr>
            </w:pPr>
            <w:r>
              <w:rPr>
                <w:rFonts w:eastAsia="Cambria"/>
                <w:sz w:val="15"/>
                <w:szCs w:val="15"/>
              </w:rPr>
              <w:t>Acc</w:t>
            </w:r>
          </w:p>
        </w:tc>
        <w:tc>
          <w:tcPr>
            <w:tcW w:w="513" w:type="dxa"/>
          </w:tcPr>
          <w:p w14:paraId="7BE4E5C5" w14:textId="77777777" w:rsidR="00BE2473" w:rsidRDefault="00000000">
            <w:pPr>
              <w:pStyle w:val="Compact"/>
              <w:rPr>
                <w:rFonts w:ascii="Cambria" w:eastAsia="Cambria" w:hAnsi="Cambria"/>
              </w:rPr>
            </w:pPr>
            <w:r>
              <w:rPr>
                <w:rFonts w:eastAsia="Cambria"/>
                <w:sz w:val="15"/>
                <w:szCs w:val="15"/>
              </w:rPr>
              <w:t>91</w:t>
            </w:r>
          </w:p>
        </w:tc>
        <w:tc>
          <w:tcPr>
            <w:tcW w:w="513" w:type="dxa"/>
          </w:tcPr>
          <w:p w14:paraId="174FC289" w14:textId="77777777" w:rsidR="00BE2473" w:rsidRDefault="00000000">
            <w:pPr>
              <w:pStyle w:val="Compact"/>
              <w:rPr>
                <w:rFonts w:ascii="Cambria" w:eastAsia="Cambria" w:hAnsi="Cambria"/>
              </w:rPr>
            </w:pPr>
            <w:r>
              <w:rPr>
                <w:rFonts w:eastAsia="Cambria"/>
                <w:sz w:val="15"/>
                <w:szCs w:val="15"/>
              </w:rPr>
              <w:t>97</w:t>
            </w:r>
            <w:r>
              <w:rPr>
                <w:rFonts w:eastAsia="Cambria"/>
                <w:sz w:val="15"/>
                <w:szCs w:val="15"/>
                <w:vertAlign w:val="superscript"/>
              </w:rPr>
              <w:t>g</w:t>
            </w:r>
          </w:p>
        </w:tc>
        <w:tc>
          <w:tcPr>
            <w:tcW w:w="598" w:type="dxa"/>
          </w:tcPr>
          <w:p w14:paraId="69E6C0EF" w14:textId="77777777" w:rsidR="00BE2473" w:rsidRDefault="00000000">
            <w:pPr>
              <w:pStyle w:val="Compact"/>
              <w:rPr>
                <w:rFonts w:ascii="Cambria" w:eastAsia="Cambria" w:hAnsi="Cambria"/>
              </w:rPr>
            </w:pPr>
            <w:r>
              <w:rPr>
                <w:rFonts w:eastAsia="Cambria"/>
                <w:sz w:val="15"/>
                <w:szCs w:val="15"/>
              </w:rPr>
              <w:t>0.94</w:t>
            </w:r>
          </w:p>
        </w:tc>
        <w:tc>
          <w:tcPr>
            <w:tcW w:w="570" w:type="dxa"/>
          </w:tcPr>
          <w:p w14:paraId="54846F62" w14:textId="77777777" w:rsidR="00BE2473" w:rsidRDefault="00000000">
            <w:pPr>
              <w:pStyle w:val="Compact"/>
              <w:rPr>
                <w:rFonts w:ascii="Cambria" w:eastAsia="Cambria" w:hAnsi="Cambria"/>
              </w:rPr>
            </w:pPr>
            <w:r>
              <w:rPr>
                <w:rFonts w:eastAsia="Cambria"/>
                <w:sz w:val="15"/>
                <w:szCs w:val="15"/>
              </w:rPr>
              <w:t>0.54</w:t>
            </w:r>
            <w:r>
              <w:rPr>
                <w:rFonts w:eastAsia="Cambria"/>
                <w:sz w:val="15"/>
                <w:szCs w:val="15"/>
                <w:vertAlign w:val="superscript"/>
              </w:rPr>
              <w:t>h</w:t>
            </w:r>
          </w:p>
        </w:tc>
        <w:tc>
          <w:tcPr>
            <w:tcW w:w="509" w:type="dxa"/>
          </w:tcPr>
          <w:p w14:paraId="77B1E547" w14:textId="77777777" w:rsidR="00BE2473" w:rsidRDefault="00000000">
            <w:pPr>
              <w:pStyle w:val="Compact"/>
              <w:rPr>
                <w:rFonts w:ascii="Cambria" w:eastAsia="Cambria" w:hAnsi="Cambria"/>
              </w:rPr>
            </w:pPr>
            <w:r>
              <w:rPr>
                <w:rFonts w:eastAsia="Cambria"/>
                <w:sz w:val="15"/>
                <w:szCs w:val="15"/>
              </w:rPr>
              <w:t>✓</w:t>
            </w:r>
          </w:p>
        </w:tc>
      </w:tr>
      <w:tr w:rsidR="00BE2473" w14:paraId="3D982FE2" w14:textId="77777777" w:rsidTr="00BE2473">
        <w:tc>
          <w:tcPr>
            <w:tcW w:w="1657" w:type="dxa"/>
          </w:tcPr>
          <w:p w14:paraId="21FDDDB2" w14:textId="77777777" w:rsidR="00BE2473" w:rsidRDefault="00000000">
            <w:pPr>
              <w:pStyle w:val="Compact"/>
              <w:rPr>
                <w:rFonts w:ascii="Cambria" w:eastAsia="Cambria" w:hAnsi="Cambria"/>
              </w:rPr>
            </w:pPr>
            <w:r>
              <w:rPr>
                <w:rFonts w:eastAsia="Cambria"/>
                <w:sz w:val="15"/>
                <w:szCs w:val="15"/>
              </w:rPr>
              <w:t xml:space="preserve">Pathology </w:t>
            </w:r>
            <w:proofErr w:type="spellStart"/>
            <w:r>
              <w:rPr>
                <w:rFonts w:eastAsia="Cambria"/>
                <w:sz w:val="15"/>
                <w:szCs w:val="15"/>
              </w:rPr>
              <w:t>IE</w:t>
            </w:r>
            <w:r>
              <w:rPr>
                <w:rFonts w:eastAsia="Cambria"/>
                <w:sz w:val="15"/>
                <w:szCs w:val="15"/>
                <w:vertAlign w:val="superscript"/>
              </w:rPr>
              <w:t>c</w:t>
            </w:r>
            <w:proofErr w:type="spellEnd"/>
          </w:p>
        </w:tc>
        <w:tc>
          <w:tcPr>
            <w:tcW w:w="678" w:type="dxa"/>
          </w:tcPr>
          <w:p w14:paraId="232EC9D0" w14:textId="77777777" w:rsidR="00BE2473" w:rsidRDefault="00000000">
            <w:pPr>
              <w:pStyle w:val="Compact"/>
              <w:rPr>
                <w:rFonts w:ascii="Cambria" w:eastAsia="Cambria" w:hAnsi="Cambria"/>
              </w:rPr>
            </w:pPr>
            <w:r>
              <w:rPr>
                <w:rFonts w:eastAsia="Cambria"/>
                <w:sz w:val="15"/>
                <w:szCs w:val="15"/>
              </w:rPr>
              <w:t>[42]</w:t>
            </w:r>
          </w:p>
        </w:tc>
        <w:tc>
          <w:tcPr>
            <w:tcW w:w="1298" w:type="dxa"/>
          </w:tcPr>
          <w:p w14:paraId="5500E35D" w14:textId="77777777" w:rsidR="00BE2473" w:rsidRDefault="00000000">
            <w:pPr>
              <w:pStyle w:val="Compact"/>
              <w:rPr>
                <w:rFonts w:ascii="Cambria" w:eastAsia="Cambria" w:hAnsi="Cambria"/>
              </w:rPr>
            </w:pPr>
            <w:r>
              <w:rPr>
                <w:rFonts w:eastAsia="Cambria"/>
                <w:sz w:val="15"/>
                <w:szCs w:val="15"/>
              </w:rPr>
              <w:t>Llama3-8B 4-bit</w:t>
            </w:r>
          </w:p>
        </w:tc>
        <w:tc>
          <w:tcPr>
            <w:tcW w:w="1203" w:type="dxa"/>
          </w:tcPr>
          <w:p w14:paraId="1E1F4679" w14:textId="77777777" w:rsidR="00BE2473" w:rsidRDefault="00000000">
            <w:pPr>
              <w:pStyle w:val="Compact"/>
              <w:rPr>
                <w:rFonts w:ascii="Cambria" w:eastAsia="Cambria" w:hAnsi="Cambria"/>
              </w:rPr>
            </w:pPr>
            <w:r>
              <w:rPr>
                <w:rFonts w:eastAsia="Cambria"/>
                <w:sz w:val="15"/>
                <w:szCs w:val="15"/>
              </w:rPr>
              <w:t>GPT-4</w:t>
            </w:r>
          </w:p>
        </w:tc>
        <w:tc>
          <w:tcPr>
            <w:tcW w:w="503" w:type="dxa"/>
          </w:tcPr>
          <w:p w14:paraId="30DF41B6" w14:textId="77777777" w:rsidR="00BE2473" w:rsidRDefault="00000000">
            <w:pPr>
              <w:pStyle w:val="Compact"/>
              <w:rPr>
                <w:rFonts w:ascii="Cambria" w:eastAsia="Cambria" w:hAnsi="Cambria"/>
              </w:rPr>
            </w:pPr>
            <w:r>
              <w:rPr>
                <w:rFonts w:eastAsia="Cambria"/>
                <w:sz w:val="15"/>
                <w:szCs w:val="15"/>
              </w:rPr>
              <w:t>P</w:t>
            </w:r>
          </w:p>
        </w:tc>
        <w:tc>
          <w:tcPr>
            <w:tcW w:w="663" w:type="dxa"/>
          </w:tcPr>
          <w:p w14:paraId="7FE8ADF8" w14:textId="77777777" w:rsidR="00BE2473" w:rsidRDefault="00000000">
            <w:pPr>
              <w:pStyle w:val="Compact"/>
              <w:rPr>
                <w:rFonts w:ascii="Cambria" w:eastAsia="Cambria" w:hAnsi="Cambria"/>
              </w:rPr>
            </w:pPr>
            <w:r>
              <w:rPr>
                <w:rFonts w:eastAsia="Cambria"/>
                <w:sz w:val="15"/>
                <w:szCs w:val="15"/>
              </w:rPr>
              <w:t>(1,2,1)</w:t>
            </w:r>
          </w:p>
        </w:tc>
        <w:tc>
          <w:tcPr>
            <w:tcW w:w="654" w:type="dxa"/>
          </w:tcPr>
          <w:p w14:paraId="1C66EE8B" w14:textId="77777777" w:rsidR="00BE2473" w:rsidRDefault="00000000">
            <w:pPr>
              <w:pStyle w:val="Compact"/>
              <w:rPr>
                <w:rFonts w:ascii="Cambria" w:eastAsia="Cambria" w:hAnsi="Cambria"/>
              </w:rPr>
            </w:pPr>
            <w:r>
              <w:rPr>
                <w:rFonts w:eastAsia="Cambria"/>
                <w:sz w:val="15"/>
                <w:szCs w:val="15"/>
              </w:rPr>
              <w:t>Acc</w:t>
            </w:r>
          </w:p>
        </w:tc>
        <w:tc>
          <w:tcPr>
            <w:tcW w:w="513" w:type="dxa"/>
          </w:tcPr>
          <w:p w14:paraId="33DA101B" w14:textId="77777777" w:rsidR="00BE2473" w:rsidRDefault="00000000">
            <w:pPr>
              <w:pStyle w:val="Compact"/>
              <w:rPr>
                <w:rFonts w:ascii="Cambria" w:eastAsia="Cambria" w:hAnsi="Cambria"/>
              </w:rPr>
            </w:pPr>
            <w:r>
              <w:rPr>
                <w:rFonts w:eastAsia="Cambria"/>
                <w:sz w:val="15"/>
                <w:szCs w:val="15"/>
              </w:rPr>
              <w:t>69</w:t>
            </w:r>
          </w:p>
        </w:tc>
        <w:tc>
          <w:tcPr>
            <w:tcW w:w="513" w:type="dxa"/>
          </w:tcPr>
          <w:p w14:paraId="4FA8ABD5" w14:textId="77777777" w:rsidR="00BE2473" w:rsidRDefault="00000000">
            <w:pPr>
              <w:pStyle w:val="Compact"/>
              <w:rPr>
                <w:rFonts w:ascii="Cambria" w:eastAsia="Cambria" w:hAnsi="Cambria"/>
              </w:rPr>
            </w:pPr>
            <w:r>
              <w:rPr>
                <w:rFonts w:eastAsia="Cambria"/>
                <w:sz w:val="15"/>
                <w:szCs w:val="15"/>
              </w:rPr>
              <w:t>97</w:t>
            </w:r>
            <w:r>
              <w:rPr>
                <w:rFonts w:eastAsia="Cambria"/>
                <w:sz w:val="15"/>
                <w:szCs w:val="15"/>
                <w:vertAlign w:val="superscript"/>
              </w:rPr>
              <w:t>g</w:t>
            </w:r>
          </w:p>
        </w:tc>
        <w:tc>
          <w:tcPr>
            <w:tcW w:w="598" w:type="dxa"/>
          </w:tcPr>
          <w:p w14:paraId="14D4E3EC" w14:textId="77777777" w:rsidR="00BE2473" w:rsidRDefault="00000000">
            <w:pPr>
              <w:pStyle w:val="Compact"/>
              <w:rPr>
                <w:rFonts w:ascii="Cambria" w:eastAsia="Cambria" w:hAnsi="Cambria"/>
              </w:rPr>
            </w:pPr>
            <w:r>
              <w:rPr>
                <w:rFonts w:eastAsia="Cambria"/>
                <w:sz w:val="15"/>
                <w:szCs w:val="15"/>
              </w:rPr>
              <w:t>0.71</w:t>
            </w:r>
          </w:p>
        </w:tc>
        <w:tc>
          <w:tcPr>
            <w:tcW w:w="570" w:type="dxa"/>
          </w:tcPr>
          <w:p w14:paraId="46388A88" w14:textId="77777777" w:rsidR="00BE2473" w:rsidRDefault="00000000">
            <w:pPr>
              <w:pStyle w:val="Compact"/>
              <w:rPr>
                <w:rFonts w:ascii="Cambria" w:eastAsia="Cambria" w:hAnsi="Cambria"/>
              </w:rPr>
            </w:pPr>
            <w:r>
              <w:rPr>
                <w:rFonts w:eastAsia="Cambria"/>
                <w:sz w:val="15"/>
                <w:szCs w:val="15"/>
              </w:rPr>
              <w:t>NR</w:t>
            </w:r>
          </w:p>
        </w:tc>
        <w:tc>
          <w:tcPr>
            <w:tcW w:w="509" w:type="dxa"/>
          </w:tcPr>
          <w:p w14:paraId="02276D49" w14:textId="77777777" w:rsidR="00BE2473" w:rsidRDefault="00000000">
            <w:pPr>
              <w:pStyle w:val="Compact"/>
              <w:rPr>
                <w:rFonts w:ascii="Cambria" w:eastAsia="Cambria" w:hAnsi="Cambria"/>
              </w:rPr>
            </w:pPr>
            <w:r>
              <w:rPr>
                <w:rFonts w:eastAsia="Cambria"/>
                <w:sz w:val="15"/>
                <w:szCs w:val="15"/>
              </w:rPr>
              <w:t>×</w:t>
            </w:r>
          </w:p>
        </w:tc>
      </w:tr>
      <w:tr w:rsidR="00BE2473" w14:paraId="41C6356C" w14:textId="77777777" w:rsidTr="00BE2473">
        <w:tc>
          <w:tcPr>
            <w:tcW w:w="1657" w:type="dxa"/>
          </w:tcPr>
          <w:p w14:paraId="1271CAF2" w14:textId="77777777" w:rsidR="00BE2473" w:rsidRDefault="00000000">
            <w:pPr>
              <w:pStyle w:val="Compact"/>
              <w:rPr>
                <w:rFonts w:ascii="Cambria" w:eastAsia="Cambria" w:hAnsi="Cambria"/>
              </w:rPr>
            </w:pPr>
            <w:r>
              <w:rPr>
                <w:rFonts w:eastAsia="Cambria"/>
                <w:sz w:val="15"/>
                <w:szCs w:val="15"/>
              </w:rPr>
              <w:t>Clinical report IE</w:t>
            </w:r>
          </w:p>
        </w:tc>
        <w:tc>
          <w:tcPr>
            <w:tcW w:w="678" w:type="dxa"/>
          </w:tcPr>
          <w:p w14:paraId="3283683A" w14:textId="77777777" w:rsidR="00BE2473" w:rsidRDefault="00000000">
            <w:pPr>
              <w:pStyle w:val="Compact"/>
              <w:rPr>
                <w:rFonts w:ascii="Cambria" w:eastAsia="Cambria" w:hAnsi="Cambria"/>
              </w:rPr>
            </w:pPr>
            <w:r>
              <w:rPr>
                <w:rFonts w:eastAsia="Cambria"/>
                <w:sz w:val="15"/>
                <w:szCs w:val="15"/>
              </w:rPr>
              <w:t>[47]</w:t>
            </w:r>
          </w:p>
        </w:tc>
        <w:tc>
          <w:tcPr>
            <w:tcW w:w="1298" w:type="dxa"/>
          </w:tcPr>
          <w:p w14:paraId="76424964" w14:textId="77777777" w:rsidR="00BE2473" w:rsidRDefault="00000000">
            <w:pPr>
              <w:pStyle w:val="Compact"/>
              <w:rPr>
                <w:rFonts w:ascii="Cambria" w:eastAsia="Cambria" w:hAnsi="Cambria"/>
              </w:rPr>
            </w:pPr>
            <w:r>
              <w:rPr>
                <w:rFonts w:eastAsia="Cambria"/>
                <w:sz w:val="15"/>
                <w:szCs w:val="15"/>
              </w:rPr>
              <w:t>Llama-3.1-8B</w:t>
            </w:r>
            <w:r>
              <w:rPr>
                <w:rFonts w:eastAsia="Cambria"/>
                <w:sz w:val="15"/>
                <w:szCs w:val="15"/>
                <w:vertAlign w:val="superscript"/>
              </w:rPr>
              <w:t>d</w:t>
            </w:r>
          </w:p>
        </w:tc>
        <w:tc>
          <w:tcPr>
            <w:tcW w:w="1203" w:type="dxa"/>
          </w:tcPr>
          <w:p w14:paraId="680676BD" w14:textId="77777777" w:rsidR="00BE2473" w:rsidRDefault="00000000">
            <w:pPr>
              <w:pStyle w:val="Compact"/>
              <w:rPr>
                <w:rFonts w:ascii="Cambria" w:eastAsia="Cambria" w:hAnsi="Cambria"/>
              </w:rPr>
            </w:pPr>
            <w:r>
              <w:rPr>
                <w:rFonts w:eastAsia="Cambria"/>
                <w:sz w:val="15"/>
                <w:szCs w:val="15"/>
              </w:rPr>
              <w:t>GPT-4</w:t>
            </w:r>
          </w:p>
        </w:tc>
        <w:tc>
          <w:tcPr>
            <w:tcW w:w="503" w:type="dxa"/>
          </w:tcPr>
          <w:p w14:paraId="5B0622C6" w14:textId="77777777" w:rsidR="00BE2473" w:rsidRDefault="00000000">
            <w:pPr>
              <w:pStyle w:val="Compact"/>
              <w:rPr>
                <w:rFonts w:ascii="Cambria" w:eastAsia="Cambria" w:hAnsi="Cambria"/>
              </w:rPr>
            </w:pPr>
            <w:r>
              <w:rPr>
                <w:rFonts w:eastAsia="Cambria"/>
                <w:sz w:val="15"/>
                <w:szCs w:val="15"/>
              </w:rPr>
              <w:t>ZS</w:t>
            </w:r>
          </w:p>
        </w:tc>
        <w:tc>
          <w:tcPr>
            <w:tcW w:w="663" w:type="dxa"/>
          </w:tcPr>
          <w:p w14:paraId="1570F846" w14:textId="77777777" w:rsidR="00BE2473" w:rsidRDefault="00000000">
            <w:pPr>
              <w:pStyle w:val="Compact"/>
              <w:rPr>
                <w:rFonts w:ascii="Cambria" w:eastAsia="Cambria" w:hAnsi="Cambria"/>
              </w:rPr>
            </w:pPr>
            <w:r>
              <w:rPr>
                <w:rFonts w:eastAsia="Cambria"/>
                <w:sz w:val="15"/>
                <w:szCs w:val="15"/>
              </w:rPr>
              <w:t>(1,2,1)</w:t>
            </w:r>
          </w:p>
        </w:tc>
        <w:tc>
          <w:tcPr>
            <w:tcW w:w="654" w:type="dxa"/>
          </w:tcPr>
          <w:p w14:paraId="29F14FF3" w14:textId="77777777" w:rsidR="00BE2473" w:rsidRDefault="00000000">
            <w:pPr>
              <w:pStyle w:val="Compact"/>
              <w:rPr>
                <w:rFonts w:ascii="Cambria" w:eastAsia="Cambria" w:hAnsi="Cambria"/>
              </w:rPr>
            </w:pPr>
            <w:r>
              <w:rPr>
                <w:rFonts w:eastAsia="Cambria"/>
                <w:sz w:val="15"/>
                <w:szCs w:val="15"/>
              </w:rPr>
              <w:t>EM</w:t>
            </w:r>
          </w:p>
        </w:tc>
        <w:tc>
          <w:tcPr>
            <w:tcW w:w="513" w:type="dxa"/>
          </w:tcPr>
          <w:p w14:paraId="2994F1CC" w14:textId="77777777" w:rsidR="00BE2473" w:rsidRDefault="00000000">
            <w:pPr>
              <w:pStyle w:val="Compact"/>
              <w:rPr>
                <w:rFonts w:ascii="Cambria" w:eastAsia="Cambria" w:hAnsi="Cambria"/>
              </w:rPr>
            </w:pPr>
            <w:r>
              <w:rPr>
                <w:rFonts w:eastAsia="Cambria"/>
                <w:sz w:val="15"/>
                <w:szCs w:val="15"/>
              </w:rPr>
              <w:t>90.0</w:t>
            </w:r>
          </w:p>
        </w:tc>
        <w:tc>
          <w:tcPr>
            <w:tcW w:w="513" w:type="dxa"/>
          </w:tcPr>
          <w:p w14:paraId="520CF4C0" w14:textId="77777777" w:rsidR="00BE2473" w:rsidRDefault="00000000">
            <w:pPr>
              <w:pStyle w:val="Compact"/>
              <w:rPr>
                <w:rFonts w:ascii="Cambria" w:eastAsia="Cambria" w:hAnsi="Cambria"/>
              </w:rPr>
            </w:pPr>
            <w:r>
              <w:rPr>
                <w:rFonts w:eastAsia="Cambria"/>
                <w:sz w:val="15"/>
                <w:szCs w:val="15"/>
              </w:rPr>
              <w:t>86.1</w:t>
            </w:r>
          </w:p>
        </w:tc>
        <w:tc>
          <w:tcPr>
            <w:tcW w:w="598" w:type="dxa"/>
          </w:tcPr>
          <w:p w14:paraId="56165B31" w14:textId="77777777" w:rsidR="00BE2473" w:rsidRDefault="00000000">
            <w:pPr>
              <w:pStyle w:val="Compact"/>
              <w:rPr>
                <w:rFonts w:ascii="Cambria" w:eastAsia="Cambria" w:hAnsi="Cambria"/>
              </w:rPr>
            </w:pPr>
            <w:r>
              <w:rPr>
                <w:rFonts w:eastAsia="Cambria"/>
                <w:sz w:val="15"/>
                <w:szCs w:val="15"/>
              </w:rPr>
              <w:t>1.05</w:t>
            </w:r>
          </w:p>
        </w:tc>
        <w:tc>
          <w:tcPr>
            <w:tcW w:w="570" w:type="dxa"/>
          </w:tcPr>
          <w:p w14:paraId="32B540CA" w14:textId="77777777" w:rsidR="00BE2473" w:rsidRDefault="00000000">
            <w:pPr>
              <w:pStyle w:val="Compact"/>
              <w:rPr>
                <w:rFonts w:ascii="Cambria" w:eastAsia="Cambria" w:hAnsi="Cambria"/>
              </w:rPr>
            </w:pPr>
            <w:r>
              <w:rPr>
                <w:rFonts w:eastAsia="Cambria"/>
                <w:sz w:val="15"/>
                <w:szCs w:val="15"/>
              </w:rPr>
              <w:t>NR</w:t>
            </w:r>
          </w:p>
        </w:tc>
        <w:tc>
          <w:tcPr>
            <w:tcW w:w="509" w:type="dxa"/>
          </w:tcPr>
          <w:p w14:paraId="6E8364FD" w14:textId="77777777" w:rsidR="00BE2473" w:rsidRDefault="00000000">
            <w:pPr>
              <w:pStyle w:val="Compact"/>
              <w:rPr>
                <w:rFonts w:ascii="Cambria" w:eastAsia="Cambria" w:hAnsi="Cambria"/>
              </w:rPr>
            </w:pPr>
            <w:r>
              <w:rPr>
                <w:rFonts w:eastAsia="Cambria"/>
                <w:sz w:val="15"/>
                <w:szCs w:val="15"/>
              </w:rPr>
              <w:t>✓</w:t>
            </w:r>
          </w:p>
        </w:tc>
      </w:tr>
      <w:tr w:rsidR="00BE2473" w14:paraId="29300864" w14:textId="77777777" w:rsidTr="00BE2473">
        <w:tc>
          <w:tcPr>
            <w:tcW w:w="1657" w:type="dxa"/>
          </w:tcPr>
          <w:p w14:paraId="6BFC3F48" w14:textId="77777777" w:rsidR="00BE2473" w:rsidRDefault="00000000">
            <w:pPr>
              <w:pStyle w:val="Compact"/>
              <w:rPr>
                <w:rFonts w:ascii="Cambria" w:eastAsia="Cambria" w:hAnsi="Cambria"/>
              </w:rPr>
            </w:pPr>
            <w:r>
              <w:rPr>
                <w:rFonts w:eastAsia="Cambria"/>
                <w:sz w:val="15"/>
                <w:szCs w:val="15"/>
              </w:rPr>
              <w:t>Biomed. CLS (binary)</w:t>
            </w:r>
          </w:p>
        </w:tc>
        <w:tc>
          <w:tcPr>
            <w:tcW w:w="678" w:type="dxa"/>
          </w:tcPr>
          <w:p w14:paraId="47149F32" w14:textId="77777777" w:rsidR="00BE2473" w:rsidRDefault="00000000">
            <w:pPr>
              <w:pStyle w:val="Compact"/>
              <w:rPr>
                <w:rFonts w:ascii="Cambria" w:eastAsia="Cambria" w:hAnsi="Cambria"/>
              </w:rPr>
            </w:pPr>
            <w:r>
              <w:rPr>
                <w:rFonts w:eastAsia="Cambria"/>
                <w:sz w:val="15"/>
                <w:szCs w:val="15"/>
              </w:rPr>
              <w:t>[48]</w:t>
            </w:r>
          </w:p>
        </w:tc>
        <w:tc>
          <w:tcPr>
            <w:tcW w:w="1298" w:type="dxa"/>
          </w:tcPr>
          <w:p w14:paraId="7D2C2C88" w14:textId="77777777" w:rsidR="00BE2473" w:rsidRDefault="00000000">
            <w:pPr>
              <w:pStyle w:val="Compact"/>
              <w:rPr>
                <w:rFonts w:ascii="Cambria" w:eastAsia="Cambria" w:hAnsi="Cambria"/>
              </w:rPr>
            </w:pPr>
            <w:r>
              <w:rPr>
                <w:rFonts w:eastAsia="Cambria"/>
                <w:sz w:val="15"/>
                <w:szCs w:val="15"/>
              </w:rPr>
              <w:t>Qwen2.5-7B</w:t>
            </w:r>
          </w:p>
        </w:tc>
        <w:tc>
          <w:tcPr>
            <w:tcW w:w="1203" w:type="dxa"/>
          </w:tcPr>
          <w:p w14:paraId="22B568C6" w14:textId="77777777" w:rsidR="00BE2473" w:rsidRDefault="00000000">
            <w:pPr>
              <w:pStyle w:val="Compact"/>
              <w:rPr>
                <w:rFonts w:ascii="Cambria" w:eastAsia="Cambria" w:hAnsi="Cambria"/>
              </w:rPr>
            </w:pPr>
            <w:r>
              <w:rPr>
                <w:rFonts w:eastAsia="Cambria"/>
                <w:sz w:val="15"/>
                <w:szCs w:val="15"/>
              </w:rPr>
              <w:t>Gemini 2.5</w:t>
            </w:r>
          </w:p>
        </w:tc>
        <w:tc>
          <w:tcPr>
            <w:tcW w:w="503" w:type="dxa"/>
          </w:tcPr>
          <w:p w14:paraId="24814813" w14:textId="77777777" w:rsidR="00BE2473" w:rsidRDefault="00000000">
            <w:pPr>
              <w:pStyle w:val="Compact"/>
              <w:rPr>
                <w:rFonts w:ascii="Cambria" w:eastAsia="Cambria" w:hAnsi="Cambria"/>
              </w:rPr>
            </w:pPr>
            <w:r>
              <w:rPr>
                <w:rFonts w:eastAsia="Cambria"/>
                <w:sz w:val="15"/>
                <w:szCs w:val="15"/>
              </w:rPr>
              <w:t>P</w:t>
            </w:r>
          </w:p>
        </w:tc>
        <w:tc>
          <w:tcPr>
            <w:tcW w:w="663" w:type="dxa"/>
          </w:tcPr>
          <w:p w14:paraId="0EB6DA12" w14:textId="77777777" w:rsidR="00BE2473" w:rsidRDefault="00000000">
            <w:pPr>
              <w:pStyle w:val="Compact"/>
              <w:rPr>
                <w:rFonts w:ascii="Cambria" w:eastAsia="Cambria" w:hAnsi="Cambria"/>
              </w:rPr>
            </w:pPr>
            <w:r>
              <w:rPr>
                <w:rFonts w:eastAsia="Cambria"/>
                <w:sz w:val="15"/>
                <w:szCs w:val="15"/>
              </w:rPr>
              <w:t>(1,2,1)</w:t>
            </w:r>
          </w:p>
        </w:tc>
        <w:tc>
          <w:tcPr>
            <w:tcW w:w="654" w:type="dxa"/>
          </w:tcPr>
          <w:p w14:paraId="17D89DDD" w14:textId="77777777" w:rsidR="00BE2473" w:rsidRDefault="00000000">
            <w:pPr>
              <w:pStyle w:val="Compact"/>
              <w:rPr>
                <w:rFonts w:ascii="Cambria" w:eastAsia="Cambria" w:hAnsi="Cambria"/>
              </w:rPr>
            </w:pPr>
            <w:r>
              <w:rPr>
                <w:rFonts w:eastAsia="Cambria"/>
                <w:sz w:val="15"/>
                <w:szCs w:val="15"/>
              </w:rPr>
              <w:t>Acc</w:t>
            </w:r>
          </w:p>
        </w:tc>
        <w:tc>
          <w:tcPr>
            <w:tcW w:w="513" w:type="dxa"/>
          </w:tcPr>
          <w:p w14:paraId="6C2CD909" w14:textId="77777777" w:rsidR="00BE2473" w:rsidRDefault="00000000">
            <w:pPr>
              <w:pStyle w:val="Compact"/>
              <w:rPr>
                <w:rFonts w:ascii="Cambria" w:eastAsia="Cambria" w:hAnsi="Cambria"/>
              </w:rPr>
            </w:pPr>
            <w:r>
              <w:rPr>
                <w:rFonts w:eastAsia="Cambria"/>
                <w:sz w:val="15"/>
                <w:szCs w:val="15"/>
              </w:rPr>
              <w:t>92</w:t>
            </w:r>
          </w:p>
        </w:tc>
        <w:tc>
          <w:tcPr>
            <w:tcW w:w="513" w:type="dxa"/>
          </w:tcPr>
          <w:p w14:paraId="0F8F1F7D" w14:textId="77777777" w:rsidR="00BE2473" w:rsidRDefault="00000000">
            <w:pPr>
              <w:pStyle w:val="Compact"/>
              <w:rPr>
                <w:rFonts w:ascii="Cambria" w:eastAsia="Cambria" w:hAnsi="Cambria"/>
              </w:rPr>
            </w:pPr>
            <w:r>
              <w:rPr>
                <w:rFonts w:eastAsia="Cambria"/>
                <w:sz w:val="15"/>
                <w:szCs w:val="15"/>
              </w:rPr>
              <w:t>90</w:t>
            </w:r>
          </w:p>
        </w:tc>
        <w:tc>
          <w:tcPr>
            <w:tcW w:w="598" w:type="dxa"/>
          </w:tcPr>
          <w:p w14:paraId="00B7C393" w14:textId="77777777" w:rsidR="00BE2473" w:rsidRDefault="00000000">
            <w:pPr>
              <w:pStyle w:val="Compact"/>
              <w:rPr>
                <w:rFonts w:ascii="Cambria" w:eastAsia="Cambria" w:hAnsi="Cambria"/>
              </w:rPr>
            </w:pPr>
            <w:r>
              <w:rPr>
                <w:rFonts w:eastAsia="Cambria"/>
                <w:sz w:val="15"/>
                <w:szCs w:val="15"/>
              </w:rPr>
              <w:t>1.02</w:t>
            </w:r>
          </w:p>
        </w:tc>
        <w:tc>
          <w:tcPr>
            <w:tcW w:w="570" w:type="dxa"/>
          </w:tcPr>
          <w:p w14:paraId="24D6849E" w14:textId="77777777" w:rsidR="00BE2473" w:rsidRDefault="00000000">
            <w:pPr>
              <w:pStyle w:val="Compact"/>
              <w:rPr>
                <w:rFonts w:ascii="Cambria" w:eastAsia="Cambria" w:hAnsi="Cambria"/>
              </w:rPr>
            </w:pPr>
            <w:r>
              <w:rPr>
                <w:rFonts w:eastAsia="Cambria"/>
                <w:sz w:val="15"/>
                <w:szCs w:val="15"/>
              </w:rPr>
              <w:t>NR</w:t>
            </w:r>
          </w:p>
        </w:tc>
        <w:tc>
          <w:tcPr>
            <w:tcW w:w="509" w:type="dxa"/>
          </w:tcPr>
          <w:p w14:paraId="54AA6D4D" w14:textId="77777777" w:rsidR="00BE2473" w:rsidRDefault="00000000">
            <w:pPr>
              <w:pStyle w:val="Compact"/>
              <w:rPr>
                <w:rFonts w:ascii="Cambria" w:eastAsia="Cambria" w:hAnsi="Cambria"/>
              </w:rPr>
            </w:pPr>
            <w:r>
              <w:rPr>
                <w:rFonts w:eastAsia="Cambria"/>
                <w:sz w:val="15"/>
                <w:szCs w:val="15"/>
              </w:rPr>
              <w:t>✓</w:t>
            </w:r>
          </w:p>
        </w:tc>
      </w:tr>
      <w:tr w:rsidR="00BE2473" w14:paraId="7282D95F" w14:textId="77777777" w:rsidTr="00BE2473">
        <w:tc>
          <w:tcPr>
            <w:tcW w:w="1657" w:type="dxa"/>
          </w:tcPr>
          <w:p w14:paraId="32BEA54B" w14:textId="77777777" w:rsidR="00BE2473" w:rsidRDefault="00000000">
            <w:pPr>
              <w:pStyle w:val="Compact"/>
              <w:rPr>
                <w:rFonts w:ascii="Cambria" w:eastAsia="Cambria" w:hAnsi="Cambria"/>
              </w:rPr>
            </w:pPr>
            <w:r>
              <w:rPr>
                <w:rFonts w:eastAsia="Cambria"/>
                <w:sz w:val="15"/>
                <w:szCs w:val="15"/>
              </w:rPr>
              <w:t xml:space="preserve">Depression </w:t>
            </w:r>
            <w:proofErr w:type="gramStart"/>
            <w:r>
              <w:rPr>
                <w:rFonts w:eastAsia="Cambria"/>
                <w:sz w:val="15"/>
                <w:szCs w:val="15"/>
              </w:rPr>
              <w:t>detect</w:t>
            </w:r>
            <w:proofErr w:type="gramEnd"/>
            <w:r>
              <w:rPr>
                <w:rFonts w:eastAsia="Cambria"/>
                <w:sz w:val="15"/>
                <w:szCs w:val="15"/>
              </w:rPr>
              <w:t>.</w:t>
            </w:r>
          </w:p>
        </w:tc>
        <w:tc>
          <w:tcPr>
            <w:tcW w:w="678" w:type="dxa"/>
          </w:tcPr>
          <w:p w14:paraId="56D7F43A" w14:textId="77777777" w:rsidR="00BE2473" w:rsidRDefault="00000000">
            <w:pPr>
              <w:pStyle w:val="Compact"/>
              <w:rPr>
                <w:rFonts w:ascii="Cambria" w:eastAsia="Cambria" w:hAnsi="Cambria"/>
              </w:rPr>
            </w:pPr>
            <w:r>
              <w:rPr>
                <w:rFonts w:eastAsia="Cambria"/>
                <w:sz w:val="15"/>
                <w:szCs w:val="15"/>
              </w:rPr>
              <w:t>[46]</w:t>
            </w:r>
          </w:p>
        </w:tc>
        <w:tc>
          <w:tcPr>
            <w:tcW w:w="1298" w:type="dxa"/>
          </w:tcPr>
          <w:p w14:paraId="35C147F0" w14:textId="77777777" w:rsidR="00BE2473" w:rsidRDefault="00000000">
            <w:pPr>
              <w:pStyle w:val="Compact"/>
              <w:rPr>
                <w:rFonts w:ascii="Cambria" w:eastAsia="Cambria" w:hAnsi="Cambria"/>
              </w:rPr>
            </w:pPr>
            <w:r>
              <w:rPr>
                <w:rFonts w:eastAsia="Cambria"/>
                <w:sz w:val="15"/>
                <w:szCs w:val="15"/>
              </w:rPr>
              <w:t>Gemma 2 9B</w:t>
            </w:r>
          </w:p>
        </w:tc>
        <w:tc>
          <w:tcPr>
            <w:tcW w:w="1203" w:type="dxa"/>
          </w:tcPr>
          <w:p w14:paraId="52F1871F" w14:textId="77777777" w:rsidR="00BE2473" w:rsidRDefault="00000000">
            <w:pPr>
              <w:pStyle w:val="Compact"/>
              <w:rPr>
                <w:rFonts w:ascii="Cambria" w:eastAsia="Cambria" w:hAnsi="Cambria"/>
              </w:rPr>
            </w:pPr>
            <w:r>
              <w:rPr>
                <w:rFonts w:eastAsia="Cambria"/>
                <w:sz w:val="15"/>
                <w:szCs w:val="15"/>
              </w:rPr>
              <w:t>GPT-4</w:t>
            </w:r>
          </w:p>
        </w:tc>
        <w:tc>
          <w:tcPr>
            <w:tcW w:w="503" w:type="dxa"/>
          </w:tcPr>
          <w:p w14:paraId="16D98E4D" w14:textId="77777777" w:rsidR="00BE2473" w:rsidRDefault="00000000">
            <w:pPr>
              <w:pStyle w:val="Compact"/>
              <w:rPr>
                <w:rFonts w:ascii="Cambria" w:eastAsia="Cambria" w:hAnsi="Cambria"/>
              </w:rPr>
            </w:pPr>
            <w:r>
              <w:rPr>
                <w:rFonts w:eastAsia="Cambria"/>
                <w:sz w:val="15"/>
                <w:szCs w:val="15"/>
              </w:rPr>
              <w:t>P</w:t>
            </w:r>
          </w:p>
        </w:tc>
        <w:tc>
          <w:tcPr>
            <w:tcW w:w="663" w:type="dxa"/>
          </w:tcPr>
          <w:p w14:paraId="3334D1E0" w14:textId="77777777" w:rsidR="00BE2473" w:rsidRDefault="00000000">
            <w:pPr>
              <w:pStyle w:val="Compact"/>
              <w:rPr>
                <w:rFonts w:ascii="Cambria" w:eastAsia="Cambria" w:hAnsi="Cambria"/>
              </w:rPr>
            </w:pPr>
            <w:r>
              <w:rPr>
                <w:rFonts w:eastAsia="Cambria"/>
                <w:sz w:val="15"/>
                <w:szCs w:val="15"/>
              </w:rPr>
              <w:t>(2,1,1)</w:t>
            </w:r>
          </w:p>
        </w:tc>
        <w:tc>
          <w:tcPr>
            <w:tcW w:w="654" w:type="dxa"/>
          </w:tcPr>
          <w:p w14:paraId="0C64572B" w14:textId="77777777" w:rsidR="00BE2473" w:rsidRDefault="00000000">
            <w:pPr>
              <w:pStyle w:val="Compact"/>
              <w:rPr>
                <w:rFonts w:ascii="Cambria" w:eastAsia="Cambria" w:hAnsi="Cambria"/>
              </w:rPr>
            </w:pPr>
            <w:r>
              <w:rPr>
                <w:rFonts w:eastAsia="Cambria"/>
                <w:sz w:val="15"/>
                <w:szCs w:val="15"/>
              </w:rPr>
              <w:t>Acc</w:t>
            </w:r>
          </w:p>
        </w:tc>
        <w:tc>
          <w:tcPr>
            <w:tcW w:w="513" w:type="dxa"/>
          </w:tcPr>
          <w:p w14:paraId="0070C978" w14:textId="77777777" w:rsidR="00BE2473" w:rsidRDefault="00000000">
            <w:pPr>
              <w:pStyle w:val="Compact"/>
              <w:rPr>
                <w:rFonts w:ascii="Cambria" w:eastAsia="Cambria" w:hAnsi="Cambria"/>
              </w:rPr>
            </w:pPr>
            <w:r>
              <w:rPr>
                <w:rFonts w:eastAsia="Cambria"/>
                <w:sz w:val="15"/>
                <w:szCs w:val="15"/>
              </w:rPr>
              <w:t>80.4</w:t>
            </w:r>
          </w:p>
        </w:tc>
        <w:tc>
          <w:tcPr>
            <w:tcW w:w="513" w:type="dxa"/>
          </w:tcPr>
          <w:p w14:paraId="01EDA098" w14:textId="77777777" w:rsidR="00BE2473" w:rsidRDefault="00000000">
            <w:pPr>
              <w:pStyle w:val="Compact"/>
              <w:rPr>
                <w:rFonts w:ascii="Cambria" w:eastAsia="Cambria" w:hAnsi="Cambria"/>
              </w:rPr>
            </w:pPr>
            <w:r>
              <w:rPr>
                <w:rFonts w:eastAsia="Cambria"/>
                <w:sz w:val="15"/>
                <w:szCs w:val="15"/>
              </w:rPr>
              <w:t>85.0</w:t>
            </w:r>
          </w:p>
        </w:tc>
        <w:tc>
          <w:tcPr>
            <w:tcW w:w="598" w:type="dxa"/>
          </w:tcPr>
          <w:p w14:paraId="143689D7" w14:textId="77777777" w:rsidR="00BE2473" w:rsidRDefault="00000000">
            <w:pPr>
              <w:pStyle w:val="Compact"/>
              <w:rPr>
                <w:rFonts w:ascii="Cambria" w:eastAsia="Cambria" w:hAnsi="Cambria"/>
              </w:rPr>
            </w:pPr>
            <w:r>
              <w:rPr>
                <w:rFonts w:eastAsia="Cambria"/>
                <w:sz w:val="15"/>
                <w:szCs w:val="15"/>
              </w:rPr>
              <w:t>0.95</w:t>
            </w:r>
          </w:p>
        </w:tc>
        <w:tc>
          <w:tcPr>
            <w:tcW w:w="570" w:type="dxa"/>
          </w:tcPr>
          <w:p w14:paraId="0B52B8F0" w14:textId="77777777" w:rsidR="00BE2473" w:rsidRDefault="00000000">
            <w:pPr>
              <w:pStyle w:val="Compact"/>
              <w:rPr>
                <w:rFonts w:ascii="Cambria" w:eastAsia="Cambria" w:hAnsi="Cambria"/>
              </w:rPr>
            </w:pPr>
            <w:r>
              <w:rPr>
                <w:rFonts w:eastAsia="Cambria"/>
                <w:sz w:val="15"/>
                <w:szCs w:val="15"/>
              </w:rPr>
              <w:t>NR</w:t>
            </w:r>
          </w:p>
        </w:tc>
        <w:tc>
          <w:tcPr>
            <w:tcW w:w="509" w:type="dxa"/>
          </w:tcPr>
          <w:p w14:paraId="7F8D8060" w14:textId="77777777" w:rsidR="00BE2473" w:rsidRDefault="00000000">
            <w:pPr>
              <w:pStyle w:val="Compact"/>
              <w:rPr>
                <w:rFonts w:ascii="Cambria" w:eastAsia="Cambria" w:hAnsi="Cambria"/>
              </w:rPr>
            </w:pPr>
            <w:r>
              <w:rPr>
                <w:rFonts w:eastAsia="Cambria"/>
                <w:sz w:val="15"/>
                <w:szCs w:val="15"/>
              </w:rPr>
              <w:t>✓</w:t>
            </w:r>
          </w:p>
        </w:tc>
      </w:tr>
      <w:tr w:rsidR="00BE2473" w14:paraId="02407AE5" w14:textId="77777777" w:rsidTr="00BE2473">
        <w:tc>
          <w:tcPr>
            <w:tcW w:w="1657" w:type="dxa"/>
          </w:tcPr>
          <w:p w14:paraId="20DA08BA" w14:textId="77777777" w:rsidR="00BE2473" w:rsidRDefault="00000000">
            <w:pPr>
              <w:pStyle w:val="Compact"/>
              <w:rPr>
                <w:rFonts w:ascii="Cambria" w:eastAsia="Cambria" w:hAnsi="Cambria"/>
              </w:rPr>
            </w:pPr>
            <w:r>
              <w:rPr>
                <w:rFonts w:eastAsia="Cambria"/>
                <w:sz w:val="15"/>
                <w:szCs w:val="15"/>
              </w:rPr>
              <w:t xml:space="preserve">Suicide </w:t>
            </w:r>
            <w:proofErr w:type="gramStart"/>
            <w:r>
              <w:rPr>
                <w:rFonts w:eastAsia="Cambria"/>
                <w:sz w:val="15"/>
                <w:szCs w:val="15"/>
              </w:rPr>
              <w:t>detect</w:t>
            </w:r>
            <w:proofErr w:type="gramEnd"/>
            <w:r>
              <w:rPr>
                <w:rFonts w:eastAsia="Cambria"/>
                <w:sz w:val="15"/>
                <w:szCs w:val="15"/>
              </w:rPr>
              <w:t>.</w:t>
            </w:r>
          </w:p>
        </w:tc>
        <w:tc>
          <w:tcPr>
            <w:tcW w:w="678" w:type="dxa"/>
          </w:tcPr>
          <w:p w14:paraId="678D7ABF" w14:textId="77777777" w:rsidR="00BE2473" w:rsidRDefault="00000000">
            <w:pPr>
              <w:pStyle w:val="Compact"/>
              <w:rPr>
                <w:rFonts w:ascii="Cambria" w:eastAsia="Cambria" w:hAnsi="Cambria"/>
              </w:rPr>
            </w:pPr>
            <w:r>
              <w:rPr>
                <w:rFonts w:eastAsia="Cambria"/>
                <w:sz w:val="15"/>
                <w:szCs w:val="15"/>
              </w:rPr>
              <w:t>[46]</w:t>
            </w:r>
          </w:p>
        </w:tc>
        <w:tc>
          <w:tcPr>
            <w:tcW w:w="1298" w:type="dxa"/>
          </w:tcPr>
          <w:p w14:paraId="39AACD8D" w14:textId="77777777" w:rsidR="00BE2473" w:rsidRDefault="00000000">
            <w:pPr>
              <w:pStyle w:val="Compact"/>
              <w:rPr>
                <w:rFonts w:ascii="Cambria" w:eastAsia="Cambria" w:hAnsi="Cambria"/>
              </w:rPr>
            </w:pPr>
            <w:r>
              <w:rPr>
                <w:rFonts w:eastAsia="Cambria"/>
                <w:sz w:val="15"/>
                <w:szCs w:val="15"/>
              </w:rPr>
              <w:t>Llama3-8B</w:t>
            </w:r>
          </w:p>
        </w:tc>
        <w:tc>
          <w:tcPr>
            <w:tcW w:w="1203" w:type="dxa"/>
          </w:tcPr>
          <w:p w14:paraId="689C5DBB" w14:textId="77777777" w:rsidR="00BE2473" w:rsidRDefault="00000000">
            <w:pPr>
              <w:pStyle w:val="Compact"/>
              <w:rPr>
                <w:rFonts w:ascii="Cambria" w:eastAsia="Cambria" w:hAnsi="Cambria"/>
              </w:rPr>
            </w:pPr>
            <w:r>
              <w:rPr>
                <w:rFonts w:eastAsia="Cambria"/>
                <w:sz w:val="15"/>
                <w:szCs w:val="15"/>
              </w:rPr>
              <w:t>GPT-4</w:t>
            </w:r>
          </w:p>
        </w:tc>
        <w:tc>
          <w:tcPr>
            <w:tcW w:w="503" w:type="dxa"/>
          </w:tcPr>
          <w:p w14:paraId="51C4C206" w14:textId="77777777" w:rsidR="00BE2473" w:rsidRDefault="00000000">
            <w:pPr>
              <w:pStyle w:val="Compact"/>
              <w:rPr>
                <w:rFonts w:ascii="Cambria" w:eastAsia="Cambria" w:hAnsi="Cambria"/>
              </w:rPr>
            </w:pPr>
            <w:r>
              <w:rPr>
                <w:rFonts w:eastAsia="Cambria"/>
                <w:sz w:val="15"/>
                <w:szCs w:val="15"/>
              </w:rPr>
              <w:t>P</w:t>
            </w:r>
          </w:p>
        </w:tc>
        <w:tc>
          <w:tcPr>
            <w:tcW w:w="663" w:type="dxa"/>
          </w:tcPr>
          <w:p w14:paraId="04543A06" w14:textId="77777777" w:rsidR="00BE2473" w:rsidRDefault="00000000">
            <w:pPr>
              <w:pStyle w:val="Compact"/>
              <w:rPr>
                <w:rFonts w:ascii="Cambria" w:eastAsia="Cambria" w:hAnsi="Cambria"/>
              </w:rPr>
            </w:pPr>
            <w:r>
              <w:rPr>
                <w:rFonts w:eastAsia="Cambria"/>
                <w:sz w:val="15"/>
                <w:szCs w:val="15"/>
              </w:rPr>
              <w:t>(2,1,1)</w:t>
            </w:r>
          </w:p>
        </w:tc>
        <w:tc>
          <w:tcPr>
            <w:tcW w:w="654" w:type="dxa"/>
          </w:tcPr>
          <w:p w14:paraId="2E42A37D" w14:textId="77777777" w:rsidR="00BE2473" w:rsidRDefault="00000000">
            <w:pPr>
              <w:pStyle w:val="Compact"/>
              <w:rPr>
                <w:rFonts w:ascii="Cambria" w:eastAsia="Cambria" w:hAnsi="Cambria"/>
              </w:rPr>
            </w:pPr>
            <w:r>
              <w:rPr>
                <w:rFonts w:eastAsia="Cambria"/>
                <w:sz w:val="15"/>
                <w:szCs w:val="15"/>
              </w:rPr>
              <w:t>Acc</w:t>
            </w:r>
          </w:p>
        </w:tc>
        <w:tc>
          <w:tcPr>
            <w:tcW w:w="513" w:type="dxa"/>
          </w:tcPr>
          <w:p w14:paraId="4D86CBCD" w14:textId="77777777" w:rsidR="00BE2473" w:rsidRDefault="00000000">
            <w:pPr>
              <w:pStyle w:val="Compact"/>
              <w:rPr>
                <w:rFonts w:ascii="Cambria" w:eastAsia="Cambria" w:hAnsi="Cambria"/>
              </w:rPr>
            </w:pPr>
            <w:r>
              <w:rPr>
                <w:rFonts w:eastAsia="Cambria"/>
                <w:sz w:val="15"/>
                <w:szCs w:val="15"/>
              </w:rPr>
              <w:t>58</w:t>
            </w:r>
          </w:p>
        </w:tc>
        <w:tc>
          <w:tcPr>
            <w:tcW w:w="513" w:type="dxa"/>
          </w:tcPr>
          <w:p w14:paraId="474545B3" w14:textId="77777777" w:rsidR="00BE2473" w:rsidRDefault="00000000">
            <w:pPr>
              <w:pStyle w:val="Compact"/>
              <w:rPr>
                <w:rFonts w:ascii="Cambria" w:eastAsia="Cambria" w:hAnsi="Cambria"/>
              </w:rPr>
            </w:pPr>
            <w:r>
              <w:rPr>
                <w:rFonts w:eastAsia="Cambria"/>
                <w:sz w:val="15"/>
                <w:szCs w:val="15"/>
              </w:rPr>
              <w:t>70</w:t>
            </w:r>
          </w:p>
        </w:tc>
        <w:tc>
          <w:tcPr>
            <w:tcW w:w="598" w:type="dxa"/>
          </w:tcPr>
          <w:p w14:paraId="478FAFC8" w14:textId="77777777" w:rsidR="00BE2473" w:rsidRDefault="00000000">
            <w:pPr>
              <w:pStyle w:val="Compact"/>
              <w:rPr>
                <w:rFonts w:ascii="Cambria" w:eastAsia="Cambria" w:hAnsi="Cambria"/>
              </w:rPr>
            </w:pPr>
            <w:r>
              <w:rPr>
                <w:rFonts w:eastAsia="Cambria"/>
                <w:sz w:val="15"/>
                <w:szCs w:val="15"/>
              </w:rPr>
              <w:t>0.83</w:t>
            </w:r>
          </w:p>
        </w:tc>
        <w:tc>
          <w:tcPr>
            <w:tcW w:w="570" w:type="dxa"/>
          </w:tcPr>
          <w:p w14:paraId="6E5757A2" w14:textId="77777777" w:rsidR="00BE2473" w:rsidRDefault="00000000">
            <w:pPr>
              <w:pStyle w:val="Compact"/>
              <w:rPr>
                <w:rFonts w:ascii="Cambria" w:eastAsia="Cambria" w:hAnsi="Cambria"/>
              </w:rPr>
            </w:pPr>
            <w:r>
              <w:rPr>
                <w:rFonts w:eastAsia="Cambria"/>
                <w:sz w:val="15"/>
                <w:szCs w:val="15"/>
              </w:rPr>
              <w:t>NR</w:t>
            </w:r>
          </w:p>
        </w:tc>
        <w:tc>
          <w:tcPr>
            <w:tcW w:w="509" w:type="dxa"/>
          </w:tcPr>
          <w:p w14:paraId="27C9C2BC" w14:textId="77777777" w:rsidR="00BE2473" w:rsidRDefault="00000000">
            <w:pPr>
              <w:pStyle w:val="Compact"/>
              <w:rPr>
                <w:rFonts w:ascii="Cambria" w:eastAsia="Cambria" w:hAnsi="Cambria"/>
              </w:rPr>
            </w:pPr>
            <w:r>
              <w:rPr>
                <w:rFonts w:eastAsia="Cambria"/>
                <w:sz w:val="15"/>
                <w:szCs w:val="15"/>
              </w:rPr>
              <w:t>×</w:t>
            </w:r>
          </w:p>
        </w:tc>
      </w:tr>
      <w:tr w:rsidR="00BE2473" w14:paraId="5AEF0B02" w14:textId="77777777" w:rsidTr="00BE2473">
        <w:tc>
          <w:tcPr>
            <w:tcW w:w="9359" w:type="dxa"/>
            <w:gridSpan w:val="12"/>
          </w:tcPr>
          <w:p w14:paraId="7EB75970" w14:textId="77777777" w:rsidR="00BE2473" w:rsidRDefault="00000000">
            <w:pPr>
              <w:pStyle w:val="Compact"/>
              <w:rPr>
                <w:rFonts w:ascii="Cambria" w:eastAsia="Cambria" w:hAnsi="Cambria"/>
              </w:rPr>
            </w:pPr>
            <w:r>
              <w:rPr>
                <w:rFonts w:eastAsia="Cambria"/>
                <w:i/>
                <w:iCs/>
                <w:sz w:val="15"/>
                <w:szCs w:val="15"/>
              </w:rPr>
              <w:t>Moderate complexity (</w:t>
            </w:r>
            <w:proofErr w:type="spellStart"/>
            <w:r>
              <w:rPr>
                <w:rFonts w:eastAsia="Cambria"/>
                <w:i/>
                <w:iCs/>
                <w:sz w:val="15"/>
                <w:szCs w:val="15"/>
              </w:rPr>
              <w:t>r+k+o</w:t>
            </w:r>
            <w:proofErr w:type="spellEnd"/>
            <w:r>
              <w:rPr>
                <w:rFonts w:eastAsia="Cambria"/>
                <w:i/>
                <w:iCs/>
                <w:sz w:val="15"/>
                <w:szCs w:val="15"/>
              </w:rPr>
              <w:t xml:space="preserve"> = 5)</w:t>
            </w:r>
          </w:p>
        </w:tc>
      </w:tr>
      <w:tr w:rsidR="00BE2473" w14:paraId="539520B2" w14:textId="77777777" w:rsidTr="00BE2473">
        <w:tc>
          <w:tcPr>
            <w:tcW w:w="1657" w:type="dxa"/>
          </w:tcPr>
          <w:p w14:paraId="1F863D18" w14:textId="77777777" w:rsidR="00BE2473" w:rsidRDefault="00000000">
            <w:pPr>
              <w:pStyle w:val="Compact"/>
              <w:rPr>
                <w:rFonts w:ascii="Cambria" w:eastAsia="Cambria" w:hAnsi="Cambria"/>
              </w:rPr>
            </w:pPr>
            <w:r>
              <w:rPr>
                <w:rFonts w:eastAsia="Cambria"/>
                <w:sz w:val="15"/>
                <w:szCs w:val="15"/>
              </w:rPr>
              <w:t xml:space="preserve">Impression </w:t>
            </w:r>
            <w:proofErr w:type="spellStart"/>
            <w:proofErr w:type="gramStart"/>
            <w:r>
              <w:rPr>
                <w:rFonts w:eastAsia="Cambria"/>
                <w:sz w:val="15"/>
                <w:szCs w:val="15"/>
              </w:rPr>
              <w:t>gen.</w:t>
            </w:r>
            <w:r>
              <w:rPr>
                <w:rFonts w:eastAsia="Cambria"/>
                <w:sz w:val="15"/>
                <w:szCs w:val="15"/>
                <w:vertAlign w:val="superscript"/>
              </w:rPr>
              <w:t>e</w:t>
            </w:r>
            <w:proofErr w:type="spellEnd"/>
            <w:proofErr w:type="gramEnd"/>
          </w:p>
        </w:tc>
        <w:tc>
          <w:tcPr>
            <w:tcW w:w="678" w:type="dxa"/>
          </w:tcPr>
          <w:p w14:paraId="7BE294BC" w14:textId="77777777" w:rsidR="00BE2473" w:rsidRDefault="00000000">
            <w:pPr>
              <w:pStyle w:val="Compact"/>
              <w:rPr>
                <w:rFonts w:ascii="Cambria" w:eastAsia="Cambria" w:hAnsi="Cambria"/>
              </w:rPr>
            </w:pPr>
            <w:r>
              <w:rPr>
                <w:rFonts w:eastAsia="Cambria"/>
                <w:sz w:val="15"/>
                <w:szCs w:val="15"/>
              </w:rPr>
              <w:t>[45]</w:t>
            </w:r>
          </w:p>
        </w:tc>
        <w:tc>
          <w:tcPr>
            <w:tcW w:w="1298" w:type="dxa"/>
          </w:tcPr>
          <w:p w14:paraId="3E70FA64" w14:textId="77777777" w:rsidR="00BE2473" w:rsidRDefault="00000000">
            <w:pPr>
              <w:pStyle w:val="Compact"/>
              <w:rPr>
                <w:rFonts w:ascii="Cambria" w:eastAsia="Cambria" w:hAnsi="Cambria"/>
              </w:rPr>
            </w:pPr>
            <w:r>
              <w:rPr>
                <w:rFonts w:eastAsia="Cambria"/>
                <w:sz w:val="15"/>
                <w:szCs w:val="15"/>
              </w:rPr>
              <w:t>OPT-350M</w:t>
            </w:r>
          </w:p>
        </w:tc>
        <w:tc>
          <w:tcPr>
            <w:tcW w:w="1203" w:type="dxa"/>
          </w:tcPr>
          <w:p w14:paraId="0F429F2E" w14:textId="77777777" w:rsidR="00BE2473" w:rsidRDefault="00000000">
            <w:pPr>
              <w:pStyle w:val="Compact"/>
              <w:rPr>
                <w:rFonts w:ascii="Cambria" w:eastAsia="Cambria" w:hAnsi="Cambria"/>
              </w:rPr>
            </w:pPr>
            <w:r>
              <w:rPr>
                <w:rFonts w:eastAsia="Cambria"/>
                <w:sz w:val="15"/>
                <w:szCs w:val="15"/>
              </w:rPr>
              <w:t>GPT-4o</w:t>
            </w:r>
          </w:p>
        </w:tc>
        <w:tc>
          <w:tcPr>
            <w:tcW w:w="503" w:type="dxa"/>
          </w:tcPr>
          <w:p w14:paraId="09E15AD1" w14:textId="77777777" w:rsidR="00BE2473" w:rsidRDefault="00000000">
            <w:pPr>
              <w:pStyle w:val="Compact"/>
              <w:rPr>
                <w:rFonts w:ascii="Cambria" w:eastAsia="Cambria" w:hAnsi="Cambria"/>
              </w:rPr>
            </w:pPr>
            <w:r>
              <w:rPr>
                <w:rFonts w:eastAsia="Cambria"/>
                <w:sz w:val="15"/>
                <w:szCs w:val="15"/>
              </w:rPr>
              <w:t>P</w:t>
            </w:r>
          </w:p>
        </w:tc>
        <w:tc>
          <w:tcPr>
            <w:tcW w:w="663" w:type="dxa"/>
          </w:tcPr>
          <w:p w14:paraId="2565B2C2" w14:textId="77777777" w:rsidR="00BE2473" w:rsidRDefault="00000000">
            <w:pPr>
              <w:pStyle w:val="Compact"/>
              <w:rPr>
                <w:rFonts w:ascii="Cambria" w:eastAsia="Cambria" w:hAnsi="Cambria"/>
              </w:rPr>
            </w:pPr>
            <w:r>
              <w:rPr>
                <w:rFonts w:eastAsia="Cambria"/>
                <w:sz w:val="15"/>
                <w:szCs w:val="15"/>
              </w:rPr>
              <w:t>(2,1,2)</w:t>
            </w:r>
          </w:p>
        </w:tc>
        <w:tc>
          <w:tcPr>
            <w:tcW w:w="654" w:type="dxa"/>
          </w:tcPr>
          <w:p w14:paraId="4987841C" w14:textId="77777777" w:rsidR="00BE2473" w:rsidRDefault="00000000">
            <w:pPr>
              <w:pStyle w:val="Compact"/>
              <w:rPr>
                <w:rFonts w:ascii="Cambria" w:eastAsia="Cambria" w:hAnsi="Cambria"/>
              </w:rPr>
            </w:pPr>
            <w:r>
              <w:rPr>
                <w:rFonts w:eastAsia="Cambria"/>
                <w:sz w:val="15"/>
                <w:szCs w:val="15"/>
              </w:rPr>
              <w:t>Likert</w:t>
            </w:r>
          </w:p>
        </w:tc>
        <w:tc>
          <w:tcPr>
            <w:tcW w:w="513" w:type="dxa"/>
          </w:tcPr>
          <w:p w14:paraId="6EE3F285" w14:textId="77777777" w:rsidR="00BE2473" w:rsidRDefault="00000000">
            <w:pPr>
              <w:pStyle w:val="Compact"/>
              <w:rPr>
                <w:rFonts w:ascii="Cambria" w:eastAsia="Cambria" w:hAnsi="Cambria"/>
              </w:rPr>
            </w:pPr>
            <w:r>
              <w:rPr>
                <w:rFonts w:eastAsia="Cambria"/>
                <w:sz w:val="15"/>
                <w:szCs w:val="15"/>
              </w:rPr>
              <w:t>4.39</w:t>
            </w:r>
          </w:p>
        </w:tc>
        <w:tc>
          <w:tcPr>
            <w:tcW w:w="513" w:type="dxa"/>
          </w:tcPr>
          <w:p w14:paraId="39DBDC0B" w14:textId="77777777" w:rsidR="00BE2473" w:rsidRDefault="00000000">
            <w:pPr>
              <w:pStyle w:val="Compact"/>
              <w:rPr>
                <w:rFonts w:ascii="Cambria" w:eastAsia="Cambria" w:hAnsi="Cambria"/>
              </w:rPr>
            </w:pPr>
            <w:r>
              <w:rPr>
                <w:rFonts w:eastAsia="Cambria"/>
                <w:sz w:val="15"/>
                <w:szCs w:val="15"/>
              </w:rPr>
              <w:t>3.65</w:t>
            </w:r>
          </w:p>
        </w:tc>
        <w:tc>
          <w:tcPr>
            <w:tcW w:w="598" w:type="dxa"/>
          </w:tcPr>
          <w:p w14:paraId="429551E9" w14:textId="77777777" w:rsidR="00BE2473" w:rsidRDefault="00000000">
            <w:pPr>
              <w:pStyle w:val="Compact"/>
              <w:rPr>
                <w:rFonts w:ascii="Cambria" w:eastAsia="Cambria" w:hAnsi="Cambria"/>
              </w:rPr>
            </w:pPr>
            <w:r>
              <w:rPr>
                <w:rFonts w:eastAsia="Cambria"/>
                <w:sz w:val="15"/>
                <w:szCs w:val="15"/>
              </w:rPr>
              <w:t>1.20</w:t>
            </w:r>
          </w:p>
        </w:tc>
        <w:tc>
          <w:tcPr>
            <w:tcW w:w="570" w:type="dxa"/>
          </w:tcPr>
          <w:p w14:paraId="75742F28" w14:textId="77777777" w:rsidR="00BE2473" w:rsidRDefault="00000000">
            <w:pPr>
              <w:pStyle w:val="Compact"/>
              <w:rPr>
                <w:rFonts w:ascii="Cambria" w:eastAsia="Cambria" w:hAnsi="Cambria"/>
              </w:rPr>
            </w:pPr>
            <w:r>
              <w:rPr>
                <w:rFonts w:eastAsia="Cambria"/>
                <w:sz w:val="15"/>
                <w:szCs w:val="15"/>
              </w:rPr>
              <w:t>NR</w:t>
            </w:r>
          </w:p>
        </w:tc>
        <w:tc>
          <w:tcPr>
            <w:tcW w:w="509" w:type="dxa"/>
          </w:tcPr>
          <w:p w14:paraId="054217BB" w14:textId="77777777" w:rsidR="00BE2473" w:rsidRDefault="00000000">
            <w:pPr>
              <w:pStyle w:val="Compact"/>
              <w:rPr>
                <w:rFonts w:ascii="Cambria" w:eastAsia="Cambria" w:hAnsi="Cambria"/>
              </w:rPr>
            </w:pPr>
            <w:r>
              <w:rPr>
                <w:rFonts w:eastAsia="Cambria"/>
                <w:sz w:val="15"/>
                <w:szCs w:val="15"/>
              </w:rPr>
              <w:t>✓</w:t>
            </w:r>
          </w:p>
        </w:tc>
      </w:tr>
      <w:tr w:rsidR="00BE2473" w14:paraId="24B28520" w14:textId="77777777" w:rsidTr="00BE2473">
        <w:tc>
          <w:tcPr>
            <w:tcW w:w="1657" w:type="dxa"/>
          </w:tcPr>
          <w:p w14:paraId="1B143C9C" w14:textId="77777777" w:rsidR="00BE2473" w:rsidRDefault="00000000">
            <w:pPr>
              <w:pStyle w:val="Compact"/>
              <w:rPr>
                <w:rFonts w:ascii="Cambria" w:eastAsia="Cambria" w:hAnsi="Cambria"/>
              </w:rPr>
            </w:pPr>
            <w:r>
              <w:rPr>
                <w:rFonts w:eastAsia="Cambria"/>
                <w:sz w:val="15"/>
                <w:szCs w:val="15"/>
              </w:rPr>
              <w:t>Diagnosis (</w:t>
            </w:r>
            <w:proofErr w:type="spellStart"/>
            <w:r>
              <w:rPr>
                <w:rFonts w:eastAsia="Cambria"/>
                <w:sz w:val="15"/>
                <w:szCs w:val="15"/>
              </w:rPr>
              <w:t>DDXPlus</w:t>
            </w:r>
            <w:proofErr w:type="spellEnd"/>
            <w:r>
              <w:rPr>
                <w:rFonts w:eastAsia="Cambria"/>
                <w:sz w:val="15"/>
                <w:szCs w:val="15"/>
              </w:rPr>
              <w:t>)</w:t>
            </w:r>
          </w:p>
        </w:tc>
        <w:tc>
          <w:tcPr>
            <w:tcW w:w="678" w:type="dxa"/>
          </w:tcPr>
          <w:p w14:paraId="7265EE62" w14:textId="77777777" w:rsidR="00BE2473" w:rsidRDefault="00000000">
            <w:pPr>
              <w:pStyle w:val="Compact"/>
              <w:rPr>
                <w:rFonts w:ascii="Cambria" w:eastAsia="Cambria" w:hAnsi="Cambria"/>
              </w:rPr>
            </w:pPr>
            <w:r>
              <w:rPr>
                <w:rFonts w:eastAsia="Cambria"/>
                <w:sz w:val="15"/>
                <w:szCs w:val="15"/>
              </w:rPr>
              <w:t>[40]</w:t>
            </w:r>
          </w:p>
        </w:tc>
        <w:tc>
          <w:tcPr>
            <w:tcW w:w="1298" w:type="dxa"/>
          </w:tcPr>
          <w:p w14:paraId="4B770AE7"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30EA2FF0" w14:textId="77777777" w:rsidR="00BE2473" w:rsidRDefault="00000000">
            <w:pPr>
              <w:pStyle w:val="Compact"/>
              <w:rPr>
                <w:rFonts w:ascii="Cambria" w:eastAsia="Cambria" w:hAnsi="Cambria"/>
              </w:rPr>
            </w:pPr>
            <w:r>
              <w:rPr>
                <w:rFonts w:eastAsia="Cambria"/>
                <w:sz w:val="15"/>
                <w:szCs w:val="15"/>
              </w:rPr>
              <w:t>GPT-4</w:t>
            </w:r>
          </w:p>
        </w:tc>
        <w:tc>
          <w:tcPr>
            <w:tcW w:w="503" w:type="dxa"/>
          </w:tcPr>
          <w:p w14:paraId="233DD2DF" w14:textId="77777777" w:rsidR="00BE2473" w:rsidRDefault="00000000">
            <w:pPr>
              <w:pStyle w:val="Compact"/>
              <w:rPr>
                <w:rFonts w:ascii="Cambria" w:eastAsia="Cambria" w:hAnsi="Cambria"/>
              </w:rPr>
            </w:pPr>
            <w:r>
              <w:rPr>
                <w:rFonts w:eastAsia="Cambria"/>
                <w:sz w:val="15"/>
                <w:szCs w:val="15"/>
              </w:rPr>
              <w:t>3S</w:t>
            </w:r>
          </w:p>
        </w:tc>
        <w:tc>
          <w:tcPr>
            <w:tcW w:w="663" w:type="dxa"/>
          </w:tcPr>
          <w:p w14:paraId="15CF6FD5" w14:textId="77777777" w:rsidR="00BE2473" w:rsidRDefault="00000000">
            <w:pPr>
              <w:pStyle w:val="Compact"/>
              <w:rPr>
                <w:rFonts w:ascii="Cambria" w:eastAsia="Cambria" w:hAnsi="Cambria"/>
              </w:rPr>
            </w:pPr>
            <w:r>
              <w:rPr>
                <w:rFonts w:eastAsia="Cambria"/>
                <w:sz w:val="15"/>
                <w:szCs w:val="15"/>
              </w:rPr>
              <w:t>(2,2,1)</w:t>
            </w:r>
          </w:p>
        </w:tc>
        <w:tc>
          <w:tcPr>
            <w:tcW w:w="654" w:type="dxa"/>
          </w:tcPr>
          <w:p w14:paraId="52020868" w14:textId="77777777" w:rsidR="00BE2473" w:rsidRDefault="00000000">
            <w:pPr>
              <w:pStyle w:val="Compact"/>
              <w:rPr>
                <w:rFonts w:ascii="Cambria" w:eastAsia="Cambria" w:hAnsi="Cambria"/>
              </w:rPr>
            </w:pPr>
            <w:r>
              <w:rPr>
                <w:rFonts w:eastAsia="Cambria"/>
                <w:sz w:val="15"/>
                <w:szCs w:val="15"/>
              </w:rPr>
              <w:t>Acc</w:t>
            </w:r>
          </w:p>
        </w:tc>
        <w:tc>
          <w:tcPr>
            <w:tcW w:w="513" w:type="dxa"/>
          </w:tcPr>
          <w:p w14:paraId="3309694E" w14:textId="77777777" w:rsidR="00BE2473" w:rsidRDefault="00000000">
            <w:pPr>
              <w:pStyle w:val="Compact"/>
              <w:rPr>
                <w:rFonts w:ascii="Cambria" w:eastAsia="Cambria" w:hAnsi="Cambria"/>
              </w:rPr>
            </w:pPr>
            <w:r>
              <w:rPr>
                <w:rFonts w:eastAsia="Cambria"/>
                <w:sz w:val="15"/>
                <w:szCs w:val="15"/>
              </w:rPr>
              <w:t>97.5</w:t>
            </w:r>
          </w:p>
        </w:tc>
        <w:tc>
          <w:tcPr>
            <w:tcW w:w="513" w:type="dxa"/>
          </w:tcPr>
          <w:p w14:paraId="0B19A1EB" w14:textId="77777777" w:rsidR="00BE2473" w:rsidRDefault="00000000">
            <w:pPr>
              <w:pStyle w:val="Compact"/>
              <w:rPr>
                <w:rFonts w:ascii="Cambria" w:eastAsia="Cambria" w:hAnsi="Cambria"/>
              </w:rPr>
            </w:pPr>
            <w:r>
              <w:rPr>
                <w:rFonts w:eastAsia="Cambria"/>
                <w:sz w:val="15"/>
                <w:szCs w:val="15"/>
              </w:rPr>
              <w:t>58.1</w:t>
            </w:r>
          </w:p>
        </w:tc>
        <w:tc>
          <w:tcPr>
            <w:tcW w:w="598" w:type="dxa"/>
          </w:tcPr>
          <w:p w14:paraId="716559E8" w14:textId="77777777" w:rsidR="00BE2473" w:rsidRDefault="00000000">
            <w:pPr>
              <w:pStyle w:val="Compact"/>
              <w:rPr>
                <w:rFonts w:ascii="Cambria" w:eastAsia="Cambria" w:hAnsi="Cambria"/>
              </w:rPr>
            </w:pPr>
            <w:r>
              <w:rPr>
                <w:rFonts w:eastAsia="Cambria"/>
                <w:sz w:val="15"/>
                <w:szCs w:val="15"/>
              </w:rPr>
              <w:t>1.68</w:t>
            </w:r>
          </w:p>
        </w:tc>
        <w:tc>
          <w:tcPr>
            <w:tcW w:w="570" w:type="dxa"/>
          </w:tcPr>
          <w:p w14:paraId="5837198F" w14:textId="77777777" w:rsidR="00BE2473" w:rsidRDefault="00000000">
            <w:pPr>
              <w:pStyle w:val="Compact"/>
              <w:rPr>
                <w:rFonts w:ascii="Cambria" w:eastAsia="Cambria" w:hAnsi="Cambria"/>
              </w:rPr>
            </w:pPr>
            <w:r>
              <w:rPr>
                <w:rFonts w:eastAsia="Cambria"/>
                <w:sz w:val="15"/>
                <w:szCs w:val="15"/>
              </w:rPr>
              <w:t>NR</w:t>
            </w:r>
          </w:p>
        </w:tc>
        <w:tc>
          <w:tcPr>
            <w:tcW w:w="509" w:type="dxa"/>
          </w:tcPr>
          <w:p w14:paraId="54DC5B97" w14:textId="77777777" w:rsidR="00BE2473" w:rsidRDefault="00000000">
            <w:pPr>
              <w:pStyle w:val="Compact"/>
              <w:rPr>
                <w:rFonts w:ascii="Cambria" w:eastAsia="Cambria" w:hAnsi="Cambria"/>
              </w:rPr>
            </w:pPr>
            <w:r>
              <w:rPr>
                <w:rFonts w:eastAsia="Cambria"/>
                <w:sz w:val="15"/>
                <w:szCs w:val="15"/>
              </w:rPr>
              <w:t>✓</w:t>
            </w:r>
          </w:p>
        </w:tc>
      </w:tr>
      <w:tr w:rsidR="00BE2473" w14:paraId="5D8CF778" w14:textId="77777777" w:rsidTr="00BE2473">
        <w:tc>
          <w:tcPr>
            <w:tcW w:w="1657" w:type="dxa"/>
          </w:tcPr>
          <w:p w14:paraId="6FA9EB39" w14:textId="77777777" w:rsidR="00BE2473" w:rsidRDefault="00000000">
            <w:pPr>
              <w:pStyle w:val="Compact"/>
              <w:rPr>
                <w:rFonts w:ascii="Cambria" w:eastAsia="Cambria" w:hAnsi="Cambria"/>
              </w:rPr>
            </w:pPr>
            <w:r>
              <w:rPr>
                <w:rFonts w:eastAsia="Cambria"/>
                <w:sz w:val="15"/>
                <w:szCs w:val="15"/>
              </w:rPr>
              <w:t>Treatment plan.</w:t>
            </w:r>
          </w:p>
        </w:tc>
        <w:tc>
          <w:tcPr>
            <w:tcW w:w="678" w:type="dxa"/>
          </w:tcPr>
          <w:p w14:paraId="64B1D84D" w14:textId="77777777" w:rsidR="00BE2473" w:rsidRDefault="00000000">
            <w:pPr>
              <w:pStyle w:val="Compact"/>
              <w:rPr>
                <w:rFonts w:ascii="Cambria" w:eastAsia="Cambria" w:hAnsi="Cambria"/>
              </w:rPr>
            </w:pPr>
            <w:r>
              <w:rPr>
                <w:rFonts w:eastAsia="Cambria"/>
                <w:sz w:val="15"/>
                <w:szCs w:val="15"/>
              </w:rPr>
              <w:t>[40]</w:t>
            </w:r>
          </w:p>
        </w:tc>
        <w:tc>
          <w:tcPr>
            <w:tcW w:w="1298" w:type="dxa"/>
          </w:tcPr>
          <w:p w14:paraId="15C3DFB6"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166A0583" w14:textId="77777777" w:rsidR="00BE2473" w:rsidRDefault="00000000">
            <w:pPr>
              <w:pStyle w:val="Compact"/>
              <w:rPr>
                <w:rFonts w:ascii="Cambria" w:eastAsia="Cambria" w:hAnsi="Cambria"/>
              </w:rPr>
            </w:pPr>
            <w:r>
              <w:rPr>
                <w:rFonts w:eastAsia="Cambria"/>
                <w:sz w:val="15"/>
                <w:szCs w:val="15"/>
              </w:rPr>
              <w:t>GPT-4</w:t>
            </w:r>
          </w:p>
        </w:tc>
        <w:tc>
          <w:tcPr>
            <w:tcW w:w="503" w:type="dxa"/>
          </w:tcPr>
          <w:p w14:paraId="7C62357F" w14:textId="77777777" w:rsidR="00BE2473" w:rsidRDefault="00000000">
            <w:pPr>
              <w:pStyle w:val="Compact"/>
              <w:rPr>
                <w:rFonts w:ascii="Cambria" w:eastAsia="Cambria" w:hAnsi="Cambria"/>
              </w:rPr>
            </w:pPr>
            <w:r>
              <w:rPr>
                <w:rFonts w:eastAsia="Cambria"/>
                <w:sz w:val="15"/>
                <w:szCs w:val="15"/>
              </w:rPr>
              <w:t>3S</w:t>
            </w:r>
          </w:p>
        </w:tc>
        <w:tc>
          <w:tcPr>
            <w:tcW w:w="663" w:type="dxa"/>
          </w:tcPr>
          <w:p w14:paraId="5EAB5134" w14:textId="77777777" w:rsidR="00BE2473" w:rsidRDefault="00000000">
            <w:pPr>
              <w:pStyle w:val="Compact"/>
              <w:rPr>
                <w:rFonts w:ascii="Cambria" w:eastAsia="Cambria" w:hAnsi="Cambria"/>
              </w:rPr>
            </w:pPr>
            <w:r>
              <w:rPr>
                <w:rFonts w:eastAsia="Cambria"/>
                <w:sz w:val="15"/>
                <w:szCs w:val="15"/>
              </w:rPr>
              <w:t>(2,2,1)</w:t>
            </w:r>
          </w:p>
        </w:tc>
        <w:tc>
          <w:tcPr>
            <w:tcW w:w="654" w:type="dxa"/>
          </w:tcPr>
          <w:p w14:paraId="6D5732B2" w14:textId="77777777" w:rsidR="00BE2473" w:rsidRDefault="00000000">
            <w:pPr>
              <w:pStyle w:val="Compact"/>
              <w:rPr>
                <w:rFonts w:ascii="Cambria" w:eastAsia="Cambria" w:hAnsi="Cambria"/>
              </w:rPr>
            </w:pPr>
            <w:r>
              <w:rPr>
                <w:rFonts w:eastAsia="Cambria"/>
                <w:sz w:val="15"/>
                <w:szCs w:val="15"/>
              </w:rPr>
              <w:t>Acc</w:t>
            </w:r>
          </w:p>
        </w:tc>
        <w:tc>
          <w:tcPr>
            <w:tcW w:w="513" w:type="dxa"/>
          </w:tcPr>
          <w:p w14:paraId="4540CBB4" w14:textId="77777777" w:rsidR="00BE2473" w:rsidRDefault="00000000">
            <w:pPr>
              <w:pStyle w:val="Compact"/>
              <w:rPr>
                <w:rFonts w:ascii="Cambria" w:eastAsia="Cambria" w:hAnsi="Cambria"/>
              </w:rPr>
            </w:pPr>
            <w:r>
              <w:rPr>
                <w:rFonts w:eastAsia="Cambria"/>
                <w:sz w:val="15"/>
                <w:szCs w:val="15"/>
              </w:rPr>
              <w:t>98.5</w:t>
            </w:r>
          </w:p>
        </w:tc>
        <w:tc>
          <w:tcPr>
            <w:tcW w:w="513" w:type="dxa"/>
          </w:tcPr>
          <w:p w14:paraId="61D38797" w14:textId="77777777" w:rsidR="00BE2473" w:rsidRDefault="00000000">
            <w:pPr>
              <w:pStyle w:val="Compact"/>
              <w:rPr>
                <w:rFonts w:ascii="Cambria" w:eastAsia="Cambria" w:hAnsi="Cambria"/>
              </w:rPr>
            </w:pPr>
            <w:r>
              <w:rPr>
                <w:rFonts w:eastAsia="Cambria"/>
                <w:sz w:val="15"/>
                <w:szCs w:val="15"/>
              </w:rPr>
              <w:t>84.7</w:t>
            </w:r>
          </w:p>
        </w:tc>
        <w:tc>
          <w:tcPr>
            <w:tcW w:w="598" w:type="dxa"/>
          </w:tcPr>
          <w:p w14:paraId="0B058579" w14:textId="77777777" w:rsidR="00BE2473" w:rsidRDefault="00000000">
            <w:pPr>
              <w:pStyle w:val="Compact"/>
              <w:rPr>
                <w:rFonts w:ascii="Cambria" w:eastAsia="Cambria" w:hAnsi="Cambria"/>
              </w:rPr>
            </w:pPr>
            <w:r>
              <w:rPr>
                <w:rFonts w:eastAsia="Cambria"/>
                <w:sz w:val="15"/>
                <w:szCs w:val="15"/>
              </w:rPr>
              <w:t>1.16</w:t>
            </w:r>
          </w:p>
        </w:tc>
        <w:tc>
          <w:tcPr>
            <w:tcW w:w="570" w:type="dxa"/>
          </w:tcPr>
          <w:p w14:paraId="6DDE2FB9" w14:textId="77777777" w:rsidR="00BE2473" w:rsidRDefault="00000000">
            <w:pPr>
              <w:pStyle w:val="Compact"/>
              <w:rPr>
                <w:rFonts w:ascii="Cambria" w:eastAsia="Cambria" w:hAnsi="Cambria"/>
              </w:rPr>
            </w:pPr>
            <w:r>
              <w:rPr>
                <w:rFonts w:eastAsia="Cambria"/>
                <w:sz w:val="15"/>
                <w:szCs w:val="15"/>
              </w:rPr>
              <w:t>NR</w:t>
            </w:r>
          </w:p>
        </w:tc>
        <w:tc>
          <w:tcPr>
            <w:tcW w:w="509" w:type="dxa"/>
          </w:tcPr>
          <w:p w14:paraId="7FD9B1F5" w14:textId="77777777" w:rsidR="00BE2473" w:rsidRDefault="00000000">
            <w:pPr>
              <w:pStyle w:val="Compact"/>
              <w:rPr>
                <w:rFonts w:ascii="Cambria" w:eastAsia="Cambria" w:hAnsi="Cambria"/>
              </w:rPr>
            </w:pPr>
            <w:r>
              <w:rPr>
                <w:rFonts w:eastAsia="Cambria"/>
                <w:sz w:val="15"/>
                <w:szCs w:val="15"/>
              </w:rPr>
              <w:t>✓</w:t>
            </w:r>
          </w:p>
        </w:tc>
      </w:tr>
      <w:tr w:rsidR="00BE2473" w14:paraId="4CC3A7C6" w14:textId="77777777" w:rsidTr="00BE2473">
        <w:tc>
          <w:tcPr>
            <w:tcW w:w="1657" w:type="dxa"/>
          </w:tcPr>
          <w:p w14:paraId="03FE8CFD" w14:textId="77777777" w:rsidR="00BE2473" w:rsidRDefault="00000000">
            <w:pPr>
              <w:pStyle w:val="Compact"/>
              <w:rPr>
                <w:rFonts w:ascii="Cambria" w:eastAsia="Cambria" w:hAnsi="Cambria"/>
              </w:rPr>
            </w:pPr>
            <w:r>
              <w:rPr>
                <w:rFonts w:eastAsia="Cambria"/>
                <w:sz w:val="15"/>
                <w:szCs w:val="15"/>
              </w:rPr>
              <w:t>ICD-10 coding</w:t>
            </w:r>
          </w:p>
        </w:tc>
        <w:tc>
          <w:tcPr>
            <w:tcW w:w="678" w:type="dxa"/>
          </w:tcPr>
          <w:p w14:paraId="577389F2" w14:textId="77777777" w:rsidR="00BE2473" w:rsidRDefault="00000000">
            <w:pPr>
              <w:pStyle w:val="Compact"/>
              <w:rPr>
                <w:rFonts w:ascii="Cambria" w:eastAsia="Cambria" w:hAnsi="Cambria"/>
              </w:rPr>
            </w:pPr>
            <w:r>
              <w:rPr>
                <w:rFonts w:eastAsia="Cambria"/>
                <w:sz w:val="15"/>
                <w:szCs w:val="15"/>
              </w:rPr>
              <w:t>[49]</w:t>
            </w:r>
          </w:p>
        </w:tc>
        <w:tc>
          <w:tcPr>
            <w:tcW w:w="1298" w:type="dxa"/>
          </w:tcPr>
          <w:p w14:paraId="067FE00F" w14:textId="77777777" w:rsidR="00BE2473" w:rsidRDefault="00000000">
            <w:pPr>
              <w:pStyle w:val="Compact"/>
              <w:rPr>
                <w:rFonts w:ascii="Cambria" w:eastAsia="Cambria" w:hAnsi="Cambria"/>
              </w:rPr>
            </w:pPr>
            <w:r>
              <w:rPr>
                <w:rFonts w:eastAsia="Cambria"/>
                <w:sz w:val="15"/>
                <w:szCs w:val="15"/>
              </w:rPr>
              <w:t>Llama-1B</w:t>
            </w:r>
            <w:r>
              <w:rPr>
                <w:rFonts w:eastAsia="Cambria"/>
                <w:sz w:val="15"/>
                <w:szCs w:val="15"/>
                <w:vertAlign w:val="superscript"/>
              </w:rPr>
              <w:t>b</w:t>
            </w:r>
          </w:p>
        </w:tc>
        <w:tc>
          <w:tcPr>
            <w:tcW w:w="1203" w:type="dxa"/>
          </w:tcPr>
          <w:p w14:paraId="72C35C70" w14:textId="77777777" w:rsidR="00BE2473" w:rsidRDefault="00000000">
            <w:pPr>
              <w:pStyle w:val="Compact"/>
              <w:rPr>
                <w:rFonts w:ascii="Cambria" w:eastAsia="Cambria" w:hAnsi="Cambria"/>
              </w:rPr>
            </w:pPr>
            <w:r>
              <w:rPr>
                <w:rFonts w:eastAsia="Cambria"/>
                <w:sz w:val="15"/>
                <w:szCs w:val="15"/>
              </w:rPr>
              <w:t xml:space="preserve">GPT-4o </w:t>
            </w:r>
            <w:proofErr w:type="spellStart"/>
            <w:r>
              <w:rPr>
                <w:rFonts w:eastAsia="Cambria"/>
                <w:sz w:val="15"/>
                <w:szCs w:val="15"/>
              </w:rPr>
              <w:t>mini</w:t>
            </w:r>
            <w:r>
              <w:rPr>
                <w:rFonts w:eastAsia="Cambria"/>
                <w:sz w:val="15"/>
                <w:szCs w:val="15"/>
                <w:vertAlign w:val="superscript"/>
              </w:rPr>
              <w:t>b</w:t>
            </w:r>
            <w:proofErr w:type="spellEnd"/>
          </w:p>
        </w:tc>
        <w:tc>
          <w:tcPr>
            <w:tcW w:w="503" w:type="dxa"/>
          </w:tcPr>
          <w:p w14:paraId="4BBE2F58" w14:textId="77777777" w:rsidR="00BE2473" w:rsidRDefault="00000000">
            <w:pPr>
              <w:pStyle w:val="Compact"/>
              <w:rPr>
                <w:rFonts w:ascii="Cambria" w:eastAsia="Cambria" w:hAnsi="Cambria"/>
              </w:rPr>
            </w:pPr>
            <w:r>
              <w:rPr>
                <w:rFonts w:eastAsia="Cambria"/>
                <w:sz w:val="15"/>
                <w:szCs w:val="15"/>
              </w:rPr>
              <w:t>FT</w:t>
            </w:r>
          </w:p>
        </w:tc>
        <w:tc>
          <w:tcPr>
            <w:tcW w:w="663" w:type="dxa"/>
          </w:tcPr>
          <w:p w14:paraId="5A2B2A25" w14:textId="77777777" w:rsidR="00BE2473" w:rsidRDefault="00000000">
            <w:pPr>
              <w:pStyle w:val="Compact"/>
              <w:rPr>
                <w:rFonts w:ascii="Cambria" w:eastAsia="Cambria" w:hAnsi="Cambria"/>
              </w:rPr>
            </w:pPr>
            <w:r>
              <w:rPr>
                <w:rFonts w:eastAsia="Cambria"/>
                <w:sz w:val="15"/>
                <w:szCs w:val="15"/>
              </w:rPr>
              <w:t>(2,2,1)</w:t>
            </w:r>
          </w:p>
        </w:tc>
        <w:tc>
          <w:tcPr>
            <w:tcW w:w="654" w:type="dxa"/>
          </w:tcPr>
          <w:p w14:paraId="44FCABDA" w14:textId="77777777" w:rsidR="00BE2473" w:rsidRDefault="00000000">
            <w:pPr>
              <w:pStyle w:val="Compact"/>
              <w:rPr>
                <w:rFonts w:ascii="Cambria" w:eastAsia="Cambria" w:hAnsi="Cambria"/>
              </w:rPr>
            </w:pPr>
            <w:r>
              <w:rPr>
                <w:rFonts w:eastAsia="Cambria"/>
                <w:sz w:val="15"/>
                <w:szCs w:val="15"/>
              </w:rPr>
              <w:t>EM</w:t>
            </w:r>
          </w:p>
        </w:tc>
        <w:tc>
          <w:tcPr>
            <w:tcW w:w="513" w:type="dxa"/>
          </w:tcPr>
          <w:p w14:paraId="2C599EF1" w14:textId="77777777" w:rsidR="00BE2473" w:rsidRDefault="00000000">
            <w:pPr>
              <w:pStyle w:val="Compact"/>
              <w:rPr>
                <w:rFonts w:ascii="Cambria" w:eastAsia="Cambria" w:hAnsi="Cambria"/>
              </w:rPr>
            </w:pPr>
            <w:r>
              <w:rPr>
                <w:rFonts w:eastAsia="Cambria"/>
                <w:sz w:val="15"/>
                <w:szCs w:val="15"/>
              </w:rPr>
              <w:t>~93</w:t>
            </w:r>
          </w:p>
        </w:tc>
        <w:tc>
          <w:tcPr>
            <w:tcW w:w="513" w:type="dxa"/>
          </w:tcPr>
          <w:p w14:paraId="053347BD" w14:textId="77777777" w:rsidR="00BE2473" w:rsidRDefault="00000000">
            <w:pPr>
              <w:pStyle w:val="Compact"/>
              <w:rPr>
                <w:rFonts w:ascii="Cambria" w:eastAsia="Cambria" w:hAnsi="Cambria"/>
              </w:rPr>
            </w:pPr>
            <w:r>
              <w:rPr>
                <w:rFonts w:eastAsia="Cambria"/>
                <w:sz w:val="15"/>
                <w:szCs w:val="15"/>
              </w:rPr>
              <w:t>~90</w:t>
            </w:r>
          </w:p>
        </w:tc>
        <w:tc>
          <w:tcPr>
            <w:tcW w:w="598" w:type="dxa"/>
          </w:tcPr>
          <w:p w14:paraId="1B53DC61" w14:textId="77777777" w:rsidR="00BE2473" w:rsidRDefault="00000000">
            <w:pPr>
              <w:pStyle w:val="Compact"/>
              <w:rPr>
                <w:rFonts w:ascii="Cambria" w:eastAsia="Cambria" w:hAnsi="Cambria"/>
              </w:rPr>
            </w:pPr>
            <w:r>
              <w:rPr>
                <w:rFonts w:eastAsia="Cambria"/>
                <w:sz w:val="15"/>
                <w:szCs w:val="15"/>
              </w:rPr>
              <w:t>≈1.03</w:t>
            </w:r>
          </w:p>
        </w:tc>
        <w:tc>
          <w:tcPr>
            <w:tcW w:w="570" w:type="dxa"/>
          </w:tcPr>
          <w:p w14:paraId="7B3A29FC" w14:textId="77777777" w:rsidR="00BE2473" w:rsidRDefault="00000000">
            <w:pPr>
              <w:pStyle w:val="Compact"/>
              <w:rPr>
                <w:rFonts w:ascii="Cambria" w:eastAsia="Cambria" w:hAnsi="Cambria"/>
              </w:rPr>
            </w:pPr>
            <w:r>
              <w:rPr>
                <w:rFonts w:eastAsia="Cambria"/>
                <w:sz w:val="15"/>
                <w:szCs w:val="15"/>
              </w:rPr>
              <w:t>NR</w:t>
            </w:r>
          </w:p>
        </w:tc>
        <w:tc>
          <w:tcPr>
            <w:tcW w:w="509" w:type="dxa"/>
          </w:tcPr>
          <w:p w14:paraId="0169A3F5" w14:textId="77777777" w:rsidR="00BE2473" w:rsidRDefault="00000000">
            <w:pPr>
              <w:pStyle w:val="Compact"/>
              <w:rPr>
                <w:rFonts w:ascii="Cambria" w:eastAsia="Cambria" w:hAnsi="Cambria"/>
              </w:rPr>
            </w:pPr>
            <w:r>
              <w:rPr>
                <w:rFonts w:eastAsia="Cambria"/>
                <w:sz w:val="15"/>
                <w:szCs w:val="15"/>
              </w:rPr>
              <w:t>✓</w:t>
            </w:r>
          </w:p>
        </w:tc>
      </w:tr>
      <w:tr w:rsidR="00BE2473" w14:paraId="14877BE0" w14:textId="77777777" w:rsidTr="00BE2473">
        <w:tc>
          <w:tcPr>
            <w:tcW w:w="1657" w:type="dxa"/>
          </w:tcPr>
          <w:p w14:paraId="0908327F" w14:textId="77777777" w:rsidR="00BE2473" w:rsidRDefault="00000000">
            <w:pPr>
              <w:pStyle w:val="Compact"/>
              <w:rPr>
                <w:rFonts w:ascii="Cambria" w:eastAsia="Cambria" w:hAnsi="Cambria"/>
              </w:rPr>
            </w:pPr>
            <w:r>
              <w:rPr>
                <w:rFonts w:eastAsia="Cambria"/>
                <w:sz w:val="15"/>
                <w:szCs w:val="15"/>
              </w:rPr>
              <w:t>Radiology QA</w:t>
            </w:r>
          </w:p>
        </w:tc>
        <w:tc>
          <w:tcPr>
            <w:tcW w:w="678" w:type="dxa"/>
          </w:tcPr>
          <w:p w14:paraId="1A85EFBB" w14:textId="77777777" w:rsidR="00BE2473" w:rsidRDefault="00000000">
            <w:pPr>
              <w:pStyle w:val="Compact"/>
              <w:rPr>
                <w:rFonts w:ascii="Cambria" w:eastAsia="Cambria" w:hAnsi="Cambria"/>
              </w:rPr>
            </w:pPr>
            <w:r>
              <w:rPr>
                <w:rFonts w:eastAsia="Cambria"/>
                <w:sz w:val="15"/>
                <w:szCs w:val="15"/>
              </w:rPr>
              <w:t>[50]</w:t>
            </w:r>
          </w:p>
        </w:tc>
        <w:tc>
          <w:tcPr>
            <w:tcW w:w="1298" w:type="dxa"/>
          </w:tcPr>
          <w:p w14:paraId="1F4A9840" w14:textId="77777777" w:rsidR="00BE2473" w:rsidRDefault="00000000">
            <w:pPr>
              <w:pStyle w:val="Compact"/>
              <w:rPr>
                <w:rFonts w:ascii="Cambria" w:eastAsia="Cambria" w:hAnsi="Cambria"/>
              </w:rPr>
            </w:pPr>
            <w:r>
              <w:rPr>
                <w:rFonts w:eastAsia="Cambria"/>
                <w:sz w:val="15"/>
                <w:szCs w:val="15"/>
              </w:rPr>
              <w:t>RadPhi-3 3.8B</w:t>
            </w:r>
          </w:p>
        </w:tc>
        <w:tc>
          <w:tcPr>
            <w:tcW w:w="1203" w:type="dxa"/>
          </w:tcPr>
          <w:p w14:paraId="0BBF9563" w14:textId="77777777" w:rsidR="00BE2473" w:rsidRDefault="00000000">
            <w:pPr>
              <w:pStyle w:val="Compact"/>
              <w:rPr>
                <w:rFonts w:ascii="Cambria" w:eastAsia="Cambria" w:hAnsi="Cambria"/>
              </w:rPr>
            </w:pPr>
            <w:r>
              <w:rPr>
                <w:rFonts w:eastAsia="Cambria"/>
                <w:sz w:val="15"/>
                <w:szCs w:val="15"/>
              </w:rPr>
              <w:t>GPT-4</w:t>
            </w:r>
          </w:p>
        </w:tc>
        <w:tc>
          <w:tcPr>
            <w:tcW w:w="503" w:type="dxa"/>
          </w:tcPr>
          <w:p w14:paraId="4FD2AB0A" w14:textId="77777777" w:rsidR="00BE2473" w:rsidRDefault="00000000">
            <w:pPr>
              <w:pStyle w:val="Compact"/>
              <w:rPr>
                <w:rFonts w:ascii="Cambria" w:eastAsia="Cambria" w:hAnsi="Cambria"/>
              </w:rPr>
            </w:pPr>
            <w:r>
              <w:rPr>
                <w:rFonts w:eastAsia="Cambria"/>
                <w:sz w:val="15"/>
                <w:szCs w:val="15"/>
              </w:rPr>
              <w:t>P</w:t>
            </w:r>
          </w:p>
        </w:tc>
        <w:tc>
          <w:tcPr>
            <w:tcW w:w="663" w:type="dxa"/>
          </w:tcPr>
          <w:p w14:paraId="5FF881B0" w14:textId="77777777" w:rsidR="00BE2473" w:rsidRDefault="00000000">
            <w:pPr>
              <w:pStyle w:val="Compact"/>
              <w:rPr>
                <w:rFonts w:ascii="Cambria" w:eastAsia="Cambria" w:hAnsi="Cambria"/>
              </w:rPr>
            </w:pPr>
            <w:r>
              <w:rPr>
                <w:rFonts w:eastAsia="Cambria"/>
                <w:sz w:val="15"/>
                <w:szCs w:val="15"/>
              </w:rPr>
              <w:t>(2,2,1)</w:t>
            </w:r>
          </w:p>
        </w:tc>
        <w:tc>
          <w:tcPr>
            <w:tcW w:w="654" w:type="dxa"/>
          </w:tcPr>
          <w:p w14:paraId="5B941BB8" w14:textId="77777777" w:rsidR="00BE2473" w:rsidRDefault="00000000">
            <w:pPr>
              <w:pStyle w:val="Compact"/>
              <w:rPr>
                <w:rFonts w:ascii="Cambria" w:eastAsia="Cambria" w:hAnsi="Cambria"/>
              </w:rPr>
            </w:pPr>
            <w:r>
              <w:rPr>
                <w:rFonts w:eastAsia="Cambria"/>
                <w:sz w:val="15"/>
                <w:szCs w:val="15"/>
              </w:rPr>
              <w:t>F1</w:t>
            </w:r>
          </w:p>
        </w:tc>
        <w:tc>
          <w:tcPr>
            <w:tcW w:w="513" w:type="dxa"/>
          </w:tcPr>
          <w:p w14:paraId="5BF8596E" w14:textId="77777777" w:rsidR="00BE2473" w:rsidRDefault="00000000">
            <w:pPr>
              <w:pStyle w:val="Compact"/>
              <w:rPr>
                <w:rFonts w:ascii="Cambria" w:eastAsia="Cambria" w:hAnsi="Cambria"/>
              </w:rPr>
            </w:pPr>
            <w:r>
              <w:rPr>
                <w:rFonts w:eastAsia="Cambria"/>
                <w:sz w:val="15"/>
                <w:szCs w:val="15"/>
              </w:rPr>
              <w:t>40.3</w:t>
            </w:r>
          </w:p>
        </w:tc>
        <w:tc>
          <w:tcPr>
            <w:tcW w:w="513" w:type="dxa"/>
          </w:tcPr>
          <w:p w14:paraId="618BA6E7" w14:textId="77777777" w:rsidR="00BE2473" w:rsidRDefault="00000000">
            <w:pPr>
              <w:pStyle w:val="Compact"/>
              <w:rPr>
                <w:rFonts w:ascii="Cambria" w:eastAsia="Cambria" w:hAnsi="Cambria"/>
              </w:rPr>
            </w:pPr>
            <w:r>
              <w:rPr>
                <w:rFonts w:eastAsia="Cambria"/>
                <w:sz w:val="15"/>
                <w:szCs w:val="15"/>
              </w:rPr>
              <w:t>34.0</w:t>
            </w:r>
          </w:p>
        </w:tc>
        <w:tc>
          <w:tcPr>
            <w:tcW w:w="598" w:type="dxa"/>
          </w:tcPr>
          <w:p w14:paraId="458ED2DF" w14:textId="77777777" w:rsidR="00BE2473" w:rsidRDefault="00000000">
            <w:pPr>
              <w:pStyle w:val="Compact"/>
              <w:rPr>
                <w:rFonts w:ascii="Cambria" w:eastAsia="Cambria" w:hAnsi="Cambria"/>
              </w:rPr>
            </w:pPr>
            <w:r>
              <w:rPr>
                <w:rFonts w:eastAsia="Cambria"/>
                <w:sz w:val="15"/>
                <w:szCs w:val="15"/>
              </w:rPr>
              <w:t>1.19</w:t>
            </w:r>
          </w:p>
        </w:tc>
        <w:tc>
          <w:tcPr>
            <w:tcW w:w="570" w:type="dxa"/>
          </w:tcPr>
          <w:p w14:paraId="133C7E85" w14:textId="77777777" w:rsidR="00BE2473" w:rsidRDefault="00000000">
            <w:pPr>
              <w:pStyle w:val="Compact"/>
              <w:rPr>
                <w:rFonts w:ascii="Cambria" w:eastAsia="Cambria" w:hAnsi="Cambria"/>
              </w:rPr>
            </w:pPr>
            <w:r>
              <w:rPr>
                <w:rFonts w:eastAsia="Cambria"/>
                <w:sz w:val="15"/>
                <w:szCs w:val="15"/>
              </w:rPr>
              <w:t>NR</w:t>
            </w:r>
          </w:p>
        </w:tc>
        <w:tc>
          <w:tcPr>
            <w:tcW w:w="509" w:type="dxa"/>
          </w:tcPr>
          <w:p w14:paraId="12CE6F10" w14:textId="77777777" w:rsidR="00BE2473" w:rsidRDefault="00000000">
            <w:pPr>
              <w:pStyle w:val="Compact"/>
              <w:rPr>
                <w:rFonts w:ascii="Cambria" w:eastAsia="Cambria" w:hAnsi="Cambria"/>
              </w:rPr>
            </w:pPr>
            <w:r>
              <w:rPr>
                <w:rFonts w:eastAsia="Cambria"/>
                <w:sz w:val="15"/>
                <w:szCs w:val="15"/>
              </w:rPr>
              <w:t>✓</w:t>
            </w:r>
          </w:p>
        </w:tc>
      </w:tr>
      <w:tr w:rsidR="00BE2473" w14:paraId="1838408C" w14:textId="77777777" w:rsidTr="00BE2473">
        <w:tc>
          <w:tcPr>
            <w:tcW w:w="1657" w:type="dxa"/>
          </w:tcPr>
          <w:p w14:paraId="2CA809A8" w14:textId="77777777" w:rsidR="00BE2473" w:rsidRDefault="00000000">
            <w:pPr>
              <w:pStyle w:val="Compact"/>
              <w:rPr>
                <w:rFonts w:ascii="Cambria" w:eastAsia="Cambria" w:hAnsi="Cambria"/>
              </w:rPr>
            </w:pPr>
            <w:r>
              <w:rPr>
                <w:rFonts w:eastAsia="Cambria"/>
                <w:sz w:val="15"/>
                <w:szCs w:val="15"/>
              </w:rPr>
              <w:t>DDI prediction</w:t>
            </w:r>
          </w:p>
        </w:tc>
        <w:tc>
          <w:tcPr>
            <w:tcW w:w="678" w:type="dxa"/>
          </w:tcPr>
          <w:p w14:paraId="45873E3C" w14:textId="77777777" w:rsidR="00BE2473" w:rsidRDefault="00000000">
            <w:pPr>
              <w:pStyle w:val="Compact"/>
              <w:rPr>
                <w:rFonts w:ascii="Cambria" w:eastAsia="Cambria" w:hAnsi="Cambria"/>
              </w:rPr>
            </w:pPr>
            <w:r>
              <w:rPr>
                <w:rFonts w:eastAsia="Cambria"/>
                <w:sz w:val="15"/>
                <w:szCs w:val="15"/>
              </w:rPr>
              <w:t>[51]</w:t>
            </w:r>
          </w:p>
        </w:tc>
        <w:tc>
          <w:tcPr>
            <w:tcW w:w="1298" w:type="dxa"/>
          </w:tcPr>
          <w:p w14:paraId="706B5338" w14:textId="77777777" w:rsidR="00BE2473" w:rsidRDefault="00000000">
            <w:pPr>
              <w:pStyle w:val="Compact"/>
              <w:rPr>
                <w:rFonts w:ascii="Cambria" w:eastAsia="Cambria" w:hAnsi="Cambria"/>
              </w:rPr>
            </w:pPr>
            <w:r>
              <w:rPr>
                <w:rFonts w:eastAsia="Cambria"/>
                <w:sz w:val="15"/>
                <w:szCs w:val="15"/>
              </w:rPr>
              <w:t>Phi-3.5 2.7B</w:t>
            </w:r>
            <w:r>
              <w:rPr>
                <w:rFonts w:eastAsia="Cambria"/>
                <w:sz w:val="15"/>
                <w:szCs w:val="15"/>
                <w:vertAlign w:val="superscript"/>
              </w:rPr>
              <w:t>d</w:t>
            </w:r>
          </w:p>
        </w:tc>
        <w:tc>
          <w:tcPr>
            <w:tcW w:w="1203" w:type="dxa"/>
          </w:tcPr>
          <w:p w14:paraId="606479DD" w14:textId="77777777" w:rsidR="00BE2473" w:rsidRDefault="00000000">
            <w:pPr>
              <w:pStyle w:val="Compact"/>
              <w:rPr>
                <w:rFonts w:ascii="Cambria" w:eastAsia="Cambria" w:hAnsi="Cambria"/>
              </w:rPr>
            </w:pPr>
            <w:r>
              <w:rPr>
                <w:rFonts w:eastAsia="Cambria"/>
                <w:sz w:val="15"/>
                <w:szCs w:val="15"/>
              </w:rPr>
              <w:t>GPT-4o</w:t>
            </w:r>
          </w:p>
        </w:tc>
        <w:tc>
          <w:tcPr>
            <w:tcW w:w="503" w:type="dxa"/>
          </w:tcPr>
          <w:p w14:paraId="09A3EA21" w14:textId="77777777" w:rsidR="00BE2473" w:rsidRDefault="00000000">
            <w:pPr>
              <w:pStyle w:val="Compact"/>
              <w:rPr>
                <w:rFonts w:ascii="Cambria" w:eastAsia="Cambria" w:hAnsi="Cambria"/>
              </w:rPr>
            </w:pPr>
            <w:r>
              <w:rPr>
                <w:rFonts w:eastAsia="Cambria"/>
                <w:sz w:val="15"/>
                <w:szCs w:val="15"/>
              </w:rPr>
              <w:t>P</w:t>
            </w:r>
          </w:p>
        </w:tc>
        <w:tc>
          <w:tcPr>
            <w:tcW w:w="663" w:type="dxa"/>
          </w:tcPr>
          <w:p w14:paraId="7059BB78" w14:textId="77777777" w:rsidR="00BE2473" w:rsidRDefault="00000000">
            <w:pPr>
              <w:pStyle w:val="Compact"/>
              <w:rPr>
                <w:rFonts w:ascii="Cambria" w:eastAsia="Cambria" w:hAnsi="Cambria"/>
              </w:rPr>
            </w:pPr>
            <w:r>
              <w:rPr>
                <w:rFonts w:eastAsia="Cambria"/>
                <w:sz w:val="15"/>
                <w:szCs w:val="15"/>
              </w:rPr>
              <w:t>(2,2,1)</w:t>
            </w:r>
          </w:p>
        </w:tc>
        <w:tc>
          <w:tcPr>
            <w:tcW w:w="654" w:type="dxa"/>
          </w:tcPr>
          <w:p w14:paraId="3D79CF5F" w14:textId="77777777" w:rsidR="00BE2473" w:rsidRDefault="00000000">
            <w:pPr>
              <w:pStyle w:val="Compact"/>
              <w:rPr>
                <w:rFonts w:ascii="Cambria" w:eastAsia="Cambria" w:hAnsi="Cambria"/>
              </w:rPr>
            </w:pPr>
            <w:r>
              <w:rPr>
                <w:rFonts w:eastAsia="Cambria"/>
                <w:sz w:val="15"/>
                <w:szCs w:val="15"/>
              </w:rPr>
              <w:t>Acc</w:t>
            </w:r>
          </w:p>
        </w:tc>
        <w:tc>
          <w:tcPr>
            <w:tcW w:w="513" w:type="dxa"/>
          </w:tcPr>
          <w:p w14:paraId="05155531" w14:textId="77777777" w:rsidR="00BE2473" w:rsidRDefault="00000000">
            <w:pPr>
              <w:pStyle w:val="Compact"/>
              <w:rPr>
                <w:rFonts w:ascii="Cambria" w:eastAsia="Cambria" w:hAnsi="Cambria"/>
              </w:rPr>
            </w:pPr>
            <w:r>
              <w:rPr>
                <w:rFonts w:eastAsia="Cambria"/>
                <w:sz w:val="15"/>
                <w:szCs w:val="15"/>
              </w:rPr>
              <w:t>.913</w:t>
            </w:r>
          </w:p>
        </w:tc>
        <w:tc>
          <w:tcPr>
            <w:tcW w:w="513" w:type="dxa"/>
          </w:tcPr>
          <w:p w14:paraId="1E71FEF0" w14:textId="77777777" w:rsidR="00BE2473" w:rsidRDefault="00000000">
            <w:pPr>
              <w:pStyle w:val="Compact"/>
              <w:rPr>
                <w:rFonts w:ascii="Cambria" w:eastAsia="Cambria" w:hAnsi="Cambria"/>
              </w:rPr>
            </w:pPr>
            <w:r>
              <w:rPr>
                <w:rFonts w:eastAsia="Cambria"/>
                <w:sz w:val="15"/>
                <w:szCs w:val="15"/>
              </w:rPr>
              <w:t>.926</w:t>
            </w:r>
          </w:p>
        </w:tc>
        <w:tc>
          <w:tcPr>
            <w:tcW w:w="598" w:type="dxa"/>
          </w:tcPr>
          <w:p w14:paraId="164DF144" w14:textId="77777777" w:rsidR="00BE2473" w:rsidRDefault="00000000">
            <w:pPr>
              <w:pStyle w:val="Compact"/>
              <w:rPr>
                <w:rFonts w:ascii="Cambria" w:eastAsia="Cambria" w:hAnsi="Cambria"/>
              </w:rPr>
            </w:pPr>
            <w:r>
              <w:rPr>
                <w:rFonts w:eastAsia="Cambria"/>
                <w:sz w:val="15"/>
                <w:szCs w:val="15"/>
              </w:rPr>
              <w:t>0.99</w:t>
            </w:r>
          </w:p>
        </w:tc>
        <w:tc>
          <w:tcPr>
            <w:tcW w:w="570" w:type="dxa"/>
          </w:tcPr>
          <w:p w14:paraId="472D7A65" w14:textId="77777777" w:rsidR="00BE2473" w:rsidRDefault="00000000">
            <w:pPr>
              <w:pStyle w:val="Compact"/>
              <w:rPr>
                <w:rFonts w:ascii="Cambria" w:eastAsia="Cambria" w:hAnsi="Cambria"/>
              </w:rPr>
            </w:pPr>
            <w:r>
              <w:rPr>
                <w:rFonts w:eastAsia="Cambria"/>
                <w:sz w:val="15"/>
                <w:szCs w:val="15"/>
              </w:rPr>
              <w:t>NR</w:t>
            </w:r>
          </w:p>
        </w:tc>
        <w:tc>
          <w:tcPr>
            <w:tcW w:w="509" w:type="dxa"/>
          </w:tcPr>
          <w:p w14:paraId="36BD537A" w14:textId="77777777" w:rsidR="00BE2473" w:rsidRDefault="00000000">
            <w:pPr>
              <w:pStyle w:val="Compact"/>
              <w:rPr>
                <w:rFonts w:ascii="Cambria" w:eastAsia="Cambria" w:hAnsi="Cambria"/>
              </w:rPr>
            </w:pPr>
            <w:r>
              <w:rPr>
                <w:rFonts w:eastAsia="Cambria"/>
                <w:sz w:val="15"/>
                <w:szCs w:val="15"/>
              </w:rPr>
              <w:t>✓</w:t>
            </w:r>
          </w:p>
        </w:tc>
      </w:tr>
      <w:tr w:rsidR="00BE2473" w14:paraId="0B8A8663" w14:textId="77777777" w:rsidTr="00BE2473">
        <w:tc>
          <w:tcPr>
            <w:tcW w:w="1657" w:type="dxa"/>
          </w:tcPr>
          <w:p w14:paraId="4110EA70" w14:textId="77777777" w:rsidR="00BE2473" w:rsidRDefault="00000000">
            <w:pPr>
              <w:pStyle w:val="Compact"/>
              <w:rPr>
                <w:rFonts w:ascii="Cambria" w:eastAsia="Cambria" w:hAnsi="Cambria"/>
              </w:rPr>
            </w:pPr>
            <w:r>
              <w:rPr>
                <w:rFonts w:eastAsia="Cambria"/>
                <w:sz w:val="15"/>
                <w:szCs w:val="15"/>
              </w:rPr>
              <w:t>Biomed. CLS (3-class)</w:t>
            </w:r>
          </w:p>
        </w:tc>
        <w:tc>
          <w:tcPr>
            <w:tcW w:w="678" w:type="dxa"/>
          </w:tcPr>
          <w:p w14:paraId="40FEB1A4" w14:textId="77777777" w:rsidR="00BE2473" w:rsidRDefault="00000000">
            <w:pPr>
              <w:pStyle w:val="Compact"/>
              <w:rPr>
                <w:rFonts w:ascii="Cambria" w:eastAsia="Cambria" w:hAnsi="Cambria"/>
              </w:rPr>
            </w:pPr>
            <w:r>
              <w:rPr>
                <w:rFonts w:eastAsia="Cambria"/>
                <w:sz w:val="15"/>
                <w:szCs w:val="15"/>
              </w:rPr>
              <w:t>[48]</w:t>
            </w:r>
          </w:p>
        </w:tc>
        <w:tc>
          <w:tcPr>
            <w:tcW w:w="1298" w:type="dxa"/>
          </w:tcPr>
          <w:p w14:paraId="05F1AA16" w14:textId="77777777" w:rsidR="00BE2473" w:rsidRDefault="00000000">
            <w:pPr>
              <w:pStyle w:val="Compact"/>
              <w:rPr>
                <w:rFonts w:ascii="Cambria" w:eastAsia="Cambria" w:hAnsi="Cambria"/>
              </w:rPr>
            </w:pPr>
            <w:r>
              <w:rPr>
                <w:rFonts w:eastAsia="Cambria"/>
                <w:sz w:val="15"/>
                <w:szCs w:val="15"/>
              </w:rPr>
              <w:t>Llama3-8B</w:t>
            </w:r>
          </w:p>
        </w:tc>
        <w:tc>
          <w:tcPr>
            <w:tcW w:w="1203" w:type="dxa"/>
          </w:tcPr>
          <w:p w14:paraId="2316C8BD" w14:textId="77777777" w:rsidR="00BE2473" w:rsidRDefault="00000000">
            <w:pPr>
              <w:pStyle w:val="Compact"/>
              <w:rPr>
                <w:rFonts w:ascii="Cambria" w:eastAsia="Cambria" w:hAnsi="Cambria"/>
              </w:rPr>
            </w:pPr>
            <w:r>
              <w:rPr>
                <w:rFonts w:eastAsia="Cambria"/>
                <w:sz w:val="15"/>
                <w:szCs w:val="15"/>
              </w:rPr>
              <w:t>Gemini 2.5</w:t>
            </w:r>
          </w:p>
        </w:tc>
        <w:tc>
          <w:tcPr>
            <w:tcW w:w="503" w:type="dxa"/>
          </w:tcPr>
          <w:p w14:paraId="3C1FBDB9" w14:textId="77777777" w:rsidR="00BE2473" w:rsidRDefault="00000000">
            <w:pPr>
              <w:pStyle w:val="Compact"/>
              <w:rPr>
                <w:rFonts w:ascii="Cambria" w:eastAsia="Cambria" w:hAnsi="Cambria"/>
              </w:rPr>
            </w:pPr>
            <w:r>
              <w:rPr>
                <w:rFonts w:eastAsia="Cambria"/>
                <w:sz w:val="15"/>
                <w:szCs w:val="15"/>
              </w:rPr>
              <w:t>P</w:t>
            </w:r>
          </w:p>
        </w:tc>
        <w:tc>
          <w:tcPr>
            <w:tcW w:w="663" w:type="dxa"/>
          </w:tcPr>
          <w:p w14:paraId="28BE2B7D" w14:textId="77777777" w:rsidR="00BE2473" w:rsidRDefault="00000000">
            <w:pPr>
              <w:pStyle w:val="Compact"/>
              <w:rPr>
                <w:rFonts w:ascii="Cambria" w:eastAsia="Cambria" w:hAnsi="Cambria"/>
              </w:rPr>
            </w:pPr>
            <w:r>
              <w:rPr>
                <w:rFonts w:eastAsia="Cambria"/>
                <w:sz w:val="15"/>
                <w:szCs w:val="15"/>
              </w:rPr>
              <w:t>(2,2,1)</w:t>
            </w:r>
          </w:p>
        </w:tc>
        <w:tc>
          <w:tcPr>
            <w:tcW w:w="654" w:type="dxa"/>
          </w:tcPr>
          <w:p w14:paraId="2297269D" w14:textId="77777777" w:rsidR="00BE2473" w:rsidRDefault="00000000">
            <w:pPr>
              <w:pStyle w:val="Compact"/>
              <w:rPr>
                <w:rFonts w:ascii="Cambria" w:eastAsia="Cambria" w:hAnsi="Cambria"/>
              </w:rPr>
            </w:pPr>
            <w:r>
              <w:rPr>
                <w:rFonts w:eastAsia="Cambria"/>
                <w:sz w:val="15"/>
                <w:szCs w:val="15"/>
              </w:rPr>
              <w:t>Acc</w:t>
            </w:r>
          </w:p>
        </w:tc>
        <w:tc>
          <w:tcPr>
            <w:tcW w:w="513" w:type="dxa"/>
          </w:tcPr>
          <w:p w14:paraId="1BB12476" w14:textId="77777777" w:rsidR="00BE2473" w:rsidRDefault="00000000">
            <w:pPr>
              <w:pStyle w:val="Compact"/>
              <w:rPr>
                <w:rFonts w:ascii="Cambria" w:eastAsia="Cambria" w:hAnsi="Cambria"/>
              </w:rPr>
            </w:pPr>
            <w:r>
              <w:rPr>
                <w:rFonts w:eastAsia="Cambria"/>
                <w:sz w:val="15"/>
                <w:szCs w:val="15"/>
              </w:rPr>
              <w:t>70</w:t>
            </w:r>
          </w:p>
        </w:tc>
        <w:tc>
          <w:tcPr>
            <w:tcW w:w="513" w:type="dxa"/>
          </w:tcPr>
          <w:p w14:paraId="75D08B05" w14:textId="77777777" w:rsidR="00BE2473" w:rsidRDefault="00000000">
            <w:pPr>
              <w:pStyle w:val="Compact"/>
              <w:rPr>
                <w:rFonts w:ascii="Cambria" w:eastAsia="Cambria" w:hAnsi="Cambria"/>
              </w:rPr>
            </w:pPr>
            <w:r>
              <w:rPr>
                <w:rFonts w:eastAsia="Cambria"/>
                <w:sz w:val="15"/>
                <w:szCs w:val="15"/>
              </w:rPr>
              <w:t>90</w:t>
            </w:r>
          </w:p>
        </w:tc>
        <w:tc>
          <w:tcPr>
            <w:tcW w:w="598" w:type="dxa"/>
          </w:tcPr>
          <w:p w14:paraId="5C723BF2" w14:textId="77777777" w:rsidR="00BE2473" w:rsidRDefault="00000000">
            <w:pPr>
              <w:pStyle w:val="Compact"/>
              <w:rPr>
                <w:rFonts w:ascii="Cambria" w:eastAsia="Cambria" w:hAnsi="Cambria"/>
              </w:rPr>
            </w:pPr>
            <w:r>
              <w:rPr>
                <w:rFonts w:eastAsia="Cambria"/>
                <w:sz w:val="15"/>
                <w:szCs w:val="15"/>
              </w:rPr>
              <w:t>0.78</w:t>
            </w:r>
          </w:p>
        </w:tc>
        <w:tc>
          <w:tcPr>
            <w:tcW w:w="570" w:type="dxa"/>
          </w:tcPr>
          <w:p w14:paraId="257299CB" w14:textId="77777777" w:rsidR="00BE2473" w:rsidRDefault="00000000">
            <w:pPr>
              <w:pStyle w:val="Compact"/>
              <w:rPr>
                <w:rFonts w:ascii="Cambria" w:eastAsia="Cambria" w:hAnsi="Cambria"/>
              </w:rPr>
            </w:pPr>
            <w:r>
              <w:rPr>
                <w:rFonts w:eastAsia="Cambria"/>
                <w:sz w:val="15"/>
                <w:szCs w:val="15"/>
              </w:rPr>
              <w:t>NR</w:t>
            </w:r>
          </w:p>
        </w:tc>
        <w:tc>
          <w:tcPr>
            <w:tcW w:w="509" w:type="dxa"/>
          </w:tcPr>
          <w:p w14:paraId="3882C348" w14:textId="77777777" w:rsidR="00BE2473" w:rsidRDefault="00000000">
            <w:pPr>
              <w:pStyle w:val="Compact"/>
              <w:rPr>
                <w:rFonts w:ascii="Cambria" w:eastAsia="Cambria" w:hAnsi="Cambria"/>
              </w:rPr>
            </w:pPr>
            <w:r>
              <w:rPr>
                <w:rFonts w:eastAsia="Cambria"/>
                <w:sz w:val="15"/>
                <w:szCs w:val="15"/>
              </w:rPr>
              <w:t>×</w:t>
            </w:r>
          </w:p>
        </w:tc>
      </w:tr>
      <w:tr w:rsidR="00BE2473" w14:paraId="5B6D4178" w14:textId="77777777" w:rsidTr="00BE2473">
        <w:tc>
          <w:tcPr>
            <w:tcW w:w="9359" w:type="dxa"/>
            <w:gridSpan w:val="12"/>
          </w:tcPr>
          <w:p w14:paraId="5C5246A6" w14:textId="77777777" w:rsidR="00BE2473" w:rsidRDefault="00000000">
            <w:pPr>
              <w:pStyle w:val="Compact"/>
              <w:rPr>
                <w:rFonts w:ascii="Cambria" w:eastAsia="Cambria" w:hAnsi="Cambria"/>
              </w:rPr>
            </w:pPr>
            <w:r>
              <w:rPr>
                <w:rFonts w:eastAsia="Cambria"/>
                <w:i/>
                <w:iCs/>
                <w:sz w:val="15"/>
                <w:szCs w:val="15"/>
              </w:rPr>
              <w:lastRenderedPageBreak/>
              <w:t>High complexity (</w:t>
            </w:r>
            <w:proofErr w:type="spellStart"/>
            <w:r>
              <w:rPr>
                <w:rFonts w:eastAsia="Cambria"/>
                <w:i/>
                <w:iCs/>
                <w:sz w:val="15"/>
                <w:szCs w:val="15"/>
              </w:rPr>
              <w:t>r+k+o</w:t>
            </w:r>
            <w:proofErr w:type="spellEnd"/>
            <w:r>
              <w:rPr>
                <w:rFonts w:eastAsia="Cambria"/>
                <w:i/>
                <w:iCs/>
                <w:sz w:val="15"/>
                <w:szCs w:val="15"/>
              </w:rPr>
              <w:t xml:space="preserve"> ≥ 6) and composite</w:t>
            </w:r>
          </w:p>
        </w:tc>
      </w:tr>
      <w:tr w:rsidR="00BE2473" w14:paraId="0DE14104" w14:textId="77777777" w:rsidTr="00BE2473">
        <w:tc>
          <w:tcPr>
            <w:tcW w:w="1657" w:type="dxa"/>
          </w:tcPr>
          <w:p w14:paraId="09757968" w14:textId="77777777" w:rsidR="00BE2473" w:rsidRDefault="00000000">
            <w:pPr>
              <w:pStyle w:val="Compact"/>
              <w:rPr>
                <w:rFonts w:ascii="Cambria" w:eastAsia="Cambria" w:hAnsi="Cambria"/>
              </w:rPr>
            </w:pPr>
            <w:r>
              <w:rPr>
                <w:rFonts w:eastAsia="Cambria"/>
                <w:sz w:val="15"/>
                <w:szCs w:val="15"/>
              </w:rPr>
              <w:t>Clinical triage</w:t>
            </w:r>
          </w:p>
        </w:tc>
        <w:tc>
          <w:tcPr>
            <w:tcW w:w="678" w:type="dxa"/>
          </w:tcPr>
          <w:p w14:paraId="7ABF31F7" w14:textId="77777777" w:rsidR="00BE2473" w:rsidRDefault="00000000">
            <w:pPr>
              <w:pStyle w:val="Compact"/>
              <w:rPr>
                <w:rFonts w:ascii="Cambria" w:eastAsia="Cambria" w:hAnsi="Cambria"/>
              </w:rPr>
            </w:pPr>
            <w:r>
              <w:rPr>
                <w:rFonts w:eastAsia="Cambria"/>
                <w:sz w:val="15"/>
                <w:szCs w:val="15"/>
              </w:rPr>
              <w:t>[40]</w:t>
            </w:r>
          </w:p>
        </w:tc>
        <w:tc>
          <w:tcPr>
            <w:tcW w:w="1298" w:type="dxa"/>
          </w:tcPr>
          <w:p w14:paraId="13ECD0DC"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7F15529F" w14:textId="77777777" w:rsidR="00BE2473" w:rsidRDefault="00000000">
            <w:pPr>
              <w:pStyle w:val="Compact"/>
              <w:rPr>
                <w:rFonts w:ascii="Cambria" w:eastAsia="Cambria" w:hAnsi="Cambria"/>
              </w:rPr>
            </w:pPr>
            <w:r>
              <w:rPr>
                <w:rFonts w:eastAsia="Cambria"/>
                <w:sz w:val="15"/>
                <w:szCs w:val="15"/>
              </w:rPr>
              <w:t>GPT-4</w:t>
            </w:r>
          </w:p>
        </w:tc>
        <w:tc>
          <w:tcPr>
            <w:tcW w:w="503" w:type="dxa"/>
          </w:tcPr>
          <w:p w14:paraId="700FA1A2" w14:textId="77777777" w:rsidR="00BE2473" w:rsidRDefault="00000000">
            <w:pPr>
              <w:pStyle w:val="Compact"/>
              <w:rPr>
                <w:rFonts w:ascii="Cambria" w:eastAsia="Cambria" w:hAnsi="Cambria"/>
              </w:rPr>
            </w:pPr>
            <w:r>
              <w:rPr>
                <w:rFonts w:eastAsia="Cambria"/>
                <w:sz w:val="15"/>
                <w:szCs w:val="15"/>
              </w:rPr>
              <w:t>3S</w:t>
            </w:r>
          </w:p>
        </w:tc>
        <w:tc>
          <w:tcPr>
            <w:tcW w:w="663" w:type="dxa"/>
          </w:tcPr>
          <w:p w14:paraId="22B8B811" w14:textId="77777777" w:rsidR="00BE2473" w:rsidRDefault="00000000">
            <w:pPr>
              <w:pStyle w:val="Compact"/>
              <w:rPr>
                <w:rFonts w:ascii="Cambria" w:eastAsia="Cambria" w:hAnsi="Cambria"/>
              </w:rPr>
            </w:pPr>
            <w:r>
              <w:rPr>
                <w:rFonts w:eastAsia="Cambria"/>
                <w:sz w:val="15"/>
                <w:szCs w:val="15"/>
              </w:rPr>
              <w:t>(3,2,1)</w:t>
            </w:r>
          </w:p>
        </w:tc>
        <w:tc>
          <w:tcPr>
            <w:tcW w:w="654" w:type="dxa"/>
          </w:tcPr>
          <w:p w14:paraId="237A3387" w14:textId="77777777" w:rsidR="00BE2473" w:rsidRDefault="00000000">
            <w:pPr>
              <w:pStyle w:val="Compact"/>
              <w:rPr>
                <w:rFonts w:ascii="Cambria" w:eastAsia="Cambria" w:hAnsi="Cambria"/>
              </w:rPr>
            </w:pPr>
            <w:r>
              <w:rPr>
                <w:rFonts w:eastAsia="Cambria"/>
                <w:sz w:val="15"/>
                <w:szCs w:val="15"/>
              </w:rPr>
              <w:t>Acc</w:t>
            </w:r>
          </w:p>
        </w:tc>
        <w:tc>
          <w:tcPr>
            <w:tcW w:w="513" w:type="dxa"/>
          </w:tcPr>
          <w:p w14:paraId="2217833C" w14:textId="77777777" w:rsidR="00BE2473" w:rsidRDefault="00000000">
            <w:pPr>
              <w:pStyle w:val="Compact"/>
              <w:rPr>
                <w:rFonts w:ascii="Cambria" w:eastAsia="Cambria" w:hAnsi="Cambria"/>
              </w:rPr>
            </w:pPr>
            <w:r>
              <w:rPr>
                <w:rFonts w:eastAsia="Cambria"/>
                <w:sz w:val="15"/>
                <w:szCs w:val="15"/>
              </w:rPr>
              <w:t>63.1</w:t>
            </w:r>
          </w:p>
        </w:tc>
        <w:tc>
          <w:tcPr>
            <w:tcW w:w="513" w:type="dxa"/>
          </w:tcPr>
          <w:p w14:paraId="7B124951" w14:textId="77777777" w:rsidR="00BE2473" w:rsidRDefault="00000000">
            <w:pPr>
              <w:pStyle w:val="Compact"/>
              <w:rPr>
                <w:rFonts w:ascii="Cambria" w:eastAsia="Cambria" w:hAnsi="Cambria"/>
              </w:rPr>
            </w:pPr>
            <w:r>
              <w:rPr>
                <w:rFonts w:eastAsia="Cambria"/>
                <w:sz w:val="15"/>
                <w:szCs w:val="15"/>
              </w:rPr>
              <w:t>60.1</w:t>
            </w:r>
          </w:p>
        </w:tc>
        <w:tc>
          <w:tcPr>
            <w:tcW w:w="598" w:type="dxa"/>
          </w:tcPr>
          <w:p w14:paraId="0793B54B" w14:textId="77777777" w:rsidR="00BE2473" w:rsidRDefault="00000000">
            <w:pPr>
              <w:pStyle w:val="Compact"/>
              <w:rPr>
                <w:rFonts w:ascii="Cambria" w:eastAsia="Cambria" w:hAnsi="Cambria"/>
              </w:rPr>
            </w:pPr>
            <w:r>
              <w:rPr>
                <w:rFonts w:eastAsia="Cambria"/>
                <w:sz w:val="15"/>
                <w:szCs w:val="15"/>
              </w:rPr>
              <w:t>1.05</w:t>
            </w:r>
          </w:p>
        </w:tc>
        <w:tc>
          <w:tcPr>
            <w:tcW w:w="570" w:type="dxa"/>
          </w:tcPr>
          <w:p w14:paraId="489EC44E" w14:textId="77777777" w:rsidR="00BE2473" w:rsidRDefault="00000000">
            <w:pPr>
              <w:pStyle w:val="Compact"/>
              <w:rPr>
                <w:rFonts w:ascii="Cambria" w:eastAsia="Cambria" w:hAnsi="Cambria"/>
              </w:rPr>
            </w:pPr>
            <w:r>
              <w:rPr>
                <w:rFonts w:eastAsia="Cambria"/>
                <w:sz w:val="15"/>
                <w:szCs w:val="15"/>
              </w:rPr>
              <w:t>NR</w:t>
            </w:r>
          </w:p>
        </w:tc>
        <w:tc>
          <w:tcPr>
            <w:tcW w:w="509" w:type="dxa"/>
          </w:tcPr>
          <w:p w14:paraId="0DDDB7CF" w14:textId="77777777" w:rsidR="00BE2473" w:rsidRDefault="00000000">
            <w:pPr>
              <w:pStyle w:val="Compact"/>
              <w:rPr>
                <w:rFonts w:ascii="Cambria" w:eastAsia="Cambria" w:hAnsi="Cambria"/>
              </w:rPr>
            </w:pPr>
            <w:r>
              <w:rPr>
                <w:rFonts w:eastAsia="Cambria"/>
                <w:sz w:val="15"/>
                <w:szCs w:val="15"/>
              </w:rPr>
              <w:t>✓</w:t>
            </w:r>
          </w:p>
        </w:tc>
      </w:tr>
      <w:tr w:rsidR="00BE2473" w14:paraId="338C2160" w14:textId="77777777" w:rsidTr="00BE2473">
        <w:tc>
          <w:tcPr>
            <w:tcW w:w="1657" w:type="dxa"/>
          </w:tcPr>
          <w:p w14:paraId="1587EE81" w14:textId="77777777" w:rsidR="00BE2473" w:rsidRDefault="00000000">
            <w:pPr>
              <w:pStyle w:val="Compact"/>
              <w:rPr>
                <w:rFonts w:ascii="Cambria" w:eastAsia="Cambria" w:hAnsi="Cambria"/>
              </w:rPr>
            </w:pPr>
            <w:r>
              <w:rPr>
                <w:rFonts w:eastAsia="Cambria"/>
                <w:sz w:val="15"/>
                <w:szCs w:val="15"/>
              </w:rPr>
              <w:t>Clinical IE (28)</w:t>
            </w:r>
            <w:r>
              <w:rPr>
                <w:rFonts w:eastAsia="Cambria"/>
                <w:sz w:val="15"/>
                <w:szCs w:val="15"/>
                <w:vertAlign w:val="superscript"/>
              </w:rPr>
              <w:t>f</w:t>
            </w:r>
          </w:p>
        </w:tc>
        <w:tc>
          <w:tcPr>
            <w:tcW w:w="678" w:type="dxa"/>
          </w:tcPr>
          <w:p w14:paraId="1AD5793F" w14:textId="77777777" w:rsidR="00BE2473" w:rsidRDefault="00000000">
            <w:pPr>
              <w:pStyle w:val="Compact"/>
              <w:rPr>
                <w:rFonts w:ascii="Cambria" w:eastAsia="Cambria" w:hAnsi="Cambria"/>
              </w:rPr>
            </w:pPr>
            <w:r>
              <w:rPr>
                <w:rFonts w:eastAsia="Cambria"/>
                <w:sz w:val="15"/>
                <w:szCs w:val="15"/>
              </w:rPr>
              <w:t>[36]</w:t>
            </w:r>
          </w:p>
        </w:tc>
        <w:tc>
          <w:tcPr>
            <w:tcW w:w="1298" w:type="dxa"/>
          </w:tcPr>
          <w:p w14:paraId="0A992A13" w14:textId="77777777" w:rsidR="00BE2473" w:rsidRDefault="00000000">
            <w:pPr>
              <w:pStyle w:val="Compact"/>
              <w:rPr>
                <w:rFonts w:ascii="Cambria" w:eastAsia="Cambria" w:hAnsi="Cambria"/>
              </w:rPr>
            </w:pPr>
            <w:r>
              <w:rPr>
                <w:rFonts w:eastAsia="Cambria"/>
                <w:sz w:val="15"/>
                <w:szCs w:val="15"/>
              </w:rPr>
              <w:t>Llama-3.1-8B</w:t>
            </w:r>
          </w:p>
        </w:tc>
        <w:tc>
          <w:tcPr>
            <w:tcW w:w="1203" w:type="dxa"/>
          </w:tcPr>
          <w:p w14:paraId="30EFD99E" w14:textId="77777777" w:rsidR="00BE2473" w:rsidRDefault="00000000">
            <w:pPr>
              <w:pStyle w:val="Compact"/>
              <w:rPr>
                <w:rFonts w:ascii="Cambria" w:eastAsia="Cambria" w:hAnsi="Cambria"/>
              </w:rPr>
            </w:pPr>
            <w:r>
              <w:rPr>
                <w:rFonts w:eastAsia="Cambria"/>
                <w:sz w:val="15"/>
                <w:szCs w:val="15"/>
              </w:rPr>
              <w:t>Llama-3.3-70B</w:t>
            </w:r>
          </w:p>
        </w:tc>
        <w:tc>
          <w:tcPr>
            <w:tcW w:w="503" w:type="dxa"/>
          </w:tcPr>
          <w:p w14:paraId="7C7C5D82" w14:textId="77777777" w:rsidR="00BE2473" w:rsidRDefault="00000000">
            <w:pPr>
              <w:pStyle w:val="Compact"/>
              <w:rPr>
                <w:rFonts w:ascii="Cambria" w:eastAsia="Cambria" w:hAnsi="Cambria"/>
              </w:rPr>
            </w:pPr>
            <w:r>
              <w:rPr>
                <w:rFonts w:eastAsia="Cambria"/>
                <w:sz w:val="15"/>
                <w:szCs w:val="15"/>
              </w:rPr>
              <w:t>ZS</w:t>
            </w:r>
          </w:p>
        </w:tc>
        <w:tc>
          <w:tcPr>
            <w:tcW w:w="663" w:type="dxa"/>
          </w:tcPr>
          <w:p w14:paraId="4A1C3FA2" w14:textId="77777777" w:rsidR="00BE2473" w:rsidRDefault="00000000">
            <w:pPr>
              <w:pStyle w:val="Compact"/>
              <w:rPr>
                <w:rFonts w:ascii="Cambria" w:eastAsia="Cambria" w:hAnsi="Cambria"/>
              </w:rPr>
            </w:pPr>
            <w:r>
              <w:rPr>
                <w:rFonts w:eastAsia="Cambria"/>
                <w:sz w:val="15"/>
                <w:szCs w:val="15"/>
              </w:rPr>
              <w:t>(var.)</w:t>
            </w:r>
          </w:p>
        </w:tc>
        <w:tc>
          <w:tcPr>
            <w:tcW w:w="654" w:type="dxa"/>
          </w:tcPr>
          <w:p w14:paraId="38C209FC" w14:textId="77777777" w:rsidR="00BE2473" w:rsidRDefault="00000000">
            <w:pPr>
              <w:pStyle w:val="Compact"/>
              <w:rPr>
                <w:rFonts w:ascii="Cambria" w:eastAsia="Cambria" w:hAnsi="Cambria"/>
              </w:rPr>
            </w:pPr>
            <w:r>
              <w:rPr>
                <w:rFonts w:eastAsia="Cambria"/>
                <w:sz w:val="15"/>
                <w:szCs w:val="15"/>
              </w:rPr>
              <w:t>Utility</w:t>
            </w:r>
          </w:p>
        </w:tc>
        <w:tc>
          <w:tcPr>
            <w:tcW w:w="513" w:type="dxa"/>
          </w:tcPr>
          <w:p w14:paraId="0705E41D" w14:textId="77777777" w:rsidR="00BE2473" w:rsidRDefault="00000000">
            <w:pPr>
              <w:pStyle w:val="Compact"/>
              <w:rPr>
                <w:rFonts w:ascii="Cambria" w:eastAsia="Cambria" w:hAnsi="Cambria"/>
              </w:rPr>
            </w:pPr>
            <w:r>
              <w:rPr>
                <w:rFonts w:eastAsia="Cambria"/>
                <w:sz w:val="15"/>
                <w:szCs w:val="15"/>
              </w:rPr>
              <w:t>.588</w:t>
            </w:r>
          </w:p>
        </w:tc>
        <w:tc>
          <w:tcPr>
            <w:tcW w:w="513" w:type="dxa"/>
          </w:tcPr>
          <w:p w14:paraId="080CDEAA" w14:textId="77777777" w:rsidR="00BE2473" w:rsidRDefault="00000000">
            <w:pPr>
              <w:pStyle w:val="Compact"/>
              <w:rPr>
                <w:rFonts w:ascii="Cambria" w:eastAsia="Cambria" w:hAnsi="Cambria"/>
              </w:rPr>
            </w:pPr>
            <w:r>
              <w:rPr>
                <w:rFonts w:eastAsia="Cambria"/>
                <w:sz w:val="15"/>
                <w:szCs w:val="15"/>
              </w:rPr>
              <w:t>.760</w:t>
            </w:r>
          </w:p>
        </w:tc>
        <w:tc>
          <w:tcPr>
            <w:tcW w:w="598" w:type="dxa"/>
          </w:tcPr>
          <w:p w14:paraId="70C6E716" w14:textId="77777777" w:rsidR="00BE2473" w:rsidRDefault="00000000">
            <w:pPr>
              <w:pStyle w:val="Compact"/>
              <w:rPr>
                <w:rFonts w:ascii="Cambria" w:eastAsia="Cambria" w:hAnsi="Cambria"/>
              </w:rPr>
            </w:pPr>
            <w:r>
              <w:rPr>
                <w:rFonts w:eastAsia="Cambria"/>
                <w:sz w:val="15"/>
                <w:szCs w:val="15"/>
              </w:rPr>
              <w:t>0.77</w:t>
            </w:r>
          </w:p>
        </w:tc>
        <w:tc>
          <w:tcPr>
            <w:tcW w:w="570" w:type="dxa"/>
          </w:tcPr>
          <w:p w14:paraId="199C3433" w14:textId="77777777" w:rsidR="00BE2473" w:rsidRDefault="00000000">
            <w:pPr>
              <w:pStyle w:val="Compact"/>
              <w:rPr>
                <w:rFonts w:ascii="Cambria" w:eastAsia="Cambria" w:hAnsi="Cambria"/>
              </w:rPr>
            </w:pPr>
            <w:r>
              <w:rPr>
                <w:rFonts w:eastAsia="Cambria"/>
                <w:sz w:val="15"/>
                <w:szCs w:val="15"/>
              </w:rPr>
              <w:t>NR</w:t>
            </w:r>
          </w:p>
        </w:tc>
        <w:tc>
          <w:tcPr>
            <w:tcW w:w="509" w:type="dxa"/>
          </w:tcPr>
          <w:p w14:paraId="188B5016" w14:textId="77777777" w:rsidR="00BE2473" w:rsidRDefault="00000000">
            <w:pPr>
              <w:pStyle w:val="Compact"/>
              <w:rPr>
                <w:rFonts w:ascii="Cambria" w:eastAsia="Cambria" w:hAnsi="Cambria"/>
              </w:rPr>
            </w:pPr>
            <w:r>
              <w:rPr>
                <w:rFonts w:eastAsia="Cambria"/>
                <w:sz w:val="15"/>
                <w:szCs w:val="15"/>
              </w:rPr>
              <w:t>×</w:t>
            </w:r>
          </w:p>
        </w:tc>
      </w:tr>
      <w:tr w:rsidR="00BE2473" w14:paraId="5221A7AC" w14:textId="77777777" w:rsidTr="00BE2473">
        <w:tc>
          <w:tcPr>
            <w:tcW w:w="1657" w:type="dxa"/>
          </w:tcPr>
          <w:p w14:paraId="21E9415C" w14:textId="77777777" w:rsidR="00BE2473" w:rsidRDefault="00000000">
            <w:pPr>
              <w:pStyle w:val="Compact"/>
              <w:rPr>
                <w:rFonts w:ascii="Cambria" w:eastAsia="Cambria" w:hAnsi="Cambria"/>
              </w:rPr>
            </w:pPr>
            <w:r>
              <w:rPr>
                <w:rFonts w:eastAsia="Cambria"/>
                <w:sz w:val="15"/>
                <w:szCs w:val="15"/>
              </w:rPr>
              <w:t>Medical exam QA</w:t>
            </w:r>
          </w:p>
        </w:tc>
        <w:tc>
          <w:tcPr>
            <w:tcW w:w="678" w:type="dxa"/>
          </w:tcPr>
          <w:p w14:paraId="0C7D25F7" w14:textId="77777777" w:rsidR="00BE2473" w:rsidRDefault="00000000">
            <w:pPr>
              <w:pStyle w:val="Compact"/>
              <w:rPr>
                <w:rFonts w:ascii="Cambria" w:eastAsia="Cambria" w:hAnsi="Cambria"/>
              </w:rPr>
            </w:pPr>
            <w:r>
              <w:rPr>
                <w:rFonts w:eastAsia="Cambria"/>
                <w:sz w:val="15"/>
                <w:szCs w:val="15"/>
              </w:rPr>
              <w:t>[52]</w:t>
            </w:r>
          </w:p>
        </w:tc>
        <w:tc>
          <w:tcPr>
            <w:tcW w:w="1298" w:type="dxa"/>
          </w:tcPr>
          <w:p w14:paraId="38262968" w14:textId="77777777" w:rsidR="00BE2473" w:rsidRDefault="00000000">
            <w:pPr>
              <w:pStyle w:val="Compact"/>
              <w:rPr>
                <w:rFonts w:ascii="Cambria" w:eastAsia="Cambria" w:hAnsi="Cambria"/>
              </w:rPr>
            </w:pPr>
            <w:r>
              <w:rPr>
                <w:rFonts w:eastAsia="Cambria"/>
                <w:sz w:val="15"/>
                <w:szCs w:val="15"/>
              </w:rPr>
              <w:t>Meerkat-7B</w:t>
            </w:r>
          </w:p>
        </w:tc>
        <w:tc>
          <w:tcPr>
            <w:tcW w:w="1203" w:type="dxa"/>
          </w:tcPr>
          <w:p w14:paraId="2B0F48DC" w14:textId="77777777" w:rsidR="00BE2473" w:rsidRDefault="00000000">
            <w:pPr>
              <w:pStyle w:val="Compact"/>
              <w:rPr>
                <w:rFonts w:ascii="Cambria" w:eastAsia="Cambria" w:hAnsi="Cambria"/>
              </w:rPr>
            </w:pPr>
            <w:r>
              <w:rPr>
                <w:rFonts w:eastAsia="Cambria"/>
                <w:sz w:val="15"/>
                <w:szCs w:val="15"/>
              </w:rPr>
              <w:t>GPT-4</w:t>
            </w:r>
          </w:p>
        </w:tc>
        <w:tc>
          <w:tcPr>
            <w:tcW w:w="503" w:type="dxa"/>
          </w:tcPr>
          <w:p w14:paraId="046ADDBE" w14:textId="77777777" w:rsidR="00BE2473" w:rsidRDefault="00000000">
            <w:pPr>
              <w:pStyle w:val="Compact"/>
              <w:rPr>
                <w:rFonts w:ascii="Cambria" w:eastAsia="Cambria" w:hAnsi="Cambria"/>
              </w:rPr>
            </w:pPr>
            <w:r>
              <w:rPr>
                <w:rFonts w:eastAsia="Cambria"/>
                <w:sz w:val="15"/>
                <w:szCs w:val="15"/>
              </w:rPr>
              <w:t>P</w:t>
            </w:r>
          </w:p>
        </w:tc>
        <w:tc>
          <w:tcPr>
            <w:tcW w:w="663" w:type="dxa"/>
          </w:tcPr>
          <w:p w14:paraId="12C96FE2" w14:textId="77777777" w:rsidR="00BE2473" w:rsidRDefault="00000000">
            <w:pPr>
              <w:pStyle w:val="Compact"/>
              <w:rPr>
                <w:rFonts w:ascii="Cambria" w:eastAsia="Cambria" w:hAnsi="Cambria"/>
              </w:rPr>
            </w:pPr>
            <w:r>
              <w:rPr>
                <w:rFonts w:eastAsia="Cambria"/>
                <w:sz w:val="15"/>
                <w:szCs w:val="15"/>
              </w:rPr>
              <w:t>(3,3,1)</w:t>
            </w:r>
          </w:p>
        </w:tc>
        <w:tc>
          <w:tcPr>
            <w:tcW w:w="654" w:type="dxa"/>
          </w:tcPr>
          <w:p w14:paraId="54D5EADF" w14:textId="77777777" w:rsidR="00BE2473" w:rsidRDefault="00000000">
            <w:pPr>
              <w:pStyle w:val="Compact"/>
              <w:rPr>
                <w:rFonts w:ascii="Cambria" w:eastAsia="Cambria" w:hAnsi="Cambria"/>
              </w:rPr>
            </w:pPr>
            <w:r>
              <w:rPr>
                <w:rFonts w:eastAsia="Cambria"/>
                <w:sz w:val="15"/>
                <w:szCs w:val="15"/>
              </w:rPr>
              <w:t>Acc</w:t>
            </w:r>
          </w:p>
        </w:tc>
        <w:tc>
          <w:tcPr>
            <w:tcW w:w="513" w:type="dxa"/>
          </w:tcPr>
          <w:p w14:paraId="2DA04893" w14:textId="77777777" w:rsidR="00BE2473" w:rsidRDefault="00000000">
            <w:pPr>
              <w:pStyle w:val="Compact"/>
              <w:rPr>
                <w:rFonts w:ascii="Cambria" w:eastAsia="Cambria" w:hAnsi="Cambria"/>
              </w:rPr>
            </w:pPr>
            <w:r>
              <w:rPr>
                <w:rFonts w:eastAsia="Cambria"/>
                <w:sz w:val="15"/>
                <w:szCs w:val="15"/>
              </w:rPr>
              <w:t>64.5</w:t>
            </w:r>
          </w:p>
        </w:tc>
        <w:tc>
          <w:tcPr>
            <w:tcW w:w="513" w:type="dxa"/>
          </w:tcPr>
          <w:p w14:paraId="790D07E4" w14:textId="77777777" w:rsidR="00BE2473" w:rsidRDefault="00000000">
            <w:pPr>
              <w:pStyle w:val="Compact"/>
              <w:rPr>
                <w:rFonts w:ascii="Cambria" w:eastAsia="Cambria" w:hAnsi="Cambria"/>
              </w:rPr>
            </w:pPr>
            <w:r>
              <w:rPr>
                <w:rFonts w:eastAsia="Cambria"/>
                <w:sz w:val="15"/>
                <w:szCs w:val="15"/>
              </w:rPr>
              <w:t>76.6</w:t>
            </w:r>
          </w:p>
        </w:tc>
        <w:tc>
          <w:tcPr>
            <w:tcW w:w="598" w:type="dxa"/>
          </w:tcPr>
          <w:p w14:paraId="03F4A387" w14:textId="77777777" w:rsidR="00BE2473" w:rsidRDefault="00000000">
            <w:pPr>
              <w:pStyle w:val="Compact"/>
              <w:rPr>
                <w:rFonts w:ascii="Cambria" w:eastAsia="Cambria" w:hAnsi="Cambria"/>
              </w:rPr>
            </w:pPr>
            <w:r>
              <w:rPr>
                <w:rFonts w:eastAsia="Cambria"/>
                <w:sz w:val="15"/>
                <w:szCs w:val="15"/>
              </w:rPr>
              <w:t>0.84</w:t>
            </w:r>
          </w:p>
        </w:tc>
        <w:tc>
          <w:tcPr>
            <w:tcW w:w="570" w:type="dxa"/>
          </w:tcPr>
          <w:p w14:paraId="5B322285" w14:textId="77777777" w:rsidR="00BE2473" w:rsidRDefault="00000000">
            <w:pPr>
              <w:pStyle w:val="Compact"/>
              <w:rPr>
                <w:rFonts w:ascii="Cambria" w:eastAsia="Cambria" w:hAnsi="Cambria"/>
              </w:rPr>
            </w:pPr>
            <w:r>
              <w:rPr>
                <w:rFonts w:eastAsia="Cambria"/>
                <w:sz w:val="15"/>
                <w:szCs w:val="15"/>
              </w:rPr>
              <w:t>NR</w:t>
            </w:r>
          </w:p>
        </w:tc>
        <w:tc>
          <w:tcPr>
            <w:tcW w:w="509" w:type="dxa"/>
          </w:tcPr>
          <w:p w14:paraId="2D63362A" w14:textId="77777777" w:rsidR="00BE2473" w:rsidRDefault="00000000">
            <w:pPr>
              <w:pStyle w:val="Compact"/>
              <w:rPr>
                <w:rFonts w:ascii="Cambria" w:eastAsia="Cambria" w:hAnsi="Cambria"/>
              </w:rPr>
            </w:pPr>
            <w:r>
              <w:rPr>
                <w:rFonts w:eastAsia="Cambria"/>
                <w:sz w:val="15"/>
                <w:szCs w:val="15"/>
              </w:rPr>
              <w:t>×</w:t>
            </w:r>
          </w:p>
        </w:tc>
      </w:tr>
      <w:tr w:rsidR="00BE2473" w14:paraId="27B85A8B" w14:textId="77777777" w:rsidTr="00BE2473">
        <w:tc>
          <w:tcPr>
            <w:tcW w:w="1657" w:type="dxa"/>
          </w:tcPr>
          <w:p w14:paraId="702A5716" w14:textId="77777777" w:rsidR="00BE2473" w:rsidRDefault="00000000">
            <w:pPr>
              <w:pStyle w:val="Compact"/>
              <w:rPr>
                <w:rFonts w:ascii="Cambria" w:eastAsia="Cambria" w:hAnsi="Cambria"/>
              </w:rPr>
            </w:pPr>
            <w:r>
              <w:rPr>
                <w:rFonts w:eastAsia="Cambria"/>
                <w:sz w:val="15"/>
                <w:szCs w:val="15"/>
              </w:rPr>
              <w:t>Medical QA (USMLE)</w:t>
            </w:r>
          </w:p>
        </w:tc>
        <w:tc>
          <w:tcPr>
            <w:tcW w:w="678" w:type="dxa"/>
          </w:tcPr>
          <w:p w14:paraId="235BCC86" w14:textId="77777777" w:rsidR="00BE2473" w:rsidRDefault="00000000">
            <w:pPr>
              <w:pStyle w:val="Compact"/>
              <w:rPr>
                <w:rFonts w:ascii="Cambria" w:eastAsia="Cambria" w:hAnsi="Cambria"/>
              </w:rPr>
            </w:pPr>
            <w:r>
              <w:rPr>
                <w:rFonts w:eastAsia="Cambria"/>
                <w:sz w:val="15"/>
                <w:szCs w:val="15"/>
              </w:rPr>
              <w:t>[40]</w:t>
            </w:r>
          </w:p>
        </w:tc>
        <w:tc>
          <w:tcPr>
            <w:tcW w:w="1298" w:type="dxa"/>
          </w:tcPr>
          <w:p w14:paraId="13C1E8F4" w14:textId="77777777" w:rsidR="00BE2473" w:rsidRDefault="00000000">
            <w:pPr>
              <w:pStyle w:val="Compact"/>
              <w:rPr>
                <w:rFonts w:ascii="Cambria" w:eastAsia="Cambria" w:hAnsi="Cambria"/>
              </w:rPr>
            </w:pPr>
            <w:r>
              <w:rPr>
                <w:rFonts w:eastAsia="Cambria"/>
                <w:sz w:val="15"/>
                <w:szCs w:val="15"/>
              </w:rPr>
              <w:t>Llama3-8B</w:t>
            </w:r>
            <w:r>
              <w:rPr>
                <w:rFonts w:eastAsia="Cambria"/>
                <w:sz w:val="15"/>
                <w:szCs w:val="15"/>
                <w:vertAlign w:val="superscript"/>
              </w:rPr>
              <w:t>a</w:t>
            </w:r>
          </w:p>
        </w:tc>
        <w:tc>
          <w:tcPr>
            <w:tcW w:w="1203" w:type="dxa"/>
          </w:tcPr>
          <w:p w14:paraId="11129BEE" w14:textId="77777777" w:rsidR="00BE2473" w:rsidRDefault="00000000">
            <w:pPr>
              <w:pStyle w:val="Compact"/>
              <w:rPr>
                <w:rFonts w:ascii="Cambria" w:eastAsia="Cambria" w:hAnsi="Cambria"/>
              </w:rPr>
            </w:pPr>
            <w:r>
              <w:rPr>
                <w:rFonts w:eastAsia="Cambria"/>
                <w:sz w:val="15"/>
                <w:szCs w:val="15"/>
              </w:rPr>
              <w:t>GPT-4</w:t>
            </w:r>
          </w:p>
        </w:tc>
        <w:tc>
          <w:tcPr>
            <w:tcW w:w="503" w:type="dxa"/>
          </w:tcPr>
          <w:p w14:paraId="11F4B149" w14:textId="77777777" w:rsidR="00BE2473" w:rsidRDefault="00000000">
            <w:pPr>
              <w:pStyle w:val="Compact"/>
              <w:rPr>
                <w:rFonts w:ascii="Cambria" w:eastAsia="Cambria" w:hAnsi="Cambria"/>
              </w:rPr>
            </w:pPr>
            <w:r>
              <w:rPr>
                <w:rFonts w:eastAsia="Cambria"/>
                <w:sz w:val="15"/>
                <w:szCs w:val="15"/>
              </w:rPr>
              <w:t>ZS</w:t>
            </w:r>
          </w:p>
        </w:tc>
        <w:tc>
          <w:tcPr>
            <w:tcW w:w="663" w:type="dxa"/>
          </w:tcPr>
          <w:p w14:paraId="7341FD5B" w14:textId="77777777" w:rsidR="00BE2473" w:rsidRDefault="00000000">
            <w:pPr>
              <w:pStyle w:val="Compact"/>
              <w:rPr>
                <w:rFonts w:ascii="Cambria" w:eastAsia="Cambria" w:hAnsi="Cambria"/>
              </w:rPr>
            </w:pPr>
            <w:r>
              <w:rPr>
                <w:rFonts w:eastAsia="Cambria"/>
                <w:sz w:val="15"/>
                <w:szCs w:val="15"/>
              </w:rPr>
              <w:t>(3,3,1)</w:t>
            </w:r>
          </w:p>
        </w:tc>
        <w:tc>
          <w:tcPr>
            <w:tcW w:w="654" w:type="dxa"/>
          </w:tcPr>
          <w:p w14:paraId="45A182F8" w14:textId="77777777" w:rsidR="00BE2473" w:rsidRDefault="00000000">
            <w:pPr>
              <w:pStyle w:val="Compact"/>
              <w:rPr>
                <w:rFonts w:ascii="Cambria" w:eastAsia="Cambria" w:hAnsi="Cambria"/>
              </w:rPr>
            </w:pPr>
            <w:r>
              <w:rPr>
                <w:rFonts w:eastAsia="Cambria"/>
                <w:sz w:val="15"/>
                <w:szCs w:val="15"/>
              </w:rPr>
              <w:t>Acc</w:t>
            </w:r>
          </w:p>
        </w:tc>
        <w:tc>
          <w:tcPr>
            <w:tcW w:w="513" w:type="dxa"/>
          </w:tcPr>
          <w:p w14:paraId="602A481F" w14:textId="77777777" w:rsidR="00BE2473" w:rsidRDefault="00000000">
            <w:pPr>
              <w:pStyle w:val="Compact"/>
              <w:rPr>
                <w:rFonts w:ascii="Cambria" w:eastAsia="Cambria" w:hAnsi="Cambria"/>
              </w:rPr>
            </w:pPr>
            <w:r>
              <w:rPr>
                <w:rFonts w:eastAsia="Cambria"/>
                <w:sz w:val="15"/>
                <w:szCs w:val="15"/>
              </w:rPr>
              <w:t>63.6</w:t>
            </w:r>
          </w:p>
        </w:tc>
        <w:tc>
          <w:tcPr>
            <w:tcW w:w="513" w:type="dxa"/>
          </w:tcPr>
          <w:p w14:paraId="511DB9E8" w14:textId="77777777" w:rsidR="00BE2473" w:rsidRDefault="00000000">
            <w:pPr>
              <w:pStyle w:val="Compact"/>
              <w:rPr>
                <w:rFonts w:ascii="Cambria" w:eastAsia="Cambria" w:hAnsi="Cambria"/>
              </w:rPr>
            </w:pPr>
            <w:r>
              <w:rPr>
                <w:rFonts w:eastAsia="Cambria"/>
                <w:sz w:val="15"/>
                <w:szCs w:val="15"/>
              </w:rPr>
              <w:t>85.8</w:t>
            </w:r>
          </w:p>
        </w:tc>
        <w:tc>
          <w:tcPr>
            <w:tcW w:w="598" w:type="dxa"/>
          </w:tcPr>
          <w:p w14:paraId="7C71E1A7" w14:textId="77777777" w:rsidR="00BE2473" w:rsidRDefault="00000000">
            <w:pPr>
              <w:pStyle w:val="Compact"/>
              <w:rPr>
                <w:rFonts w:ascii="Cambria" w:eastAsia="Cambria" w:hAnsi="Cambria"/>
              </w:rPr>
            </w:pPr>
            <w:r>
              <w:rPr>
                <w:rFonts w:eastAsia="Cambria"/>
                <w:sz w:val="15"/>
                <w:szCs w:val="15"/>
              </w:rPr>
              <w:t>0.74</w:t>
            </w:r>
          </w:p>
        </w:tc>
        <w:tc>
          <w:tcPr>
            <w:tcW w:w="570" w:type="dxa"/>
          </w:tcPr>
          <w:p w14:paraId="37EAC4D8" w14:textId="77777777" w:rsidR="00BE2473" w:rsidRDefault="00000000">
            <w:pPr>
              <w:pStyle w:val="Compact"/>
              <w:rPr>
                <w:rFonts w:ascii="Cambria" w:eastAsia="Cambria" w:hAnsi="Cambria"/>
              </w:rPr>
            </w:pPr>
            <w:r>
              <w:rPr>
                <w:rFonts w:eastAsia="Cambria"/>
                <w:sz w:val="15"/>
                <w:szCs w:val="15"/>
              </w:rPr>
              <w:t>NR</w:t>
            </w:r>
          </w:p>
        </w:tc>
        <w:tc>
          <w:tcPr>
            <w:tcW w:w="509" w:type="dxa"/>
          </w:tcPr>
          <w:p w14:paraId="448E7201" w14:textId="77777777" w:rsidR="00BE2473" w:rsidRDefault="00000000">
            <w:pPr>
              <w:pStyle w:val="Compact"/>
              <w:rPr>
                <w:rFonts w:ascii="Cambria" w:eastAsia="Cambria" w:hAnsi="Cambria"/>
              </w:rPr>
            </w:pPr>
            <w:r>
              <w:rPr>
                <w:rFonts w:eastAsia="Cambria"/>
                <w:sz w:val="15"/>
                <w:szCs w:val="15"/>
              </w:rPr>
              <w:t>×</w:t>
            </w:r>
            <w:bookmarkStart w:id="12" w:name="tab%3Aextended"/>
            <w:bookmarkEnd w:id="12"/>
          </w:p>
        </w:tc>
      </w:tr>
    </w:tbl>
    <w:p w14:paraId="66765997" w14:textId="77777777" w:rsidR="00BE2473" w:rsidRDefault="00000000">
      <w:pPr>
        <w:pStyle w:val="BodyText"/>
      </w:pPr>
      <w:r>
        <w:rPr>
          <w:b/>
          <w:bCs/>
        </w:rPr>
        <w:t>Table 4 notes.</w:t>
      </w:r>
      <w:r>
        <w:t xml:space="preserve"> </w:t>
      </w:r>
      <w:proofErr w:type="spellStart"/>
      <w:r>
        <w:rPr>
          <w:vertAlign w:val="superscript"/>
        </w:rPr>
        <w:t>a</w:t>
      </w:r>
      <w:r>
        <w:t>MMedIns</w:t>
      </w:r>
      <w:proofErr w:type="spellEnd"/>
      <w:r>
        <w:t xml:space="preserve">-Llama 3-8B instruction-tuned on the </w:t>
      </w:r>
      <w:proofErr w:type="spellStart"/>
      <w:r>
        <w:t>MedS</w:t>
      </w:r>
      <w:proofErr w:type="spellEnd"/>
      <w:r>
        <w:t>-Ins corpus whose task categories include those of the evaluation benchmark (Section </w:t>
      </w:r>
      <w:hyperlink w:anchor="sec%3Amethods-retro">
        <w:r>
          <w:rPr>
            <w:rStyle w:val="Hyperlink"/>
          </w:rPr>
          <w:t>3.1</w:t>
        </w:r>
      </w:hyperlink>
      <w:r>
        <w:t xml:space="preserve">). AR in these rows may partly reflect task-family exposure. </w:t>
      </w:r>
      <w:proofErr w:type="spellStart"/>
      <w:r>
        <w:rPr>
          <w:vertAlign w:val="superscript"/>
        </w:rPr>
        <w:t>b</w:t>
      </w:r>
      <w:r>
        <w:t>Both</w:t>
      </w:r>
      <w:proofErr w:type="spellEnd"/>
      <w:r>
        <w:t xml:space="preserve"> models fine-tuned, with AR approximate across test subsets. </w:t>
      </w:r>
      <w:r>
        <w:rPr>
          <w:vertAlign w:val="superscript"/>
        </w:rPr>
        <w:t>c</w:t>
      </w:r>
      <w:r>
        <w:t xml:space="preserve">4-bit quantized variant of the same task and system and not counted as a unique task. </w:t>
      </w:r>
      <w:proofErr w:type="spellStart"/>
      <w:r>
        <w:rPr>
          <w:vertAlign w:val="superscript"/>
        </w:rPr>
        <w:t>d</w:t>
      </w:r>
      <w:r>
        <w:t>Fine</w:t>
      </w:r>
      <w:proofErr w:type="spellEnd"/>
      <w:r>
        <w:t xml:space="preserve">-tuned with </w:t>
      </w:r>
      <w:proofErr w:type="spellStart"/>
      <w:r>
        <w:t>LoRA</w:t>
      </w:r>
      <w:proofErr w:type="spellEnd"/>
      <w:r>
        <w:t xml:space="preserve">. Model names/sizes are as printed in each source (e.g., “Phi-3.5 2.7B” is the DDI source’s naming). </w:t>
      </w:r>
      <w:proofErr w:type="spellStart"/>
      <w:r>
        <w:rPr>
          <w:vertAlign w:val="superscript"/>
        </w:rPr>
        <w:t>e</w:t>
      </w:r>
      <w:r>
        <w:t>Likert</w:t>
      </w:r>
      <w:proofErr w:type="spellEnd"/>
      <w:r>
        <w:t xml:space="preserve"> is ordinal so this AR (a ratio of mean ratings) is illustrative only. </w:t>
      </w:r>
      <w:proofErr w:type="spellStart"/>
      <w:r>
        <w:rPr>
          <w:vertAlign w:val="superscript"/>
        </w:rPr>
        <w:t>f</w:t>
      </w:r>
      <w:r>
        <w:t>Composite</w:t>
      </w:r>
      <w:proofErr w:type="spellEnd"/>
      <w:r>
        <w:t xml:space="preserve"> DRAGON “utility” score over 28 heterogeneous Dutch-language clinical NLP tasks, no single axis profile and excluded from axis-based analyses. </w:t>
      </w:r>
      <w:proofErr w:type="spellStart"/>
      <w:r>
        <w:rPr>
          <w:vertAlign w:val="superscript"/>
        </w:rPr>
        <w:t>g</w:t>
      </w:r>
      <w:r>
        <w:t>The</w:t>
      </w:r>
      <w:proofErr w:type="spellEnd"/>
      <w:r>
        <w:t xml:space="preserve"> source’s text reports GPT-4 at “over 97%” (a figure panel shows 98%, which would give AR 0.93 and 0.70 with identical verdicts). </w:t>
      </w:r>
      <w:proofErr w:type="spellStart"/>
      <w:r>
        <w:rPr>
          <w:vertAlign w:val="superscript"/>
        </w:rPr>
        <w:t>h</w:t>
      </w:r>
      <w:r>
        <w:t>Midpoint</w:t>
      </w:r>
      <w:proofErr w:type="spellEnd"/>
      <w:r>
        <w:t xml:space="preserve"> of 5–6 s/report (local) vs. ~12 s/report (GPT-4); as an interval, LE = 0.50–0.58. Adaptation strata used in Section 3.6 and Appendix A: the stress-detection, depression-detection, suicide-detection, pathology IE (including the 4-bit variant), both biomedical classification, ICD-10 coding, and composite clinical IE comparisons are adaptation-symmetric (both systems comparably adapted, or both prompted). All remaining rows are SLM-favored, a task-adapted SLM against a prompted reference.</w:t>
      </w:r>
    </w:p>
    <w:p w14:paraId="6557E08D" w14:textId="77777777" w:rsidR="00BE2473" w:rsidRDefault="00000000">
      <w:pPr>
        <w:pStyle w:val="Heading2"/>
      </w:pPr>
      <w:bookmarkStart w:id="13" w:name="sec%3Aextended"/>
      <w:bookmarkEnd w:id="13"/>
      <w:r>
        <w:rPr>
          <w:rStyle w:val="SectionNumber"/>
        </w:rPr>
        <w:lastRenderedPageBreak/>
        <w:t>3.6</w:t>
      </w:r>
      <w:r>
        <w:tab/>
        <w:t>Descriptive Results and Sensitivity Analyses</w:t>
      </w:r>
    </w:p>
    <w:p w14:paraId="774E743C" w14:textId="77777777" w:rsidR="00BE2473" w:rsidRDefault="00000000">
      <w:pPr>
        <w:pStyle w:val="CaptionedFigure"/>
      </w:pPr>
      <w:r>
        <w:rPr>
          <w:noProof/>
        </w:rPr>
        <w:drawing>
          <wp:inline distT="0" distB="0" distL="0" distR="0" wp14:anchorId="23E3D246" wp14:editId="76069EB8">
            <wp:extent cx="5334000" cy="34645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5334000" cy="3464560"/>
                    </a:xfrm>
                    <a:prstGeom prst="rect">
                      <a:avLst/>
                    </a:prstGeom>
                  </pic:spPr>
                </pic:pic>
              </a:graphicData>
            </a:graphic>
          </wp:inline>
        </w:drawing>
      </w:r>
    </w:p>
    <w:p w14:paraId="17CE1B09" w14:textId="77777777" w:rsidR="00BE2473" w:rsidRDefault="00000000">
      <w:pPr>
        <w:pStyle w:val="ImageCaption"/>
      </w:pPr>
      <w:r>
        <w:t>Figure 2: Accuracy Ratio against axis sum for the 21 axis-scored unique snapshot tasks (the composite row of Table </w:t>
      </w:r>
      <w:hyperlink w:anchor="tab%3Aextended">
        <w:r>
          <w:rPr>
            <w:rStyle w:val="Hyperlink"/>
          </w:rPr>
          <w:t>4</w:t>
        </w:r>
      </w:hyperlink>
      <w:r>
        <w:t xml:space="preserve"> has no single axis profile and is not shown). Short gray bars mark the mean AR at each axis sum, with dashed lines marking the three governance thresholds.</w:t>
      </w:r>
    </w:p>
    <w:p w14:paraId="58EFD7B3" w14:textId="77777777" w:rsidR="00BE2473" w:rsidRDefault="00000000">
      <w:pPr>
        <w:pStyle w:val="BodyText"/>
      </w:pPr>
      <w:r>
        <w:t>Of the 18 unique tasks with axis sum ≤ 5, 16 reached AR ≥ 0.90 and 13 exceeded 1.0. In 11 of the 13, a fine-tuned or instruction-tuned SLM matched or beat a cloud-scale model outright, and in the remaining two a prompted-only SLM did (per-row adaptation strata are listed in the Table 4 notes). The most consistent results came from the most constrained tasks: report labeling, text classification, clinical named-entity recognition (NER; tagging mentions of drugs, diagnoses, and findings in text), and information extraction, all of which involve pulling structured outputs from the provided context. The three unique tasks at axis sum ≥ 6 split one inside (clinical triage, AR = 1.05) and two outside (the exam-QA tasks, AR = 0.84 and 0.74).</w:t>
      </w:r>
    </w:p>
    <w:p w14:paraId="0432C70C" w14:textId="77777777" w:rsidR="00BE2473" w:rsidRDefault="00000000">
      <w:pPr>
        <w:pStyle w:val="TableCaption"/>
      </w:pPr>
      <w:r>
        <w:t>Table 5: Descriptive statistics for AR by axis sum (21 axis-scored unique tasks; published pass-1 scores). “Inside” counts tasks at or above each AR threshold.</w:t>
      </w:r>
    </w:p>
    <w:tbl>
      <w:tblPr>
        <w:tblStyle w:val="Table"/>
        <w:tblW w:w="7321" w:type="dxa"/>
        <w:tblInd w:w="0" w:type="dxa"/>
        <w:tblLayout w:type="fixed"/>
        <w:tblLook w:val="0020" w:firstRow="1" w:lastRow="0" w:firstColumn="0" w:lastColumn="0" w:noHBand="0" w:noVBand="0"/>
      </w:tblPr>
      <w:tblGrid>
        <w:gridCol w:w="1140"/>
        <w:gridCol w:w="350"/>
        <w:gridCol w:w="1132"/>
        <w:gridCol w:w="980"/>
        <w:gridCol w:w="664"/>
        <w:gridCol w:w="664"/>
        <w:gridCol w:w="798"/>
        <w:gridCol w:w="796"/>
        <w:gridCol w:w="797"/>
      </w:tblGrid>
      <w:tr w:rsidR="00BE2473" w14:paraId="7E6B0330"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1139" w:type="dxa"/>
            <w:tcBorders>
              <w:bottom w:val="single" w:sz="6" w:space="0" w:color="000000"/>
            </w:tcBorders>
          </w:tcPr>
          <w:p w14:paraId="2B0AC2BF" w14:textId="77777777" w:rsidR="00BE2473" w:rsidRDefault="00000000">
            <w:pPr>
              <w:pStyle w:val="Compact"/>
              <w:rPr>
                <w:rFonts w:ascii="Cambria" w:eastAsia="Cambria" w:hAnsi="Cambria"/>
              </w:rPr>
            </w:pPr>
            <w:r>
              <w:rPr>
                <w:rFonts w:eastAsia="Cambria"/>
              </w:rPr>
              <w:t>Axis sum</w:t>
            </w:r>
          </w:p>
        </w:tc>
        <w:tc>
          <w:tcPr>
            <w:tcW w:w="350" w:type="dxa"/>
            <w:tcBorders>
              <w:bottom w:val="single" w:sz="6" w:space="0" w:color="000000"/>
            </w:tcBorders>
          </w:tcPr>
          <w:p w14:paraId="56DDD361" w14:textId="77777777" w:rsidR="00BE2473" w:rsidRDefault="00000000">
            <w:pPr>
              <w:pStyle w:val="Compact"/>
              <w:jc w:val="center"/>
              <w:rPr>
                <w:rFonts w:ascii="Cambria" w:eastAsia="Cambria" w:hAnsi="Cambria"/>
              </w:rPr>
            </w:pPr>
            <w:r>
              <w:rPr>
                <w:rFonts w:eastAsia="Cambria"/>
              </w:rPr>
              <w:t>n</w:t>
            </w:r>
          </w:p>
        </w:tc>
        <w:tc>
          <w:tcPr>
            <w:tcW w:w="1132" w:type="dxa"/>
            <w:tcBorders>
              <w:bottom w:val="single" w:sz="6" w:space="0" w:color="000000"/>
            </w:tcBorders>
          </w:tcPr>
          <w:p w14:paraId="170320B5" w14:textId="77777777" w:rsidR="00BE2473" w:rsidRDefault="00000000">
            <w:pPr>
              <w:pStyle w:val="Compact"/>
              <w:jc w:val="center"/>
              <w:rPr>
                <w:rFonts w:ascii="Cambria" w:eastAsia="Cambria" w:hAnsi="Cambria"/>
              </w:rPr>
            </w:pPr>
            <w:r>
              <w:rPr>
                <w:rFonts w:eastAsia="Cambria"/>
              </w:rPr>
              <w:t>Mean AR</w:t>
            </w:r>
          </w:p>
        </w:tc>
        <w:tc>
          <w:tcPr>
            <w:tcW w:w="980" w:type="dxa"/>
            <w:tcBorders>
              <w:bottom w:val="single" w:sz="6" w:space="0" w:color="000000"/>
            </w:tcBorders>
          </w:tcPr>
          <w:p w14:paraId="6E0A8BE1" w14:textId="77777777" w:rsidR="00BE2473" w:rsidRDefault="00000000">
            <w:pPr>
              <w:pStyle w:val="Compact"/>
              <w:jc w:val="center"/>
              <w:rPr>
                <w:rFonts w:ascii="Cambria" w:eastAsia="Cambria" w:hAnsi="Cambria"/>
              </w:rPr>
            </w:pPr>
            <w:r>
              <w:rPr>
                <w:rFonts w:eastAsia="Cambria"/>
              </w:rPr>
              <w:t>Median</w:t>
            </w:r>
          </w:p>
        </w:tc>
        <w:tc>
          <w:tcPr>
            <w:tcW w:w="664" w:type="dxa"/>
            <w:tcBorders>
              <w:bottom w:val="single" w:sz="6" w:space="0" w:color="000000"/>
            </w:tcBorders>
          </w:tcPr>
          <w:p w14:paraId="25A5258F" w14:textId="77777777" w:rsidR="00BE2473" w:rsidRDefault="00000000">
            <w:pPr>
              <w:pStyle w:val="Compact"/>
              <w:jc w:val="center"/>
              <w:rPr>
                <w:rFonts w:ascii="Cambria" w:eastAsia="Cambria" w:hAnsi="Cambria"/>
              </w:rPr>
            </w:pPr>
            <w:r>
              <w:rPr>
                <w:rFonts w:eastAsia="Cambria"/>
              </w:rPr>
              <w:t>Min</w:t>
            </w:r>
          </w:p>
        </w:tc>
        <w:tc>
          <w:tcPr>
            <w:tcW w:w="664" w:type="dxa"/>
            <w:tcBorders>
              <w:bottom w:val="single" w:sz="6" w:space="0" w:color="000000"/>
            </w:tcBorders>
          </w:tcPr>
          <w:p w14:paraId="4B9EAB4D" w14:textId="77777777" w:rsidR="00BE2473" w:rsidRDefault="00000000">
            <w:pPr>
              <w:pStyle w:val="Compact"/>
              <w:jc w:val="center"/>
              <w:rPr>
                <w:rFonts w:ascii="Cambria" w:eastAsia="Cambria" w:hAnsi="Cambria"/>
              </w:rPr>
            </w:pPr>
            <w:r>
              <w:rPr>
                <w:rFonts w:eastAsia="Cambria"/>
              </w:rPr>
              <w:t>Max</w:t>
            </w:r>
          </w:p>
        </w:tc>
        <w:tc>
          <w:tcPr>
            <w:tcW w:w="798" w:type="dxa"/>
            <w:tcBorders>
              <w:bottom w:val="single" w:sz="6" w:space="0" w:color="000000"/>
            </w:tcBorders>
          </w:tcPr>
          <w:p w14:paraId="211E8656" w14:textId="77777777" w:rsidR="00BE2473" w:rsidRDefault="00000000">
            <w:pPr>
              <w:pStyle w:val="Compact"/>
              <w:jc w:val="center"/>
              <w:rPr>
                <w:rFonts w:ascii="Cambria" w:eastAsia="Cambria" w:hAnsi="Cambria"/>
              </w:rPr>
            </w:pPr>
            <w:r>
              <w:rPr>
                <w:rFonts w:eastAsia="Cambria"/>
              </w:rPr>
              <w:t>≥0.80</w:t>
            </w:r>
          </w:p>
        </w:tc>
        <w:tc>
          <w:tcPr>
            <w:tcW w:w="796" w:type="dxa"/>
            <w:tcBorders>
              <w:bottom w:val="single" w:sz="6" w:space="0" w:color="000000"/>
            </w:tcBorders>
          </w:tcPr>
          <w:p w14:paraId="2B145128" w14:textId="77777777" w:rsidR="00BE2473" w:rsidRDefault="00000000">
            <w:pPr>
              <w:pStyle w:val="Compact"/>
              <w:jc w:val="center"/>
              <w:rPr>
                <w:rFonts w:ascii="Cambria" w:eastAsia="Cambria" w:hAnsi="Cambria"/>
              </w:rPr>
            </w:pPr>
            <w:r>
              <w:rPr>
                <w:rFonts w:eastAsia="Cambria"/>
              </w:rPr>
              <w:t>≥0.90</w:t>
            </w:r>
          </w:p>
        </w:tc>
        <w:tc>
          <w:tcPr>
            <w:tcW w:w="797" w:type="dxa"/>
            <w:tcBorders>
              <w:bottom w:val="single" w:sz="6" w:space="0" w:color="000000"/>
            </w:tcBorders>
          </w:tcPr>
          <w:p w14:paraId="457A430C" w14:textId="77777777" w:rsidR="00BE2473" w:rsidRDefault="00000000">
            <w:pPr>
              <w:pStyle w:val="Compact"/>
              <w:jc w:val="center"/>
              <w:rPr>
                <w:rFonts w:ascii="Cambria" w:eastAsia="Cambria" w:hAnsi="Cambria"/>
              </w:rPr>
            </w:pPr>
            <w:r>
              <w:rPr>
                <w:rFonts w:eastAsia="Cambria"/>
              </w:rPr>
              <w:t>≥0.95</w:t>
            </w:r>
          </w:p>
        </w:tc>
      </w:tr>
      <w:tr w:rsidR="00BE2473" w14:paraId="4CF4CCF1" w14:textId="77777777" w:rsidTr="00BE2473">
        <w:tc>
          <w:tcPr>
            <w:tcW w:w="1139" w:type="dxa"/>
          </w:tcPr>
          <w:p w14:paraId="6A6654DA" w14:textId="77777777" w:rsidR="00BE2473" w:rsidRDefault="00000000">
            <w:pPr>
              <w:pStyle w:val="Compact"/>
              <w:rPr>
                <w:rFonts w:ascii="Cambria" w:eastAsia="Cambria" w:hAnsi="Cambria"/>
              </w:rPr>
            </w:pPr>
            <w:r>
              <w:rPr>
                <w:rFonts w:eastAsia="Cambria"/>
              </w:rPr>
              <w:t>3</w:t>
            </w:r>
          </w:p>
        </w:tc>
        <w:tc>
          <w:tcPr>
            <w:tcW w:w="350" w:type="dxa"/>
          </w:tcPr>
          <w:p w14:paraId="72D2182B" w14:textId="77777777" w:rsidR="00BE2473" w:rsidRDefault="00000000">
            <w:pPr>
              <w:pStyle w:val="Compact"/>
              <w:jc w:val="center"/>
              <w:rPr>
                <w:rFonts w:ascii="Cambria" w:eastAsia="Cambria" w:hAnsi="Cambria"/>
              </w:rPr>
            </w:pPr>
            <w:r>
              <w:rPr>
                <w:rFonts w:eastAsia="Cambria"/>
              </w:rPr>
              <w:t>4</w:t>
            </w:r>
          </w:p>
        </w:tc>
        <w:tc>
          <w:tcPr>
            <w:tcW w:w="1132" w:type="dxa"/>
          </w:tcPr>
          <w:p w14:paraId="00F615D2" w14:textId="77777777" w:rsidR="00BE2473" w:rsidRDefault="00000000">
            <w:pPr>
              <w:pStyle w:val="Compact"/>
              <w:jc w:val="center"/>
              <w:rPr>
                <w:rFonts w:ascii="Cambria" w:eastAsia="Cambria" w:hAnsi="Cambria"/>
              </w:rPr>
            </w:pPr>
            <w:r>
              <w:rPr>
                <w:rFonts w:eastAsia="Cambria"/>
              </w:rPr>
              <w:t>1.16</w:t>
            </w:r>
          </w:p>
        </w:tc>
        <w:tc>
          <w:tcPr>
            <w:tcW w:w="980" w:type="dxa"/>
          </w:tcPr>
          <w:p w14:paraId="7BAFD7DA" w14:textId="77777777" w:rsidR="00BE2473" w:rsidRDefault="00000000">
            <w:pPr>
              <w:pStyle w:val="Compact"/>
              <w:jc w:val="center"/>
              <w:rPr>
                <w:rFonts w:ascii="Cambria" w:eastAsia="Cambria" w:hAnsi="Cambria"/>
              </w:rPr>
            </w:pPr>
            <w:r>
              <w:rPr>
                <w:rFonts w:eastAsia="Cambria"/>
              </w:rPr>
              <w:t>1.16</w:t>
            </w:r>
          </w:p>
        </w:tc>
        <w:tc>
          <w:tcPr>
            <w:tcW w:w="664" w:type="dxa"/>
          </w:tcPr>
          <w:p w14:paraId="23F8B9BD" w14:textId="77777777" w:rsidR="00BE2473" w:rsidRDefault="00000000">
            <w:pPr>
              <w:pStyle w:val="Compact"/>
              <w:jc w:val="center"/>
              <w:rPr>
                <w:rFonts w:ascii="Cambria" w:eastAsia="Cambria" w:hAnsi="Cambria"/>
              </w:rPr>
            </w:pPr>
            <w:r>
              <w:rPr>
                <w:rFonts w:eastAsia="Cambria"/>
              </w:rPr>
              <w:t>1.03</w:t>
            </w:r>
          </w:p>
        </w:tc>
        <w:tc>
          <w:tcPr>
            <w:tcW w:w="664" w:type="dxa"/>
          </w:tcPr>
          <w:p w14:paraId="17FA4A20" w14:textId="77777777" w:rsidR="00BE2473" w:rsidRDefault="00000000">
            <w:pPr>
              <w:pStyle w:val="Compact"/>
              <w:jc w:val="center"/>
              <w:rPr>
                <w:rFonts w:ascii="Cambria" w:eastAsia="Cambria" w:hAnsi="Cambria"/>
              </w:rPr>
            </w:pPr>
            <w:r>
              <w:rPr>
                <w:rFonts w:eastAsia="Cambria"/>
              </w:rPr>
              <w:t>1.27</w:t>
            </w:r>
          </w:p>
        </w:tc>
        <w:tc>
          <w:tcPr>
            <w:tcW w:w="798" w:type="dxa"/>
          </w:tcPr>
          <w:p w14:paraId="77FA6585" w14:textId="77777777" w:rsidR="00BE2473" w:rsidRDefault="00000000">
            <w:pPr>
              <w:pStyle w:val="Compact"/>
              <w:jc w:val="center"/>
              <w:rPr>
                <w:rFonts w:ascii="Cambria" w:eastAsia="Cambria" w:hAnsi="Cambria"/>
              </w:rPr>
            </w:pPr>
            <w:r>
              <w:rPr>
                <w:rFonts w:eastAsia="Cambria"/>
              </w:rPr>
              <w:t>4</w:t>
            </w:r>
          </w:p>
        </w:tc>
        <w:tc>
          <w:tcPr>
            <w:tcW w:w="796" w:type="dxa"/>
          </w:tcPr>
          <w:p w14:paraId="5C158C7C" w14:textId="77777777" w:rsidR="00BE2473" w:rsidRDefault="00000000">
            <w:pPr>
              <w:pStyle w:val="Compact"/>
              <w:jc w:val="center"/>
              <w:rPr>
                <w:rFonts w:ascii="Cambria" w:eastAsia="Cambria" w:hAnsi="Cambria"/>
              </w:rPr>
            </w:pPr>
            <w:r>
              <w:rPr>
                <w:rFonts w:eastAsia="Cambria"/>
              </w:rPr>
              <w:t>4</w:t>
            </w:r>
          </w:p>
        </w:tc>
        <w:tc>
          <w:tcPr>
            <w:tcW w:w="797" w:type="dxa"/>
          </w:tcPr>
          <w:p w14:paraId="41BB63EA" w14:textId="77777777" w:rsidR="00BE2473" w:rsidRDefault="00000000">
            <w:pPr>
              <w:pStyle w:val="Compact"/>
              <w:jc w:val="center"/>
              <w:rPr>
                <w:rFonts w:ascii="Cambria" w:eastAsia="Cambria" w:hAnsi="Cambria"/>
              </w:rPr>
            </w:pPr>
            <w:r>
              <w:rPr>
                <w:rFonts w:eastAsia="Cambria"/>
              </w:rPr>
              <w:t>4</w:t>
            </w:r>
          </w:p>
        </w:tc>
      </w:tr>
      <w:tr w:rsidR="00BE2473" w14:paraId="5E56E720" w14:textId="77777777" w:rsidTr="00BE2473">
        <w:tc>
          <w:tcPr>
            <w:tcW w:w="1139" w:type="dxa"/>
          </w:tcPr>
          <w:p w14:paraId="66671795" w14:textId="77777777" w:rsidR="00BE2473" w:rsidRDefault="00000000">
            <w:pPr>
              <w:pStyle w:val="Compact"/>
              <w:rPr>
                <w:rFonts w:ascii="Cambria" w:eastAsia="Cambria" w:hAnsi="Cambria"/>
              </w:rPr>
            </w:pPr>
            <w:r>
              <w:rPr>
                <w:rFonts w:eastAsia="Cambria"/>
              </w:rPr>
              <w:t>4</w:t>
            </w:r>
          </w:p>
        </w:tc>
        <w:tc>
          <w:tcPr>
            <w:tcW w:w="350" w:type="dxa"/>
          </w:tcPr>
          <w:p w14:paraId="1C00ADC3" w14:textId="77777777" w:rsidR="00BE2473" w:rsidRDefault="00000000">
            <w:pPr>
              <w:pStyle w:val="Compact"/>
              <w:jc w:val="center"/>
              <w:rPr>
                <w:rFonts w:ascii="Cambria" w:eastAsia="Cambria" w:hAnsi="Cambria"/>
              </w:rPr>
            </w:pPr>
            <w:r>
              <w:rPr>
                <w:rFonts w:eastAsia="Cambria"/>
              </w:rPr>
              <w:t>7</w:t>
            </w:r>
          </w:p>
        </w:tc>
        <w:tc>
          <w:tcPr>
            <w:tcW w:w="1132" w:type="dxa"/>
          </w:tcPr>
          <w:p w14:paraId="6116C444" w14:textId="77777777" w:rsidR="00BE2473" w:rsidRDefault="00000000">
            <w:pPr>
              <w:pStyle w:val="Compact"/>
              <w:jc w:val="center"/>
              <w:rPr>
                <w:rFonts w:ascii="Cambria" w:eastAsia="Cambria" w:hAnsi="Cambria"/>
              </w:rPr>
            </w:pPr>
            <w:r>
              <w:rPr>
                <w:rFonts w:eastAsia="Cambria"/>
              </w:rPr>
              <w:t>1.03</w:t>
            </w:r>
          </w:p>
        </w:tc>
        <w:tc>
          <w:tcPr>
            <w:tcW w:w="980" w:type="dxa"/>
          </w:tcPr>
          <w:p w14:paraId="417447E9" w14:textId="77777777" w:rsidR="00BE2473" w:rsidRDefault="00000000">
            <w:pPr>
              <w:pStyle w:val="Compact"/>
              <w:jc w:val="center"/>
              <w:rPr>
                <w:rFonts w:ascii="Cambria" w:eastAsia="Cambria" w:hAnsi="Cambria"/>
              </w:rPr>
            </w:pPr>
            <w:r>
              <w:rPr>
                <w:rFonts w:eastAsia="Cambria"/>
              </w:rPr>
              <w:t>1.02</w:t>
            </w:r>
          </w:p>
        </w:tc>
        <w:tc>
          <w:tcPr>
            <w:tcW w:w="664" w:type="dxa"/>
          </w:tcPr>
          <w:p w14:paraId="24F77C01" w14:textId="77777777" w:rsidR="00BE2473" w:rsidRDefault="00000000">
            <w:pPr>
              <w:pStyle w:val="Compact"/>
              <w:jc w:val="center"/>
              <w:rPr>
                <w:rFonts w:ascii="Cambria" w:eastAsia="Cambria" w:hAnsi="Cambria"/>
              </w:rPr>
            </w:pPr>
            <w:r>
              <w:rPr>
                <w:rFonts w:eastAsia="Cambria"/>
              </w:rPr>
              <w:t>0.83</w:t>
            </w:r>
          </w:p>
        </w:tc>
        <w:tc>
          <w:tcPr>
            <w:tcW w:w="664" w:type="dxa"/>
          </w:tcPr>
          <w:p w14:paraId="455CFB58" w14:textId="77777777" w:rsidR="00BE2473" w:rsidRDefault="00000000">
            <w:pPr>
              <w:pStyle w:val="Compact"/>
              <w:jc w:val="center"/>
              <w:rPr>
                <w:rFonts w:ascii="Cambria" w:eastAsia="Cambria" w:hAnsi="Cambria"/>
              </w:rPr>
            </w:pPr>
            <w:r>
              <w:rPr>
                <w:rFonts w:eastAsia="Cambria"/>
              </w:rPr>
              <w:t>1.33</w:t>
            </w:r>
          </w:p>
        </w:tc>
        <w:tc>
          <w:tcPr>
            <w:tcW w:w="798" w:type="dxa"/>
          </w:tcPr>
          <w:p w14:paraId="1B2335AA" w14:textId="77777777" w:rsidR="00BE2473" w:rsidRDefault="00000000">
            <w:pPr>
              <w:pStyle w:val="Compact"/>
              <w:jc w:val="center"/>
              <w:rPr>
                <w:rFonts w:ascii="Cambria" w:eastAsia="Cambria" w:hAnsi="Cambria"/>
              </w:rPr>
            </w:pPr>
            <w:r>
              <w:rPr>
                <w:rFonts w:eastAsia="Cambria"/>
              </w:rPr>
              <w:t>7</w:t>
            </w:r>
          </w:p>
        </w:tc>
        <w:tc>
          <w:tcPr>
            <w:tcW w:w="796" w:type="dxa"/>
          </w:tcPr>
          <w:p w14:paraId="30CE744E" w14:textId="77777777" w:rsidR="00BE2473" w:rsidRDefault="00000000">
            <w:pPr>
              <w:pStyle w:val="Compact"/>
              <w:jc w:val="center"/>
              <w:rPr>
                <w:rFonts w:ascii="Cambria" w:eastAsia="Cambria" w:hAnsi="Cambria"/>
              </w:rPr>
            </w:pPr>
            <w:r>
              <w:rPr>
                <w:rFonts w:eastAsia="Cambria"/>
              </w:rPr>
              <w:t>6</w:t>
            </w:r>
          </w:p>
        </w:tc>
        <w:tc>
          <w:tcPr>
            <w:tcW w:w="797" w:type="dxa"/>
          </w:tcPr>
          <w:p w14:paraId="7B509AFD" w14:textId="77777777" w:rsidR="00BE2473" w:rsidRDefault="00000000">
            <w:pPr>
              <w:pStyle w:val="Compact"/>
              <w:jc w:val="center"/>
              <w:rPr>
                <w:rFonts w:ascii="Cambria" w:eastAsia="Cambria" w:hAnsi="Cambria"/>
              </w:rPr>
            </w:pPr>
            <w:r>
              <w:rPr>
                <w:rFonts w:eastAsia="Cambria"/>
              </w:rPr>
              <w:t>5</w:t>
            </w:r>
          </w:p>
        </w:tc>
      </w:tr>
      <w:tr w:rsidR="00BE2473" w14:paraId="6FE735A2" w14:textId="77777777" w:rsidTr="00BE2473">
        <w:tc>
          <w:tcPr>
            <w:tcW w:w="1139" w:type="dxa"/>
          </w:tcPr>
          <w:p w14:paraId="46EDA332" w14:textId="77777777" w:rsidR="00BE2473" w:rsidRDefault="00000000">
            <w:pPr>
              <w:pStyle w:val="Compact"/>
              <w:rPr>
                <w:rFonts w:ascii="Cambria" w:eastAsia="Cambria" w:hAnsi="Cambria"/>
              </w:rPr>
            </w:pPr>
            <w:r>
              <w:rPr>
                <w:rFonts w:eastAsia="Cambria"/>
              </w:rPr>
              <w:t>5</w:t>
            </w:r>
          </w:p>
        </w:tc>
        <w:tc>
          <w:tcPr>
            <w:tcW w:w="350" w:type="dxa"/>
          </w:tcPr>
          <w:p w14:paraId="259A9693" w14:textId="77777777" w:rsidR="00BE2473" w:rsidRDefault="00000000">
            <w:pPr>
              <w:pStyle w:val="Compact"/>
              <w:jc w:val="center"/>
              <w:rPr>
                <w:rFonts w:ascii="Cambria" w:eastAsia="Cambria" w:hAnsi="Cambria"/>
              </w:rPr>
            </w:pPr>
            <w:r>
              <w:rPr>
                <w:rFonts w:eastAsia="Cambria"/>
              </w:rPr>
              <w:t>7</w:t>
            </w:r>
          </w:p>
        </w:tc>
        <w:tc>
          <w:tcPr>
            <w:tcW w:w="1132" w:type="dxa"/>
          </w:tcPr>
          <w:p w14:paraId="368F3DF9" w14:textId="77777777" w:rsidR="00BE2473" w:rsidRDefault="00000000">
            <w:pPr>
              <w:pStyle w:val="Compact"/>
              <w:jc w:val="center"/>
              <w:rPr>
                <w:rFonts w:ascii="Cambria" w:eastAsia="Cambria" w:hAnsi="Cambria"/>
              </w:rPr>
            </w:pPr>
            <w:r>
              <w:rPr>
                <w:rFonts w:eastAsia="Cambria"/>
              </w:rPr>
              <w:t>1.15</w:t>
            </w:r>
          </w:p>
        </w:tc>
        <w:tc>
          <w:tcPr>
            <w:tcW w:w="980" w:type="dxa"/>
          </w:tcPr>
          <w:p w14:paraId="3049589E" w14:textId="77777777" w:rsidR="00BE2473" w:rsidRDefault="00000000">
            <w:pPr>
              <w:pStyle w:val="Compact"/>
              <w:jc w:val="center"/>
              <w:rPr>
                <w:rFonts w:ascii="Cambria" w:eastAsia="Cambria" w:hAnsi="Cambria"/>
              </w:rPr>
            </w:pPr>
            <w:r>
              <w:rPr>
                <w:rFonts w:eastAsia="Cambria"/>
              </w:rPr>
              <w:t>1.16</w:t>
            </w:r>
          </w:p>
        </w:tc>
        <w:tc>
          <w:tcPr>
            <w:tcW w:w="664" w:type="dxa"/>
          </w:tcPr>
          <w:p w14:paraId="08D9731A" w14:textId="77777777" w:rsidR="00BE2473" w:rsidRDefault="00000000">
            <w:pPr>
              <w:pStyle w:val="Compact"/>
              <w:jc w:val="center"/>
              <w:rPr>
                <w:rFonts w:ascii="Cambria" w:eastAsia="Cambria" w:hAnsi="Cambria"/>
              </w:rPr>
            </w:pPr>
            <w:r>
              <w:rPr>
                <w:rFonts w:eastAsia="Cambria"/>
              </w:rPr>
              <w:t>0.78</w:t>
            </w:r>
          </w:p>
        </w:tc>
        <w:tc>
          <w:tcPr>
            <w:tcW w:w="664" w:type="dxa"/>
          </w:tcPr>
          <w:p w14:paraId="19216DC9" w14:textId="77777777" w:rsidR="00BE2473" w:rsidRDefault="00000000">
            <w:pPr>
              <w:pStyle w:val="Compact"/>
              <w:jc w:val="center"/>
              <w:rPr>
                <w:rFonts w:ascii="Cambria" w:eastAsia="Cambria" w:hAnsi="Cambria"/>
              </w:rPr>
            </w:pPr>
            <w:r>
              <w:rPr>
                <w:rFonts w:eastAsia="Cambria"/>
              </w:rPr>
              <w:t>1.68</w:t>
            </w:r>
          </w:p>
        </w:tc>
        <w:tc>
          <w:tcPr>
            <w:tcW w:w="798" w:type="dxa"/>
          </w:tcPr>
          <w:p w14:paraId="327D7A7B" w14:textId="77777777" w:rsidR="00BE2473" w:rsidRDefault="00000000">
            <w:pPr>
              <w:pStyle w:val="Compact"/>
              <w:jc w:val="center"/>
              <w:rPr>
                <w:rFonts w:ascii="Cambria" w:eastAsia="Cambria" w:hAnsi="Cambria"/>
              </w:rPr>
            </w:pPr>
            <w:r>
              <w:rPr>
                <w:rFonts w:eastAsia="Cambria"/>
              </w:rPr>
              <w:t>6</w:t>
            </w:r>
          </w:p>
        </w:tc>
        <w:tc>
          <w:tcPr>
            <w:tcW w:w="796" w:type="dxa"/>
          </w:tcPr>
          <w:p w14:paraId="12D09EF2" w14:textId="77777777" w:rsidR="00BE2473" w:rsidRDefault="00000000">
            <w:pPr>
              <w:pStyle w:val="Compact"/>
              <w:jc w:val="center"/>
              <w:rPr>
                <w:rFonts w:ascii="Cambria" w:eastAsia="Cambria" w:hAnsi="Cambria"/>
              </w:rPr>
            </w:pPr>
            <w:r>
              <w:rPr>
                <w:rFonts w:eastAsia="Cambria"/>
              </w:rPr>
              <w:t>6</w:t>
            </w:r>
          </w:p>
        </w:tc>
        <w:tc>
          <w:tcPr>
            <w:tcW w:w="797" w:type="dxa"/>
          </w:tcPr>
          <w:p w14:paraId="686E70B8" w14:textId="77777777" w:rsidR="00BE2473" w:rsidRDefault="00000000">
            <w:pPr>
              <w:pStyle w:val="Compact"/>
              <w:jc w:val="center"/>
              <w:rPr>
                <w:rFonts w:ascii="Cambria" w:eastAsia="Cambria" w:hAnsi="Cambria"/>
              </w:rPr>
            </w:pPr>
            <w:r>
              <w:rPr>
                <w:rFonts w:eastAsia="Cambria"/>
              </w:rPr>
              <w:t>6</w:t>
            </w:r>
          </w:p>
        </w:tc>
      </w:tr>
      <w:tr w:rsidR="00BE2473" w14:paraId="59B7D875" w14:textId="77777777" w:rsidTr="00BE2473">
        <w:tc>
          <w:tcPr>
            <w:tcW w:w="1139" w:type="dxa"/>
          </w:tcPr>
          <w:p w14:paraId="14016C2F" w14:textId="77777777" w:rsidR="00BE2473" w:rsidRDefault="00000000">
            <w:pPr>
              <w:pStyle w:val="Compact"/>
              <w:rPr>
                <w:rFonts w:ascii="Cambria" w:eastAsia="Cambria" w:hAnsi="Cambria"/>
              </w:rPr>
            </w:pPr>
            <w:r>
              <w:rPr>
                <w:rFonts w:eastAsia="Cambria"/>
              </w:rPr>
              <w:t>6</w:t>
            </w:r>
          </w:p>
        </w:tc>
        <w:tc>
          <w:tcPr>
            <w:tcW w:w="350" w:type="dxa"/>
          </w:tcPr>
          <w:p w14:paraId="15A002F2" w14:textId="77777777" w:rsidR="00BE2473" w:rsidRDefault="00000000">
            <w:pPr>
              <w:pStyle w:val="Compact"/>
              <w:jc w:val="center"/>
              <w:rPr>
                <w:rFonts w:ascii="Cambria" w:eastAsia="Cambria" w:hAnsi="Cambria"/>
              </w:rPr>
            </w:pPr>
            <w:r>
              <w:rPr>
                <w:rFonts w:eastAsia="Cambria"/>
              </w:rPr>
              <w:t>1</w:t>
            </w:r>
          </w:p>
        </w:tc>
        <w:tc>
          <w:tcPr>
            <w:tcW w:w="1132" w:type="dxa"/>
          </w:tcPr>
          <w:p w14:paraId="369DB669" w14:textId="77777777" w:rsidR="00BE2473" w:rsidRDefault="00000000">
            <w:pPr>
              <w:pStyle w:val="Compact"/>
              <w:jc w:val="center"/>
              <w:rPr>
                <w:rFonts w:ascii="Cambria" w:eastAsia="Cambria" w:hAnsi="Cambria"/>
              </w:rPr>
            </w:pPr>
            <w:r>
              <w:rPr>
                <w:rFonts w:eastAsia="Cambria"/>
              </w:rPr>
              <w:t>1.05</w:t>
            </w:r>
          </w:p>
        </w:tc>
        <w:tc>
          <w:tcPr>
            <w:tcW w:w="980" w:type="dxa"/>
          </w:tcPr>
          <w:p w14:paraId="5B6BB255" w14:textId="77777777" w:rsidR="00BE2473" w:rsidRDefault="00000000">
            <w:pPr>
              <w:pStyle w:val="Compact"/>
              <w:jc w:val="center"/>
              <w:rPr>
                <w:rFonts w:ascii="Cambria" w:eastAsia="Cambria" w:hAnsi="Cambria"/>
              </w:rPr>
            </w:pPr>
            <w:r>
              <w:rPr>
                <w:rFonts w:eastAsia="Cambria"/>
              </w:rPr>
              <w:t>1.05</w:t>
            </w:r>
          </w:p>
        </w:tc>
        <w:tc>
          <w:tcPr>
            <w:tcW w:w="664" w:type="dxa"/>
          </w:tcPr>
          <w:p w14:paraId="4DA55F10" w14:textId="77777777" w:rsidR="00BE2473" w:rsidRDefault="00000000">
            <w:pPr>
              <w:pStyle w:val="Compact"/>
              <w:jc w:val="center"/>
              <w:rPr>
                <w:rFonts w:ascii="Cambria" w:eastAsia="Cambria" w:hAnsi="Cambria"/>
              </w:rPr>
            </w:pPr>
            <w:r>
              <w:rPr>
                <w:rFonts w:eastAsia="Cambria"/>
              </w:rPr>
              <w:t>1.05</w:t>
            </w:r>
          </w:p>
        </w:tc>
        <w:tc>
          <w:tcPr>
            <w:tcW w:w="664" w:type="dxa"/>
          </w:tcPr>
          <w:p w14:paraId="5C3CD023" w14:textId="77777777" w:rsidR="00BE2473" w:rsidRDefault="00000000">
            <w:pPr>
              <w:pStyle w:val="Compact"/>
              <w:jc w:val="center"/>
              <w:rPr>
                <w:rFonts w:ascii="Cambria" w:eastAsia="Cambria" w:hAnsi="Cambria"/>
              </w:rPr>
            </w:pPr>
            <w:r>
              <w:rPr>
                <w:rFonts w:eastAsia="Cambria"/>
              </w:rPr>
              <w:t>1.05</w:t>
            </w:r>
          </w:p>
        </w:tc>
        <w:tc>
          <w:tcPr>
            <w:tcW w:w="798" w:type="dxa"/>
          </w:tcPr>
          <w:p w14:paraId="2409BB10" w14:textId="77777777" w:rsidR="00BE2473" w:rsidRDefault="00000000">
            <w:pPr>
              <w:pStyle w:val="Compact"/>
              <w:jc w:val="center"/>
              <w:rPr>
                <w:rFonts w:ascii="Cambria" w:eastAsia="Cambria" w:hAnsi="Cambria"/>
              </w:rPr>
            </w:pPr>
            <w:r>
              <w:rPr>
                <w:rFonts w:eastAsia="Cambria"/>
              </w:rPr>
              <w:t>1</w:t>
            </w:r>
          </w:p>
        </w:tc>
        <w:tc>
          <w:tcPr>
            <w:tcW w:w="796" w:type="dxa"/>
          </w:tcPr>
          <w:p w14:paraId="245A2151" w14:textId="77777777" w:rsidR="00BE2473" w:rsidRDefault="00000000">
            <w:pPr>
              <w:pStyle w:val="Compact"/>
              <w:jc w:val="center"/>
              <w:rPr>
                <w:rFonts w:ascii="Cambria" w:eastAsia="Cambria" w:hAnsi="Cambria"/>
              </w:rPr>
            </w:pPr>
            <w:r>
              <w:rPr>
                <w:rFonts w:eastAsia="Cambria"/>
              </w:rPr>
              <w:t>1</w:t>
            </w:r>
          </w:p>
        </w:tc>
        <w:tc>
          <w:tcPr>
            <w:tcW w:w="797" w:type="dxa"/>
          </w:tcPr>
          <w:p w14:paraId="30BCE55C" w14:textId="77777777" w:rsidR="00BE2473" w:rsidRDefault="00000000">
            <w:pPr>
              <w:pStyle w:val="Compact"/>
              <w:jc w:val="center"/>
              <w:rPr>
                <w:rFonts w:ascii="Cambria" w:eastAsia="Cambria" w:hAnsi="Cambria"/>
              </w:rPr>
            </w:pPr>
            <w:r>
              <w:rPr>
                <w:rFonts w:eastAsia="Cambria"/>
              </w:rPr>
              <w:t>1</w:t>
            </w:r>
          </w:p>
        </w:tc>
      </w:tr>
      <w:tr w:rsidR="00BE2473" w14:paraId="729818A8" w14:textId="77777777" w:rsidTr="00BE2473">
        <w:tc>
          <w:tcPr>
            <w:tcW w:w="1139" w:type="dxa"/>
          </w:tcPr>
          <w:p w14:paraId="7CF7D8C4" w14:textId="77777777" w:rsidR="00BE2473" w:rsidRDefault="00000000">
            <w:pPr>
              <w:pStyle w:val="Compact"/>
              <w:rPr>
                <w:rFonts w:ascii="Cambria" w:eastAsia="Cambria" w:hAnsi="Cambria"/>
              </w:rPr>
            </w:pPr>
            <w:r>
              <w:rPr>
                <w:rFonts w:eastAsia="Cambria"/>
              </w:rPr>
              <w:t>7</w:t>
            </w:r>
          </w:p>
        </w:tc>
        <w:tc>
          <w:tcPr>
            <w:tcW w:w="350" w:type="dxa"/>
          </w:tcPr>
          <w:p w14:paraId="4B43D65B" w14:textId="77777777" w:rsidR="00BE2473" w:rsidRDefault="00000000">
            <w:pPr>
              <w:pStyle w:val="Compact"/>
              <w:jc w:val="center"/>
              <w:rPr>
                <w:rFonts w:ascii="Cambria" w:eastAsia="Cambria" w:hAnsi="Cambria"/>
              </w:rPr>
            </w:pPr>
            <w:r>
              <w:rPr>
                <w:rFonts w:eastAsia="Cambria"/>
              </w:rPr>
              <w:t>2</w:t>
            </w:r>
          </w:p>
        </w:tc>
        <w:tc>
          <w:tcPr>
            <w:tcW w:w="1132" w:type="dxa"/>
          </w:tcPr>
          <w:p w14:paraId="04834458" w14:textId="77777777" w:rsidR="00BE2473" w:rsidRDefault="00000000">
            <w:pPr>
              <w:pStyle w:val="Compact"/>
              <w:jc w:val="center"/>
              <w:rPr>
                <w:rFonts w:ascii="Cambria" w:eastAsia="Cambria" w:hAnsi="Cambria"/>
              </w:rPr>
            </w:pPr>
            <w:r>
              <w:rPr>
                <w:rFonts w:eastAsia="Cambria"/>
              </w:rPr>
              <w:t>0.79</w:t>
            </w:r>
          </w:p>
        </w:tc>
        <w:tc>
          <w:tcPr>
            <w:tcW w:w="980" w:type="dxa"/>
          </w:tcPr>
          <w:p w14:paraId="3AE18AEF" w14:textId="77777777" w:rsidR="00BE2473" w:rsidRDefault="00000000">
            <w:pPr>
              <w:pStyle w:val="Compact"/>
              <w:jc w:val="center"/>
              <w:rPr>
                <w:rFonts w:ascii="Cambria" w:eastAsia="Cambria" w:hAnsi="Cambria"/>
              </w:rPr>
            </w:pPr>
            <w:r>
              <w:rPr>
                <w:rFonts w:eastAsia="Cambria"/>
              </w:rPr>
              <w:t>0.79</w:t>
            </w:r>
          </w:p>
        </w:tc>
        <w:tc>
          <w:tcPr>
            <w:tcW w:w="664" w:type="dxa"/>
          </w:tcPr>
          <w:p w14:paraId="799BB7AE" w14:textId="77777777" w:rsidR="00BE2473" w:rsidRDefault="00000000">
            <w:pPr>
              <w:pStyle w:val="Compact"/>
              <w:jc w:val="center"/>
              <w:rPr>
                <w:rFonts w:ascii="Cambria" w:eastAsia="Cambria" w:hAnsi="Cambria"/>
              </w:rPr>
            </w:pPr>
            <w:r>
              <w:rPr>
                <w:rFonts w:eastAsia="Cambria"/>
              </w:rPr>
              <w:t>0.74</w:t>
            </w:r>
          </w:p>
        </w:tc>
        <w:tc>
          <w:tcPr>
            <w:tcW w:w="664" w:type="dxa"/>
          </w:tcPr>
          <w:p w14:paraId="65E28BA4" w14:textId="77777777" w:rsidR="00BE2473" w:rsidRDefault="00000000">
            <w:pPr>
              <w:pStyle w:val="Compact"/>
              <w:jc w:val="center"/>
              <w:rPr>
                <w:rFonts w:ascii="Cambria" w:eastAsia="Cambria" w:hAnsi="Cambria"/>
              </w:rPr>
            </w:pPr>
            <w:r>
              <w:rPr>
                <w:rFonts w:eastAsia="Cambria"/>
              </w:rPr>
              <w:t>0.84</w:t>
            </w:r>
          </w:p>
        </w:tc>
        <w:tc>
          <w:tcPr>
            <w:tcW w:w="798" w:type="dxa"/>
          </w:tcPr>
          <w:p w14:paraId="3F13EEF7" w14:textId="77777777" w:rsidR="00BE2473" w:rsidRDefault="00000000">
            <w:pPr>
              <w:pStyle w:val="Compact"/>
              <w:jc w:val="center"/>
              <w:rPr>
                <w:rFonts w:ascii="Cambria" w:eastAsia="Cambria" w:hAnsi="Cambria"/>
              </w:rPr>
            </w:pPr>
            <w:r>
              <w:rPr>
                <w:rFonts w:eastAsia="Cambria"/>
              </w:rPr>
              <w:t>1</w:t>
            </w:r>
          </w:p>
        </w:tc>
        <w:tc>
          <w:tcPr>
            <w:tcW w:w="796" w:type="dxa"/>
          </w:tcPr>
          <w:p w14:paraId="7AC35225" w14:textId="77777777" w:rsidR="00BE2473" w:rsidRDefault="00000000">
            <w:pPr>
              <w:pStyle w:val="Compact"/>
              <w:jc w:val="center"/>
              <w:rPr>
                <w:rFonts w:ascii="Cambria" w:eastAsia="Cambria" w:hAnsi="Cambria"/>
              </w:rPr>
            </w:pPr>
            <w:r>
              <w:rPr>
                <w:rFonts w:eastAsia="Cambria"/>
              </w:rPr>
              <w:t>0</w:t>
            </w:r>
          </w:p>
        </w:tc>
        <w:tc>
          <w:tcPr>
            <w:tcW w:w="797" w:type="dxa"/>
          </w:tcPr>
          <w:p w14:paraId="32333C2B" w14:textId="77777777" w:rsidR="00BE2473" w:rsidRDefault="00000000">
            <w:pPr>
              <w:pStyle w:val="Compact"/>
              <w:jc w:val="center"/>
              <w:rPr>
                <w:rFonts w:ascii="Cambria" w:eastAsia="Cambria" w:hAnsi="Cambria"/>
              </w:rPr>
            </w:pPr>
            <w:r>
              <w:rPr>
                <w:rFonts w:eastAsia="Cambria"/>
              </w:rPr>
              <w:t>0</w:t>
            </w:r>
            <w:bookmarkStart w:id="14" w:name="tab%3Adescriptives"/>
            <w:bookmarkEnd w:id="14"/>
          </w:p>
        </w:tc>
      </w:tr>
    </w:tbl>
    <w:p w14:paraId="4FF6D978" w14:textId="77777777" w:rsidR="00BE2473" w:rsidRDefault="00000000">
      <w:pPr>
        <w:pStyle w:val="BodyText"/>
      </w:pPr>
      <w:r>
        <w:rPr>
          <w:b/>
          <w:bCs/>
        </w:rPr>
        <w:lastRenderedPageBreak/>
        <w:t>What the distribution shows.</w:t>
      </w:r>
    </w:p>
    <w:p w14:paraId="4C01B4C6" w14:textId="77777777" w:rsidR="00BE2473" w:rsidRDefault="00000000">
      <w:pPr>
        <w:pStyle w:val="BodyText"/>
      </w:pPr>
      <w:r>
        <w:t>Mean AR is flat and unordered across axis sums 3 through 6 (1.16, 1.03, 1.15, 1.05; the mean at sum 5 exceeds the mean at sum 4) and drops only at axis sum 7 (Table </w:t>
      </w:r>
      <w:hyperlink w:anchor="tab%3Adescriptives">
        <w:r>
          <w:rPr>
            <w:rStyle w:val="Hyperlink"/>
          </w:rPr>
          <w:t>5</w:t>
        </w:r>
      </w:hyperlink>
      <w:r>
        <w:t xml:space="preserve"> and Figure </w:t>
      </w:r>
      <w:hyperlink w:anchor="fig%3Ascatter">
        <w:r>
          <w:rPr>
            <w:rStyle w:val="Hyperlink"/>
          </w:rPr>
          <w:t>2</w:t>
        </w:r>
      </w:hyperlink>
      <w:r>
        <w:t>). What this shows is that a task’s axis sum does not predict its AR, and interestingly that the two open-domain medical exam QA tasks sit apart from everything else. Those two tasks are also the only tasks at k=3.</w:t>
      </w:r>
    </w:p>
    <w:p w14:paraId="7880E425" w14:textId="77777777" w:rsidR="00BE2473" w:rsidRDefault="00000000">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3Ascope">
        <w:r>
          <w:rPr>
            <w:rStyle w:val="Hyperlink"/>
          </w:rPr>
          <w:t>2.3</w:t>
        </w:r>
      </w:hyperlink>
      <w:r>
        <w:t xml:space="preserve"> remains untested.</w:t>
      </w:r>
    </w:p>
    <w:p w14:paraId="03BD65F1" w14:textId="77777777" w:rsidR="00BE2473" w:rsidRDefault="00000000">
      <w:pPr>
        <w:pStyle w:val="BodyText"/>
      </w:pPr>
      <w:r>
        <w:rPr>
          <w:b/>
          <w:bCs/>
        </w:rPr>
        <w:t>Threshold sensitivity.</w:t>
      </w:r>
    </w:p>
    <w:p w14:paraId="13FC83D4" w14:textId="77777777" w:rsidR="00BE2473" w:rsidRDefault="00000000">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 Excluding the Likert-scored impression row shifts each of these counts by at most one and changes no other task’s verdict.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w:t>
      </w:r>
      <w:hyperlink w:anchor="tab%3Aextended">
        <w:r>
          <w:rPr>
            <w:rStyle w:val="Hyperlink"/>
          </w:rPr>
          <w:t>4</w:t>
        </w:r>
      </w:hyperlink>
      <w:r>
        <w:t>).</w:t>
      </w:r>
    </w:p>
    <w:p w14:paraId="595A151C" w14:textId="77777777" w:rsidR="00BE2473" w:rsidRDefault="00000000">
      <w:pPr>
        <w:pStyle w:val="BodyText"/>
      </w:pPr>
      <w:r>
        <w:rPr>
          <w:b/>
          <w:bCs/>
        </w:rPr>
        <w:t>Sensitivity analyses.</w:t>
      </w:r>
    </w:p>
    <w:p w14:paraId="6FE8BCBE" w14:textId="77777777" w:rsidR="00BE2473" w:rsidRDefault="00000000">
      <w:pPr>
        <w:pStyle w:val="BodyText"/>
      </w:pPr>
      <w:r>
        <w:t>Table </w:t>
      </w:r>
      <w:hyperlink w:anchor="tab%3Asensitivity">
        <w:r>
          <w:rPr>
            <w:rStyle w:val="Hyperlink"/>
          </w:rPr>
          <w:t>6</w:t>
        </w:r>
      </w:hyperlink>
      <w:r>
        <w:t xml:space="preserve"> recomputes the aggregate association between axis sum and envelope membership guided by Section </w:t>
      </w:r>
      <w:hyperlink w:anchor="sec%3Amethods-retro">
        <w:r>
          <w:rPr>
            <w:rStyle w:val="Hyperlink"/>
          </w:rPr>
          <w:t>3.1</w:t>
        </w:r>
      </w:hyperlink>
      <w:r>
        <w:t>. (Appendix </w:t>
      </w:r>
      <w:hyperlink w:anchor="app%3Atests">
        <w:r>
          <w:rPr>
            <w:rStyle w:val="Hyperlink"/>
          </w:rPr>
          <w:t>A</w:t>
        </w:r>
      </w:hyperlink>
      <w:r>
        <w:t xml:space="preserve"> gives the full versions with confidence intervals.)</w:t>
      </w:r>
    </w:p>
    <w:p w14:paraId="4E9DC29A" w14:textId="77777777" w:rsidR="00BE2473" w:rsidRDefault="00000000">
      <w:pPr>
        <w:pStyle w:val="TableCaption"/>
      </w:pPr>
      <w:r>
        <w:t>Table 6: Sensitivity of the axis-sum/envelope association (AR ≥ 0.90; low = axis sum ≤ 5, high = ≥ 6; trend-eligible unique tasks). OR = odds ratio; CA = Cochran–Armitage trend test.</w:t>
      </w:r>
    </w:p>
    <w:tbl>
      <w:tblPr>
        <w:tblStyle w:val="Table"/>
        <w:tblW w:w="9360" w:type="dxa"/>
        <w:tblInd w:w="0" w:type="dxa"/>
        <w:tblLayout w:type="fixed"/>
        <w:tblLook w:val="0020" w:firstRow="1" w:lastRow="0" w:firstColumn="0" w:lastColumn="0" w:noHBand="0" w:noVBand="0"/>
      </w:tblPr>
      <w:tblGrid>
        <w:gridCol w:w="4214"/>
        <w:gridCol w:w="482"/>
        <w:gridCol w:w="1411"/>
        <w:gridCol w:w="1441"/>
        <w:gridCol w:w="1016"/>
        <w:gridCol w:w="796"/>
      </w:tblGrid>
      <w:tr w:rsidR="00BE2473" w14:paraId="20999CDB"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4213" w:type="dxa"/>
            <w:tcBorders>
              <w:bottom w:val="single" w:sz="6" w:space="0" w:color="000000"/>
            </w:tcBorders>
          </w:tcPr>
          <w:p w14:paraId="153F7846" w14:textId="77777777" w:rsidR="00BE2473" w:rsidRDefault="00000000">
            <w:pPr>
              <w:pStyle w:val="Compact"/>
              <w:rPr>
                <w:rFonts w:ascii="Cambria" w:eastAsia="Cambria" w:hAnsi="Cambria"/>
              </w:rPr>
            </w:pPr>
            <w:r>
              <w:rPr>
                <w:rFonts w:eastAsia="Cambria"/>
              </w:rPr>
              <w:t>Analysis</w:t>
            </w:r>
          </w:p>
        </w:tc>
        <w:tc>
          <w:tcPr>
            <w:tcW w:w="482" w:type="dxa"/>
            <w:tcBorders>
              <w:bottom w:val="single" w:sz="6" w:space="0" w:color="000000"/>
            </w:tcBorders>
          </w:tcPr>
          <w:p w14:paraId="3EF5BF3D" w14:textId="77777777" w:rsidR="00BE2473" w:rsidRDefault="00000000">
            <w:pPr>
              <w:pStyle w:val="Compact"/>
              <w:rPr>
                <w:rFonts w:ascii="Cambria" w:eastAsia="Cambria" w:hAnsi="Cambria"/>
              </w:rPr>
            </w:pPr>
            <w:r>
              <w:rPr>
                <w:rFonts w:eastAsia="Cambria"/>
              </w:rPr>
              <w:t>n</w:t>
            </w:r>
          </w:p>
        </w:tc>
        <w:tc>
          <w:tcPr>
            <w:tcW w:w="1411" w:type="dxa"/>
            <w:tcBorders>
              <w:bottom w:val="single" w:sz="6" w:space="0" w:color="000000"/>
            </w:tcBorders>
          </w:tcPr>
          <w:p w14:paraId="74B66EA2" w14:textId="77777777" w:rsidR="00BE2473" w:rsidRDefault="00000000">
            <w:pPr>
              <w:pStyle w:val="Compact"/>
              <w:rPr>
                <w:rFonts w:ascii="Cambria" w:eastAsia="Cambria" w:hAnsi="Cambria"/>
              </w:rPr>
            </w:pPr>
            <w:r>
              <w:rPr>
                <w:rFonts w:eastAsia="Cambria"/>
              </w:rPr>
              <w:t>Low in/total</w:t>
            </w:r>
          </w:p>
        </w:tc>
        <w:tc>
          <w:tcPr>
            <w:tcW w:w="1441" w:type="dxa"/>
            <w:tcBorders>
              <w:bottom w:val="single" w:sz="6" w:space="0" w:color="000000"/>
            </w:tcBorders>
          </w:tcPr>
          <w:p w14:paraId="15BF3723" w14:textId="77777777" w:rsidR="00BE2473" w:rsidRDefault="00000000">
            <w:pPr>
              <w:pStyle w:val="Compact"/>
              <w:rPr>
                <w:rFonts w:ascii="Cambria" w:eastAsia="Cambria" w:hAnsi="Cambria"/>
              </w:rPr>
            </w:pPr>
            <w:r>
              <w:rPr>
                <w:rFonts w:eastAsia="Cambria"/>
              </w:rPr>
              <w:t>High in/total</w:t>
            </w:r>
          </w:p>
        </w:tc>
        <w:tc>
          <w:tcPr>
            <w:tcW w:w="1016" w:type="dxa"/>
            <w:tcBorders>
              <w:bottom w:val="single" w:sz="6" w:space="0" w:color="000000"/>
            </w:tcBorders>
          </w:tcPr>
          <w:p w14:paraId="63B2FDF9" w14:textId="77777777" w:rsidR="00BE2473" w:rsidRDefault="00000000">
            <w:pPr>
              <w:pStyle w:val="Compact"/>
              <w:rPr>
                <w:rFonts w:ascii="Cambria" w:eastAsia="Cambria" w:hAnsi="Cambria"/>
              </w:rPr>
            </w:pPr>
            <w:r>
              <w:rPr>
                <w:rFonts w:eastAsia="Cambria"/>
              </w:rPr>
              <w:t>Fisher p</w:t>
            </w:r>
          </w:p>
        </w:tc>
        <w:tc>
          <w:tcPr>
            <w:tcW w:w="796" w:type="dxa"/>
            <w:tcBorders>
              <w:bottom w:val="single" w:sz="6" w:space="0" w:color="000000"/>
            </w:tcBorders>
          </w:tcPr>
          <w:p w14:paraId="64C62580" w14:textId="77777777" w:rsidR="00BE2473" w:rsidRDefault="00000000">
            <w:pPr>
              <w:pStyle w:val="Compact"/>
              <w:rPr>
                <w:rFonts w:ascii="Cambria" w:eastAsia="Cambria" w:hAnsi="Cambria"/>
              </w:rPr>
            </w:pPr>
            <w:r>
              <w:rPr>
                <w:rFonts w:eastAsia="Cambria"/>
              </w:rPr>
              <w:t>CA p</w:t>
            </w:r>
          </w:p>
        </w:tc>
      </w:tr>
      <w:tr w:rsidR="00BE2473" w14:paraId="787F2817" w14:textId="77777777" w:rsidTr="00BE2473">
        <w:tc>
          <w:tcPr>
            <w:tcW w:w="4213" w:type="dxa"/>
          </w:tcPr>
          <w:p w14:paraId="402352FA" w14:textId="77777777" w:rsidR="00BE2473" w:rsidRDefault="00000000">
            <w:pPr>
              <w:pStyle w:val="Compact"/>
              <w:rPr>
                <w:rFonts w:ascii="Cambria" w:eastAsia="Cambria" w:hAnsi="Cambria"/>
              </w:rPr>
            </w:pPr>
            <w:r>
              <w:rPr>
                <w:rFonts w:eastAsia="Cambria"/>
              </w:rPr>
              <w:t>Pass-1 scores (published; not outcome-blind)</w:t>
            </w:r>
          </w:p>
        </w:tc>
        <w:tc>
          <w:tcPr>
            <w:tcW w:w="482" w:type="dxa"/>
          </w:tcPr>
          <w:p w14:paraId="26331D5C" w14:textId="77777777" w:rsidR="00BE2473" w:rsidRDefault="00000000">
            <w:pPr>
              <w:pStyle w:val="Compact"/>
              <w:rPr>
                <w:rFonts w:ascii="Cambria" w:eastAsia="Cambria" w:hAnsi="Cambria"/>
              </w:rPr>
            </w:pPr>
            <w:r>
              <w:rPr>
                <w:rFonts w:eastAsia="Cambria"/>
              </w:rPr>
              <w:t>21</w:t>
            </w:r>
          </w:p>
        </w:tc>
        <w:tc>
          <w:tcPr>
            <w:tcW w:w="1411" w:type="dxa"/>
          </w:tcPr>
          <w:p w14:paraId="11FA126A" w14:textId="77777777" w:rsidR="00BE2473" w:rsidRDefault="00000000">
            <w:pPr>
              <w:pStyle w:val="Compact"/>
              <w:rPr>
                <w:rFonts w:ascii="Cambria" w:eastAsia="Cambria" w:hAnsi="Cambria"/>
              </w:rPr>
            </w:pPr>
            <w:r>
              <w:rPr>
                <w:rFonts w:eastAsia="Cambria"/>
              </w:rPr>
              <w:t>16/18</w:t>
            </w:r>
          </w:p>
        </w:tc>
        <w:tc>
          <w:tcPr>
            <w:tcW w:w="1441" w:type="dxa"/>
          </w:tcPr>
          <w:p w14:paraId="41A124A1" w14:textId="77777777" w:rsidR="00BE2473" w:rsidRDefault="00000000">
            <w:pPr>
              <w:pStyle w:val="Compact"/>
              <w:rPr>
                <w:rFonts w:ascii="Cambria" w:eastAsia="Cambria" w:hAnsi="Cambria"/>
              </w:rPr>
            </w:pPr>
            <w:r>
              <w:rPr>
                <w:rFonts w:eastAsia="Cambria"/>
              </w:rPr>
              <w:t>1/3</w:t>
            </w:r>
          </w:p>
        </w:tc>
        <w:tc>
          <w:tcPr>
            <w:tcW w:w="1016" w:type="dxa"/>
          </w:tcPr>
          <w:p w14:paraId="5E071033" w14:textId="77777777" w:rsidR="00BE2473" w:rsidRDefault="00000000">
            <w:pPr>
              <w:pStyle w:val="Compact"/>
              <w:rPr>
                <w:rFonts w:ascii="Cambria" w:eastAsia="Cambria" w:hAnsi="Cambria"/>
              </w:rPr>
            </w:pPr>
            <w:r>
              <w:rPr>
                <w:rFonts w:eastAsia="Cambria"/>
              </w:rPr>
              <w:t>0.080</w:t>
            </w:r>
          </w:p>
        </w:tc>
        <w:tc>
          <w:tcPr>
            <w:tcW w:w="796" w:type="dxa"/>
          </w:tcPr>
          <w:p w14:paraId="50055AF4" w14:textId="77777777" w:rsidR="00BE2473" w:rsidRDefault="00000000">
            <w:pPr>
              <w:pStyle w:val="Compact"/>
              <w:rPr>
                <w:rFonts w:ascii="Cambria" w:eastAsia="Cambria" w:hAnsi="Cambria"/>
              </w:rPr>
            </w:pPr>
            <w:r>
              <w:rPr>
                <w:rFonts w:eastAsia="Cambria"/>
              </w:rPr>
              <w:t>0.017</w:t>
            </w:r>
          </w:p>
        </w:tc>
      </w:tr>
      <w:tr w:rsidR="00BE2473" w14:paraId="218B6E7C" w14:textId="77777777" w:rsidTr="00BE2473">
        <w:tc>
          <w:tcPr>
            <w:tcW w:w="4213" w:type="dxa"/>
          </w:tcPr>
          <w:p w14:paraId="4131F84F" w14:textId="77777777" w:rsidR="00BE2473" w:rsidRDefault="00000000">
            <w:pPr>
              <w:pStyle w:val="Compact"/>
              <w:rPr>
                <w:rFonts w:ascii="Cambria" w:eastAsia="Cambria" w:hAnsi="Cambria"/>
              </w:rPr>
            </w:pPr>
            <w:r>
              <w:rPr>
                <w:rFonts w:eastAsia="Cambria"/>
              </w:rPr>
              <w:t>Pass-2 scores (outcome-blind re-score)</w:t>
            </w:r>
          </w:p>
        </w:tc>
        <w:tc>
          <w:tcPr>
            <w:tcW w:w="482" w:type="dxa"/>
          </w:tcPr>
          <w:p w14:paraId="350FD594" w14:textId="77777777" w:rsidR="00BE2473" w:rsidRDefault="00000000">
            <w:pPr>
              <w:pStyle w:val="Compact"/>
              <w:rPr>
                <w:rFonts w:ascii="Cambria" w:eastAsia="Cambria" w:hAnsi="Cambria"/>
              </w:rPr>
            </w:pPr>
            <w:r>
              <w:rPr>
                <w:rFonts w:eastAsia="Cambria"/>
              </w:rPr>
              <w:t>21</w:t>
            </w:r>
          </w:p>
        </w:tc>
        <w:tc>
          <w:tcPr>
            <w:tcW w:w="1411" w:type="dxa"/>
          </w:tcPr>
          <w:p w14:paraId="3B81514D" w14:textId="77777777" w:rsidR="00BE2473" w:rsidRDefault="00000000">
            <w:pPr>
              <w:pStyle w:val="Compact"/>
              <w:rPr>
                <w:rFonts w:ascii="Cambria" w:eastAsia="Cambria" w:hAnsi="Cambria"/>
              </w:rPr>
            </w:pPr>
            <w:r>
              <w:rPr>
                <w:rFonts w:eastAsia="Cambria"/>
              </w:rPr>
              <w:t>13/15</w:t>
            </w:r>
          </w:p>
        </w:tc>
        <w:tc>
          <w:tcPr>
            <w:tcW w:w="1441" w:type="dxa"/>
          </w:tcPr>
          <w:p w14:paraId="6B18DC33" w14:textId="77777777" w:rsidR="00BE2473" w:rsidRDefault="00000000">
            <w:pPr>
              <w:pStyle w:val="Compact"/>
              <w:rPr>
                <w:rFonts w:ascii="Cambria" w:eastAsia="Cambria" w:hAnsi="Cambria"/>
              </w:rPr>
            </w:pPr>
            <w:r>
              <w:rPr>
                <w:rFonts w:eastAsia="Cambria"/>
              </w:rPr>
              <w:t>4/6</w:t>
            </w:r>
          </w:p>
        </w:tc>
        <w:tc>
          <w:tcPr>
            <w:tcW w:w="1016" w:type="dxa"/>
          </w:tcPr>
          <w:p w14:paraId="33C47994" w14:textId="77777777" w:rsidR="00BE2473" w:rsidRDefault="00000000">
            <w:pPr>
              <w:pStyle w:val="Compact"/>
              <w:rPr>
                <w:rFonts w:ascii="Cambria" w:eastAsia="Cambria" w:hAnsi="Cambria"/>
              </w:rPr>
            </w:pPr>
            <w:r>
              <w:rPr>
                <w:rFonts w:eastAsia="Cambria"/>
              </w:rPr>
              <w:t>0.544</w:t>
            </w:r>
          </w:p>
        </w:tc>
        <w:tc>
          <w:tcPr>
            <w:tcW w:w="796" w:type="dxa"/>
          </w:tcPr>
          <w:p w14:paraId="1378EF92" w14:textId="77777777" w:rsidR="00BE2473" w:rsidRDefault="00000000">
            <w:pPr>
              <w:pStyle w:val="Compact"/>
              <w:rPr>
                <w:rFonts w:ascii="Cambria" w:eastAsia="Cambria" w:hAnsi="Cambria"/>
              </w:rPr>
            </w:pPr>
            <w:r>
              <w:rPr>
                <w:rFonts w:eastAsia="Cambria"/>
              </w:rPr>
              <w:t>0.028</w:t>
            </w:r>
          </w:p>
        </w:tc>
      </w:tr>
      <w:tr w:rsidR="00BE2473" w14:paraId="4D4F895C" w14:textId="77777777" w:rsidTr="00BE2473">
        <w:tc>
          <w:tcPr>
            <w:tcW w:w="4213" w:type="dxa"/>
          </w:tcPr>
          <w:p w14:paraId="7D1A5898" w14:textId="77777777" w:rsidR="00BE2473" w:rsidRDefault="00000000">
            <w:pPr>
              <w:pStyle w:val="Compact"/>
              <w:rPr>
                <w:rFonts w:ascii="Cambria" w:eastAsia="Cambria" w:hAnsi="Cambria"/>
              </w:rPr>
            </w:pPr>
            <w:r>
              <w:rPr>
                <w:rFonts w:eastAsia="Cambria"/>
              </w:rPr>
              <w:t>Axis-sum-7 tasks removed</w:t>
            </w:r>
          </w:p>
        </w:tc>
        <w:tc>
          <w:tcPr>
            <w:tcW w:w="482" w:type="dxa"/>
          </w:tcPr>
          <w:p w14:paraId="76C5BF58" w14:textId="77777777" w:rsidR="00BE2473" w:rsidRDefault="00000000">
            <w:pPr>
              <w:pStyle w:val="Compact"/>
              <w:rPr>
                <w:rFonts w:ascii="Cambria" w:eastAsia="Cambria" w:hAnsi="Cambria"/>
              </w:rPr>
            </w:pPr>
            <w:r>
              <w:rPr>
                <w:rFonts w:eastAsia="Cambria"/>
              </w:rPr>
              <w:t>19</w:t>
            </w:r>
          </w:p>
        </w:tc>
        <w:tc>
          <w:tcPr>
            <w:tcW w:w="1411" w:type="dxa"/>
          </w:tcPr>
          <w:p w14:paraId="1B4A840A" w14:textId="77777777" w:rsidR="00BE2473" w:rsidRDefault="00000000">
            <w:pPr>
              <w:pStyle w:val="Compact"/>
              <w:rPr>
                <w:rFonts w:ascii="Cambria" w:eastAsia="Cambria" w:hAnsi="Cambria"/>
              </w:rPr>
            </w:pPr>
            <w:r>
              <w:rPr>
                <w:rFonts w:eastAsia="Cambria"/>
              </w:rPr>
              <w:t>16/18</w:t>
            </w:r>
          </w:p>
        </w:tc>
        <w:tc>
          <w:tcPr>
            <w:tcW w:w="1441" w:type="dxa"/>
          </w:tcPr>
          <w:p w14:paraId="14B82ADC" w14:textId="77777777" w:rsidR="00BE2473" w:rsidRDefault="00000000">
            <w:pPr>
              <w:pStyle w:val="Compact"/>
              <w:rPr>
                <w:rFonts w:ascii="Cambria" w:eastAsia="Cambria" w:hAnsi="Cambria"/>
              </w:rPr>
            </w:pPr>
            <w:r>
              <w:rPr>
                <w:rFonts w:eastAsia="Cambria"/>
              </w:rPr>
              <w:t>1/1</w:t>
            </w:r>
          </w:p>
        </w:tc>
        <w:tc>
          <w:tcPr>
            <w:tcW w:w="1016" w:type="dxa"/>
          </w:tcPr>
          <w:p w14:paraId="7850E860" w14:textId="77777777" w:rsidR="00BE2473" w:rsidRDefault="00000000">
            <w:pPr>
              <w:pStyle w:val="Compact"/>
              <w:rPr>
                <w:rFonts w:ascii="Cambria" w:eastAsia="Cambria" w:hAnsi="Cambria"/>
              </w:rPr>
            </w:pPr>
            <w:r>
              <w:rPr>
                <w:rFonts w:eastAsia="Cambria"/>
              </w:rPr>
              <w:t>1.000</w:t>
            </w:r>
          </w:p>
        </w:tc>
        <w:tc>
          <w:tcPr>
            <w:tcW w:w="796" w:type="dxa"/>
          </w:tcPr>
          <w:p w14:paraId="52EF9C64" w14:textId="77777777" w:rsidR="00BE2473" w:rsidRDefault="00000000">
            <w:pPr>
              <w:pStyle w:val="Compact"/>
              <w:rPr>
                <w:rFonts w:ascii="Cambria" w:eastAsia="Cambria" w:hAnsi="Cambria"/>
              </w:rPr>
            </w:pPr>
            <w:r>
              <w:rPr>
                <w:rFonts w:eastAsia="Cambria"/>
              </w:rPr>
              <w:t>0.676</w:t>
            </w:r>
          </w:p>
        </w:tc>
      </w:tr>
      <w:tr w:rsidR="00BE2473" w14:paraId="615C0C1B" w14:textId="77777777" w:rsidTr="00BE2473">
        <w:tc>
          <w:tcPr>
            <w:tcW w:w="4213" w:type="dxa"/>
          </w:tcPr>
          <w:p w14:paraId="7F5570E0" w14:textId="77777777" w:rsidR="00BE2473" w:rsidRDefault="00000000">
            <w:pPr>
              <w:pStyle w:val="Compact"/>
              <w:rPr>
                <w:rFonts w:ascii="Cambria" w:eastAsia="Cambria" w:hAnsi="Cambria"/>
              </w:rPr>
            </w:pPr>
            <w:proofErr w:type="spellStart"/>
            <w:r>
              <w:rPr>
                <w:rFonts w:eastAsia="Cambria"/>
              </w:rPr>
              <w:t>MedS</w:t>
            </w:r>
            <w:proofErr w:type="spellEnd"/>
            <w:r>
              <w:rPr>
                <w:rFonts w:eastAsia="Cambria"/>
              </w:rPr>
              <w:t>-Bench cluster removed</w:t>
            </w:r>
          </w:p>
        </w:tc>
        <w:tc>
          <w:tcPr>
            <w:tcW w:w="482" w:type="dxa"/>
          </w:tcPr>
          <w:p w14:paraId="0BD83525" w14:textId="77777777" w:rsidR="00BE2473" w:rsidRDefault="00000000">
            <w:pPr>
              <w:pStyle w:val="Compact"/>
              <w:rPr>
                <w:rFonts w:ascii="Cambria" w:eastAsia="Cambria" w:hAnsi="Cambria"/>
              </w:rPr>
            </w:pPr>
            <w:r>
              <w:rPr>
                <w:rFonts w:eastAsia="Cambria"/>
              </w:rPr>
              <w:t>14</w:t>
            </w:r>
          </w:p>
        </w:tc>
        <w:tc>
          <w:tcPr>
            <w:tcW w:w="1411" w:type="dxa"/>
          </w:tcPr>
          <w:p w14:paraId="007B71FC" w14:textId="77777777" w:rsidR="00BE2473" w:rsidRDefault="00000000">
            <w:pPr>
              <w:pStyle w:val="Compact"/>
              <w:rPr>
                <w:rFonts w:ascii="Cambria" w:eastAsia="Cambria" w:hAnsi="Cambria"/>
              </w:rPr>
            </w:pPr>
            <w:r>
              <w:rPr>
                <w:rFonts w:eastAsia="Cambria"/>
              </w:rPr>
              <w:t>11/13</w:t>
            </w:r>
          </w:p>
        </w:tc>
        <w:tc>
          <w:tcPr>
            <w:tcW w:w="1441" w:type="dxa"/>
          </w:tcPr>
          <w:p w14:paraId="1AD0841A" w14:textId="77777777" w:rsidR="00BE2473" w:rsidRDefault="00000000">
            <w:pPr>
              <w:pStyle w:val="Compact"/>
              <w:rPr>
                <w:rFonts w:ascii="Cambria" w:eastAsia="Cambria" w:hAnsi="Cambria"/>
              </w:rPr>
            </w:pPr>
            <w:r>
              <w:rPr>
                <w:rFonts w:eastAsia="Cambria"/>
              </w:rPr>
              <w:t>0/1</w:t>
            </w:r>
          </w:p>
        </w:tc>
        <w:tc>
          <w:tcPr>
            <w:tcW w:w="1016" w:type="dxa"/>
          </w:tcPr>
          <w:p w14:paraId="4C688BB9" w14:textId="77777777" w:rsidR="00BE2473" w:rsidRDefault="00000000">
            <w:pPr>
              <w:pStyle w:val="Compact"/>
              <w:rPr>
                <w:rFonts w:ascii="Cambria" w:eastAsia="Cambria" w:hAnsi="Cambria"/>
              </w:rPr>
            </w:pPr>
            <w:r>
              <w:rPr>
                <w:rFonts w:eastAsia="Cambria"/>
              </w:rPr>
              <w:t>0.214</w:t>
            </w:r>
          </w:p>
        </w:tc>
        <w:tc>
          <w:tcPr>
            <w:tcW w:w="796" w:type="dxa"/>
          </w:tcPr>
          <w:p w14:paraId="61C518FA" w14:textId="77777777" w:rsidR="00BE2473" w:rsidRDefault="00000000">
            <w:pPr>
              <w:pStyle w:val="Compact"/>
              <w:rPr>
                <w:rFonts w:ascii="Cambria" w:eastAsia="Cambria" w:hAnsi="Cambria"/>
              </w:rPr>
            </w:pPr>
            <w:r>
              <w:rPr>
                <w:rFonts w:eastAsia="Cambria"/>
              </w:rPr>
              <w:t>0.071</w:t>
            </w:r>
            <w:bookmarkStart w:id="15" w:name="tab%3Asensitivity"/>
            <w:bookmarkEnd w:id="15"/>
          </w:p>
        </w:tc>
      </w:tr>
    </w:tbl>
    <w:p w14:paraId="2349471F" w14:textId="77777777" w:rsidR="00BE2473" w:rsidRDefault="00000000">
      <w:pPr>
        <w:pStyle w:val="BodyText"/>
      </w:pPr>
      <w:r>
        <w:lastRenderedPageBreak/>
        <w:t xml:space="preserve">The appearance of a strong axis-sum effect in the full sample therefore depends jointly on the non-blind first-pass scores, on the two exam-QA tasks, and on the seven-row </w:t>
      </w:r>
      <w:proofErr w:type="spellStart"/>
      <w:r>
        <w:t>MedS</w:t>
      </w:r>
      <w:proofErr w:type="spellEnd"/>
      <w:r>
        <w:t>-Bench cluster. If one removes any one of these the effect either weakens or disappears (Table </w:t>
      </w:r>
      <w:hyperlink w:anchor="tab%3Asensitivity">
        <w:r>
          <w:rPr>
            <w:rStyle w:val="Hyperlink"/>
          </w:rPr>
          <w:t>6</w:t>
        </w:r>
      </w:hyperlink>
      <w:r>
        <w:t>; leave-one-study-out and one-task-per-study results are given in Appendix </w:t>
      </w:r>
      <w:hyperlink w:anchor="app%3Atests">
        <w:r>
          <w:rPr>
            <w:rStyle w:val="Hyperlink"/>
          </w:rPr>
          <w:t>A</w:t>
        </w:r>
      </w:hyperlink>
      <w:r>
        <w:t>). The claim this snapshot thus supports is descriptive only, that well-defined extraction and classification tasks routinely reach or exceed cloud-reference accuracy under current adaptation practice, while open-domain exam-style QA do not, and the region between them is unordered on present evidence.</w:t>
      </w:r>
    </w:p>
    <w:p w14:paraId="4D3A2589" w14:textId="77777777" w:rsidR="00BE2473" w:rsidRDefault="00000000">
      <w:pPr>
        <w:pStyle w:val="BodyText"/>
      </w:pPr>
      <w:r>
        <w:t xml:space="preserve">Three additional important observations. First, the outcome-blind re-score agreed with the published scores on 82% of the 22 axis-scoreable rows for r, 82% for k, and 100% for o (κ = 0.71, 0.63, and 1.00; the 23 rows of Table 4 less the composite row). The disagreements were not random as all eight moved scores upward (exact sign-test p = 0.008; Bowker's test flags the k axis, p = 0.046 [41]), a drift concentrated at the r 1/2, r 2/3, and k 1/2 boundaries. </w:t>
      </w:r>
    </w:p>
    <w:p w14:paraId="4ABED83A" w14:textId="77777777" w:rsidR="00BE2473" w:rsidRDefault="00000000">
      <w:pPr>
        <w:pStyle w:val="BodyText"/>
      </w:pPr>
      <w:r>
        <w:t xml:space="preserve">Second, task adaptation acts as an envelope expander, where the largest AR values in the snapshot come from task-adapted SLMs compared against prompted references, with the biggest gains in the </w:t>
      </w:r>
      <w:proofErr w:type="spellStart"/>
      <w:r>
        <w:t>MedS</w:t>
      </w:r>
      <w:proofErr w:type="spellEnd"/>
      <w:r>
        <w:t>-Bench cluster (Table </w:t>
      </w:r>
      <w:hyperlink w:anchor="tab%3Aextended">
        <w:r>
          <w:rPr>
            <w:rStyle w:val="Hyperlink"/>
          </w:rPr>
          <w:t>4</w:t>
        </w:r>
      </w:hyperlink>
      <w:r>
        <w:t>, note </w:t>
      </w:r>
      <w:r>
        <w:rPr>
          <w:vertAlign w:val="superscript"/>
        </w:rPr>
        <w:t>a</w:t>
      </w:r>
      <w:r>
        <w:t>). One of the two low-axis tasks that fell outside the envelope (suicide-risk detection, AR = 0.83) may depend on implicit language cues that smaller models handle less reliably.</w:t>
      </w:r>
    </w:p>
    <w:p w14:paraId="167A12A6" w14:textId="77777777" w:rsidR="00BE2473" w:rsidRDefault="00000000">
      <w:pPr>
        <w:pStyle w:val="BodyText"/>
      </w:pPr>
      <w:r>
        <w:t>Third, latency reporting is nearly absent. Only two of the thirteen studies examined (the sources of Vignettes A and B) report timing for both systems in a form that supports LE, and only one of the eleven extended-table sources do. As a result, the full two-metric envelope is applied only in Vignettes A and B, and the extended analysis rests on accuracy alone. Section 4 proposes a fix to close this gap.</w:t>
      </w:r>
    </w:p>
    <w:p w14:paraId="642A1B28" w14:textId="77777777" w:rsidR="00BE2473" w:rsidRDefault="00000000">
      <w:pPr>
        <w:pStyle w:val="Heading1"/>
      </w:pPr>
      <w:bookmarkStart w:id="16" w:name="sec%3Asnapshot"/>
      <w:bookmarkStart w:id="17" w:name="sec%3Aresults"/>
      <w:bookmarkEnd w:id="16"/>
      <w:bookmarkEnd w:id="17"/>
      <w:r>
        <w:rPr>
          <w:rStyle w:val="SectionNumber"/>
        </w:rPr>
        <w:t>4</w:t>
      </w:r>
      <w:r>
        <w:tab/>
        <w:t>Discussion and Conclusion</w:t>
      </w:r>
    </w:p>
    <w:p w14:paraId="3E60B7DB" w14:textId="77777777" w:rsidR="00BE2473" w:rsidRDefault="00000000">
      <w:pPr>
        <w:pStyle w:val="FirstParagraph"/>
      </w:pPr>
      <w:r>
        <w:t>FIT-SLM-HC rests on the claim that language model deployment decisions in healthcare depend less on model size than on whether the task’s constraints match the system’s capabilities. The snapshot in Section </w:t>
      </w:r>
      <w:hyperlink w:anchor="sec%3Asnapshot">
        <w:r>
          <w:rPr>
            <w:rStyle w:val="Hyperlink"/>
          </w:rPr>
          <w:t>3</w:t>
        </w:r>
      </w:hyperlink>
      <w:r>
        <w:t xml:space="preserve"> shows the framework organizing current evidence in a way that is useful and explicit about limitations: (1) well-defined extraction and classification tasks routinely reach cloud-reference accuracy while open-domain exam-style QA does not, (2) the reasoning axis carries the clearest per-axis gradient, and (3) the middle of the task space is unordered on present evidence.</w:t>
      </w:r>
    </w:p>
    <w:p w14:paraId="1F7A1CBC" w14:textId="77777777" w:rsidR="00BE2473" w:rsidRDefault="00000000">
      <w:pPr>
        <w:pStyle w:val="BodyText"/>
      </w:pPr>
      <w:r>
        <w:t>SLMs are not simply weaker versions of cloud models, rather they can function as efficient reasoning engines when given the right context. FIT-SLM-HC is a deployment triage layer on top of broader evaluation work, not a replacement for benchmarking, calibration, or safety assessment.</w:t>
      </w:r>
    </w:p>
    <w:p w14:paraId="2AAD1969" w14:textId="77777777" w:rsidR="00BE2473" w:rsidRDefault="00000000">
      <w:pPr>
        <w:pStyle w:val="BodyText"/>
      </w:pPr>
      <w:r>
        <w:t xml:space="preserve">Model turnover strengthens rather than weakens the case for this kind of framework. A published claim of the form “model X achieves score Y on task Z” begins to date the day the next model family ships. Under FIT-SLM-HC, an envelope verdict is explicitly indexed to a task, a system configuration (model, adaptation, quantization, hardware), a reference </w:t>
      </w:r>
      <w:r>
        <w:lastRenderedPageBreak/>
        <w:t>standard, a set of governance thresholds, and a measurement date. Vignette C makes the reference-standard index concrete, showing that the same model on the same task scores AR = 1.53 against its on-device comparator and 0.87 against the cloud baseline in the same benchmark table.</w:t>
      </w:r>
    </w:p>
    <w:p w14:paraId="4DB4A510" w14:textId="77777777" w:rsidR="00BE2473" w:rsidRDefault="00000000">
      <w:pPr>
        <w:pStyle w:val="BodyText"/>
      </w:pPr>
      <w:r>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3Ascope">
        <w:r>
          <w:rPr>
            <w:rStyle w:val="Hyperlink"/>
          </w:rPr>
          <w:t>2.3</w:t>
        </w:r>
      </w:hyperlink>
      <w:r>
        <w:t>). This aligns with the expectation that improving small models will move the boundary outward.</w:t>
      </w:r>
    </w:p>
    <w:p w14:paraId="262D4170" w14:textId="77777777" w:rsidR="00BE2473" w:rsidRDefault="00000000">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31342B5F" w14:textId="77777777" w:rsidR="00BE2473" w:rsidRDefault="00000000">
      <w:pPr>
        <w:pStyle w:val="BodyText"/>
      </w:pPr>
      <w:r>
        <w:t>To make this procedure easier to apply, a companion open-source web tool [53]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3Aextended">
        <w:r>
          <w:rPr>
            <w:rStyle w:val="Hyperlink"/>
          </w:rPr>
          <w:t>4</w:t>
        </w:r>
      </w:hyperlink>
      <w:r>
        <w:t>, and returns an envelope verdict against adjustable governance thresholds (inside; borderline, meaning within 0.05 below the AR threshold; or outside).</w:t>
      </w:r>
    </w:p>
    <w:p w14:paraId="3970B281" w14:textId="77777777" w:rsidR="00BE2473" w:rsidRDefault="00000000">
      <w:pPr>
        <w:pStyle w:val="BodyText"/>
      </w:pPr>
      <w:r>
        <w:t xml:space="preserve">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w:t>
      </w:r>
      <w:proofErr w:type="gramStart"/>
      <w:r>
        <w:t>aid, and</w:t>
      </w:r>
      <w:proofErr w:type="gramEnd"/>
      <w:r>
        <w:t xml:space="preserve"> does not replace the benchmarking and safety assessment that should follow a positive envelope verdict.</w:t>
      </w:r>
    </w:p>
    <w:p w14:paraId="337CD448" w14:textId="77777777" w:rsidR="00BE2473" w:rsidRDefault="00000000">
      <w:pPr>
        <w:pStyle w:val="BodyText"/>
      </w:pPr>
      <w:r>
        <w:t>Lastly, healthcare has several features that make this kind of structured assessment particularly necessary. The compliance picture is more nuanced than a simple local-versus-cloud dichotomy. As noted previously in Section </w:t>
      </w:r>
      <w:hyperlink w:anchor="sec%3Aintro">
        <w:r>
          <w:rPr>
            <w:rStyle w:val="Hyperlink"/>
          </w:rPr>
          <w:t>1</w:t>
        </w:r>
      </w:hyperlink>
      <w:r>
        <w:t>, cloud LLM endpoints can be operated under a Business Associate Agreement [10], [11], and de-identification pipelines can strip PHI before cloud transmission for certain task types [12]. Equally, local SLM deployment can eliminate the transmission vector but does not automatically make it compliant: the HIPAA Security Rule still requires access controls, encryption, audit logging, and workforce training on any system that touches PHI [15].</w:t>
      </w:r>
    </w:p>
    <w:p w14:paraId="56E8AAB1" w14:textId="77777777" w:rsidR="00BE2473" w:rsidRDefault="00000000">
      <w:pPr>
        <w:pStyle w:val="BodyText"/>
      </w:pPr>
      <w:r>
        <w:t xml:space="preserve">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w:t>
      </w:r>
      <w:r>
        <w:lastRenderedPageBreak/>
        <w:t>concerns separate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36E92EA7" w14:textId="77777777" w:rsidR="00BE2473" w:rsidRDefault="00000000">
      <w:pPr>
        <w:pStyle w:val="BodyText"/>
      </w:pPr>
      <w:r>
        <w:rPr>
          <w:b/>
          <w:bCs/>
        </w:rPr>
        <w:t>Limitations.</w:t>
      </w:r>
    </w:p>
    <w:p w14:paraId="2AAF9B27" w14:textId="77777777" w:rsidR="00BE2473" w:rsidRDefault="00000000">
      <w:pPr>
        <w:pStyle w:val="BodyText"/>
      </w:pPr>
      <w:r>
        <w:t xml:space="preserve">The axis scoring is currently </w:t>
      </w:r>
      <w:proofErr w:type="gramStart"/>
      <w:r>
        <w:t>single-rater</w:t>
      </w:r>
      <w:proofErr w:type="gramEnd"/>
      <w:r>
        <w:t xml:space="preserve">.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w:t>
      </w:r>
      <w:proofErr w:type="spellStart"/>
      <w:r>
        <w:t>BERTScore</w:t>
      </w:r>
      <w:proofErr w:type="spellEnd"/>
      <w:r>
        <w:t xml:space="preserve">, Likert, a composite utility), Likert-based AR </w:t>
      </w:r>
      <w:proofErr w:type="gramStart"/>
      <w:r>
        <w:t>in particular is</w:t>
      </w:r>
      <w:proofErr w:type="gramEnd"/>
      <w:r>
        <w:t xml:space="preserve">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2DE002E2" w14:textId="77777777" w:rsidR="00BE2473" w:rsidRDefault="00000000">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05DB582B" w14:textId="77777777" w:rsidR="00BE2473" w:rsidRDefault="00000000">
      <w:pPr>
        <w:pStyle w:val="BodyText"/>
      </w:pPr>
      <w:r>
        <w:rPr>
          <w:b/>
          <w:bCs/>
        </w:rPr>
        <w:t>Latency reporting in healthcare AI benchmarks.</w:t>
      </w:r>
    </w:p>
    <w:p w14:paraId="4AD228B6" w14:textId="77777777" w:rsidR="00BE2473" w:rsidRDefault="00000000">
      <w:pPr>
        <w:pStyle w:val="BodyText"/>
      </w:pPr>
      <w:r>
        <w:t>FIT-SLM-HC treats AR and LE as co-equal governance signals, yet only two of the thirteen studies examined (the sources of Vignettes A and B) report timing for both systems in a form that allows LE computation, and only one other (the Vignette C source) reports timing for even one side of the comparison.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7B70A5B4" w14:textId="77777777" w:rsidR="00BE2473" w:rsidRDefault="00000000">
      <w:pPr>
        <w:pStyle w:val="BodyText"/>
      </w:pPr>
      <w:r>
        <w:rPr>
          <w:b/>
          <w:bCs/>
        </w:rPr>
        <w:t>Conclusion.</w:t>
      </w:r>
    </w:p>
    <w:p w14:paraId="2B91F78F" w14:textId="77777777" w:rsidR="00BE2473" w:rsidRDefault="00000000">
      <w:pPr>
        <w:pStyle w:val="BodyText"/>
      </w:pPr>
      <w:r>
        <w:lastRenderedPageBreak/>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19D2E485" w14:textId="77777777" w:rsidR="00BE2473" w:rsidRDefault="00000000">
      <w:pPr>
        <w:pStyle w:val="Heading1"/>
      </w:pPr>
      <w:bookmarkStart w:id="18" w:name="sec%3Adiscussion"/>
      <w:bookmarkEnd w:id="18"/>
      <w:r>
        <w:t>Declarations</w:t>
      </w:r>
    </w:p>
    <w:p w14:paraId="4A95854D" w14:textId="77777777" w:rsidR="00BE2473" w:rsidRDefault="00000000">
      <w:pPr>
        <w:pStyle w:val="Heading2"/>
      </w:pPr>
      <w:r>
        <w:t>Funding</w:t>
      </w:r>
    </w:p>
    <w:p w14:paraId="6527C3A5" w14:textId="77777777" w:rsidR="00BE2473" w:rsidRDefault="00000000">
      <w:pPr>
        <w:pStyle w:val="FirstParagraph"/>
      </w:pPr>
      <w:r>
        <w:t>This work received no specific funding from any public, commercial, or not-for-profit agency.</w:t>
      </w:r>
    </w:p>
    <w:p w14:paraId="418987A1" w14:textId="77777777" w:rsidR="00BE2473" w:rsidRDefault="00000000">
      <w:pPr>
        <w:pStyle w:val="Heading2"/>
      </w:pPr>
      <w:bookmarkStart w:id="19" w:name="funding"/>
      <w:bookmarkEnd w:id="19"/>
      <w:r>
        <w:t>Competing Interests</w:t>
      </w:r>
    </w:p>
    <w:p w14:paraId="5424FA89" w14:textId="77777777" w:rsidR="00BE2473" w:rsidRDefault="00000000">
      <w:pPr>
        <w:pStyle w:val="FirstParagraph"/>
      </w:pPr>
      <w:r>
        <w:t>The author declares no competing interests.</w:t>
      </w:r>
    </w:p>
    <w:p w14:paraId="29AC4BD0" w14:textId="77777777" w:rsidR="00BE2473" w:rsidRDefault="00000000">
      <w:pPr>
        <w:pStyle w:val="Heading2"/>
      </w:pPr>
      <w:bookmarkStart w:id="20" w:name="competing-interests"/>
      <w:bookmarkEnd w:id="20"/>
      <w:r>
        <w:t>Ethics Approval</w:t>
      </w:r>
    </w:p>
    <w:p w14:paraId="51E52F92" w14:textId="77777777" w:rsidR="00BE2473" w:rsidRDefault="00000000">
      <w:pPr>
        <w:pStyle w:val="FirstParagraph"/>
      </w:pPr>
      <w:r>
        <w:t>Not applicable. This study analyzed previously published, aggregate benchmark results; no human participants, patient records, or identifiable data were involved.</w:t>
      </w:r>
    </w:p>
    <w:p w14:paraId="605ED90A" w14:textId="77777777" w:rsidR="00BE2473" w:rsidRDefault="00000000">
      <w:pPr>
        <w:pStyle w:val="Heading2"/>
      </w:pPr>
      <w:bookmarkStart w:id="21" w:name="ethics-approval"/>
      <w:bookmarkEnd w:id="21"/>
      <w:r>
        <w:t>Author Contributions</w:t>
      </w:r>
    </w:p>
    <w:p w14:paraId="31B94F24" w14:textId="77777777" w:rsidR="00BE2473" w:rsidRDefault="00000000">
      <w:pPr>
        <w:pStyle w:val="FirstParagraph"/>
      </w:pPr>
      <w:r>
        <w:t>H.W. conceived the framework, performed the literature identification and task scoring, conducted the analyses, developed the companion tool, and wrote the manuscript.</w:t>
      </w:r>
    </w:p>
    <w:p w14:paraId="2D1DF13F" w14:textId="77777777" w:rsidR="00BE2473" w:rsidRDefault="00000000">
      <w:pPr>
        <w:pStyle w:val="Heading2"/>
      </w:pPr>
      <w:bookmarkStart w:id="22" w:name="author-contributions"/>
      <w:bookmarkEnd w:id="22"/>
      <w:r>
        <w:t>Use of Artificial Intelligence</w:t>
      </w:r>
    </w:p>
    <w:p w14:paraId="70BCB734" w14:textId="77777777" w:rsidR="00BE2473" w:rsidRDefault="00000000">
      <w:pPr>
        <w:pStyle w:val="FirstParagraph"/>
      </w:pPr>
      <w:r>
        <w:t>Generative AI (Anthropic Claude) assisted with drafting, reference verification, and figure generation; the author verified all content and takes full responsibility.</w:t>
      </w:r>
    </w:p>
    <w:p w14:paraId="12CD445F" w14:textId="77777777" w:rsidR="00BE2473" w:rsidRDefault="00000000">
      <w:pPr>
        <w:pStyle w:val="Heading2"/>
      </w:pPr>
      <w:bookmarkStart w:id="23" w:name="use-of-artificial-intelligence"/>
      <w:bookmarkEnd w:id="23"/>
      <w:r>
        <w:t>Data Availability</w:t>
      </w:r>
    </w:p>
    <w:p w14:paraId="67C4BB5D" w14:textId="77777777" w:rsidR="00BE2473"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8">
        <w:r>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w:t>
      </w:r>
      <w:hyperlink w:anchor="sec%3Asnapshot">
        <w:r>
          <w:rPr>
            <w:rStyle w:val="Hyperlink"/>
          </w:rPr>
          <w:t>3</w:t>
        </w:r>
      </w:hyperlink>
      <w:r>
        <w:t xml:space="preserve">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9">
        <w:r>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154CA3D" w14:textId="77777777" w:rsidR="00BE2473" w:rsidRDefault="00000000">
      <w:pPr>
        <w:pStyle w:val="Heading1"/>
      </w:pPr>
      <w:bookmarkStart w:id="24" w:name="declarations"/>
      <w:bookmarkStart w:id="25" w:name="data-availability"/>
      <w:bookmarkEnd w:id="24"/>
      <w:bookmarkEnd w:id="25"/>
      <w:r>
        <w:rPr>
          <w:rStyle w:val="SectionNumber"/>
        </w:rPr>
        <w:lastRenderedPageBreak/>
        <w:t>Appendix A</w:t>
      </w:r>
      <w:r>
        <w:t>: Exploratory Association Tests</w:t>
      </w:r>
    </w:p>
    <w:p w14:paraId="2CDF2568" w14:textId="77777777" w:rsidR="00BE2473"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3Amethods-retro">
        <w:r>
          <w:rPr>
            <w:rStyle w:val="Hyperlink"/>
          </w:rPr>
          <w:t>3.1</w:t>
        </w:r>
      </w:hyperlink>
      <w:r>
        <w:t>), the published axis scores were not assigned blind to the outcome, and the high-axis region contains too few tasks for the tests to be stable (Table </w:t>
      </w:r>
      <w:hyperlink w:anchor="tab%3Asensitivity">
        <w:r>
          <w:rPr>
            <w:rStyle w:val="Hyperlink"/>
          </w:rPr>
          <w:t>6</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07AAD6CF" w14:textId="77777777" w:rsidR="00BE2473"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3Asensitivity">
        <w:r>
          <w:rPr>
            <w:rStyle w:val="Hyperlink"/>
          </w:rPr>
          <w:t>6</w:t>
        </w:r>
      </w:hyperlink>
      <w:r>
        <w:t xml:space="preserve">). Leave-one-study-out deletion leaves the Fisher p above 0.05 in every one of the ten study-deletion subsets (range 0.051–0.284), with the trend statistic weakening most when the exam-QA study (CA p = 0.086) or the </w:t>
      </w:r>
      <w:proofErr w:type="spellStart"/>
      <w:r>
        <w:t>MedS</w:t>
      </w:r>
      <w:proofErr w:type="spellEnd"/>
      <w:r>
        <w:t xml:space="preserve">-Bench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r>
        <w:rPr>
          <w:rStyle w:val="VerbatimChar"/>
        </w:rPr>
        <w:t>analysis/outputs/</w:t>
      </w:r>
      <w:r>
        <w:t xml:space="preserve"> in the companion repository.</w:t>
      </w:r>
    </w:p>
    <w:p w14:paraId="3FFF81E1" w14:textId="77777777" w:rsidR="00BE2473" w:rsidRDefault="00000000">
      <w:pPr>
        <w:pStyle w:val="Heading1"/>
      </w:pPr>
      <w:bookmarkStart w:id="26" w:name="app%3Atests"/>
      <w:bookmarkEnd w:id="26"/>
      <w:r>
        <w:rPr>
          <w:rStyle w:val="SectionNumber"/>
        </w:rPr>
        <w:t>Appendix B</w:t>
      </w:r>
      <w:r>
        <w:t>: Key Terms Reference</w:t>
      </w:r>
    </w:p>
    <w:p w14:paraId="4826592F" w14:textId="77777777" w:rsidR="00BE2473" w:rsidRDefault="00000000">
      <w:pPr>
        <w:pStyle w:val="FirstParagraph"/>
      </w:pPr>
      <w:r>
        <w:t>Table </w:t>
      </w:r>
      <w:hyperlink w:anchor="tab%3Aglossary">
        <w:r>
          <w:rPr>
            <w:rStyle w:val="Hyperlink"/>
          </w:rPr>
          <w:t>B1</w:t>
        </w:r>
      </w:hyperlink>
      <w:r>
        <w:t xml:space="preserve"> defines the model and metric terms used throughout the paper.</w:t>
      </w:r>
    </w:p>
    <w:p w14:paraId="02384A67" w14:textId="77777777" w:rsidR="00BE2473" w:rsidRDefault="00000000">
      <w:pPr>
        <w:pStyle w:val="TableCaption"/>
      </w:pPr>
      <w:r>
        <w:t>Table B1: Key terms as used in this paper.</w:t>
      </w:r>
    </w:p>
    <w:tbl>
      <w:tblPr>
        <w:tblStyle w:val="Table"/>
        <w:tblW w:w="9360" w:type="dxa"/>
        <w:tblInd w:w="0" w:type="dxa"/>
        <w:tblLayout w:type="fixed"/>
        <w:tblLook w:val="0020" w:firstRow="1" w:lastRow="0" w:firstColumn="0" w:lastColumn="0" w:noHBand="0" w:noVBand="0"/>
      </w:tblPr>
      <w:tblGrid>
        <w:gridCol w:w="1964"/>
        <w:gridCol w:w="7396"/>
      </w:tblGrid>
      <w:tr w:rsidR="00BE2473" w14:paraId="57F830C8" w14:textId="77777777" w:rsidTr="00BE2473">
        <w:trPr>
          <w:cnfStyle w:val="100000000000" w:firstRow="1" w:lastRow="0" w:firstColumn="0" w:lastColumn="0" w:oddVBand="0" w:evenVBand="0" w:oddHBand="0" w:evenHBand="0" w:firstRowFirstColumn="0" w:firstRowLastColumn="0" w:lastRowFirstColumn="0" w:lastRowLastColumn="0"/>
          <w:tblHeader/>
        </w:trPr>
        <w:tc>
          <w:tcPr>
            <w:tcW w:w="1964" w:type="dxa"/>
            <w:tcBorders>
              <w:bottom w:val="single" w:sz="6" w:space="0" w:color="000000"/>
            </w:tcBorders>
          </w:tcPr>
          <w:p w14:paraId="448AFB3A" w14:textId="77777777" w:rsidR="00BE2473" w:rsidRDefault="00000000">
            <w:pPr>
              <w:pStyle w:val="Compact"/>
              <w:rPr>
                <w:rFonts w:ascii="Cambria" w:eastAsia="Cambria" w:hAnsi="Cambria"/>
              </w:rPr>
            </w:pPr>
            <w:r>
              <w:rPr>
                <w:rFonts w:eastAsia="Cambria"/>
              </w:rPr>
              <w:t>Term</w:t>
            </w:r>
          </w:p>
        </w:tc>
        <w:tc>
          <w:tcPr>
            <w:tcW w:w="7395" w:type="dxa"/>
            <w:tcBorders>
              <w:bottom w:val="single" w:sz="6" w:space="0" w:color="000000"/>
            </w:tcBorders>
          </w:tcPr>
          <w:p w14:paraId="22D4C78D" w14:textId="77777777" w:rsidR="00BE2473" w:rsidRDefault="00000000">
            <w:pPr>
              <w:pStyle w:val="Compact"/>
              <w:rPr>
                <w:rFonts w:ascii="Cambria" w:eastAsia="Cambria" w:hAnsi="Cambria"/>
              </w:rPr>
            </w:pPr>
            <w:r>
              <w:rPr>
                <w:rFonts w:eastAsia="Cambria"/>
              </w:rPr>
              <w:t>Meaning here</w:t>
            </w:r>
          </w:p>
        </w:tc>
      </w:tr>
      <w:tr w:rsidR="00BE2473" w14:paraId="5B4A2053" w14:textId="77777777" w:rsidTr="00BE2473">
        <w:tc>
          <w:tcPr>
            <w:tcW w:w="1964" w:type="dxa"/>
          </w:tcPr>
          <w:p w14:paraId="67744A36" w14:textId="77777777" w:rsidR="00BE2473" w:rsidRDefault="00000000">
            <w:pPr>
              <w:pStyle w:val="Compact"/>
              <w:rPr>
                <w:rFonts w:ascii="Cambria" w:eastAsia="Cambria" w:hAnsi="Cambria"/>
              </w:rPr>
            </w:pPr>
            <w:r>
              <w:rPr>
                <w:rFonts w:eastAsia="Cambria"/>
              </w:rPr>
              <w:t>LLM / SLM</w:t>
            </w:r>
          </w:p>
        </w:tc>
        <w:tc>
          <w:tcPr>
            <w:tcW w:w="7395" w:type="dxa"/>
          </w:tcPr>
          <w:p w14:paraId="734FE67C" w14:textId="77777777" w:rsidR="00BE2473" w:rsidRDefault="00000000">
            <w:pPr>
              <w:pStyle w:val="Compact"/>
              <w:rPr>
                <w:rFonts w:ascii="Cambria" w:eastAsia="Cambria" w:hAnsi="Cambria"/>
              </w:rPr>
            </w:pPr>
            <w:r>
              <w:rPr>
                <w:rFonts w:eastAsia="Cambria"/>
              </w:rPr>
              <w:t>Large language model (typically cloud-hosted; “frontier” denotes the most capable current generation) / small language model, defined functionally above as one that runs on institution-controlled hardware.</w:t>
            </w:r>
          </w:p>
        </w:tc>
      </w:tr>
      <w:tr w:rsidR="00BE2473" w14:paraId="1749B3F2" w14:textId="77777777" w:rsidTr="00BE2473">
        <w:tc>
          <w:tcPr>
            <w:tcW w:w="1964" w:type="dxa"/>
          </w:tcPr>
          <w:p w14:paraId="45C704F7" w14:textId="77777777" w:rsidR="00BE2473" w:rsidRDefault="00000000">
            <w:pPr>
              <w:pStyle w:val="Compact"/>
              <w:rPr>
                <w:rFonts w:ascii="Cambria" w:eastAsia="Cambria" w:hAnsi="Cambria"/>
              </w:rPr>
            </w:pPr>
            <w:r>
              <w:rPr>
                <w:rFonts w:eastAsia="Cambria"/>
              </w:rPr>
              <w:t>Parameter (weight)</w:t>
            </w:r>
          </w:p>
        </w:tc>
        <w:tc>
          <w:tcPr>
            <w:tcW w:w="7395" w:type="dxa"/>
          </w:tcPr>
          <w:p w14:paraId="7F165862" w14:textId="77777777" w:rsidR="00BE2473" w:rsidRDefault="00000000">
            <w:pPr>
              <w:pStyle w:val="Compact"/>
              <w:rPr>
                <w:rFonts w:ascii="Cambria" w:eastAsia="Cambria" w:hAnsi="Cambria"/>
              </w:rPr>
            </w:pPr>
            <w:r>
              <w:rPr>
                <w:rFonts w:eastAsia="Cambria"/>
              </w:rPr>
              <w:t xml:space="preserve">One of the internal numerical values a model learns during training. Parameter count is the standard measure of model size; “weights” is a </w:t>
            </w:r>
            <w:r>
              <w:rPr>
                <w:rFonts w:eastAsia="Cambria"/>
              </w:rPr>
              <w:lastRenderedPageBreak/>
              <w:t>synonym.</w:t>
            </w:r>
          </w:p>
        </w:tc>
      </w:tr>
      <w:tr w:rsidR="00BE2473" w14:paraId="51119D5D" w14:textId="77777777" w:rsidTr="00BE2473">
        <w:tc>
          <w:tcPr>
            <w:tcW w:w="1964" w:type="dxa"/>
          </w:tcPr>
          <w:p w14:paraId="018906A3" w14:textId="77777777" w:rsidR="00BE2473" w:rsidRDefault="00000000">
            <w:pPr>
              <w:pStyle w:val="Compact"/>
              <w:rPr>
                <w:rFonts w:ascii="Cambria" w:eastAsia="Cambria" w:hAnsi="Cambria"/>
              </w:rPr>
            </w:pPr>
            <w:r>
              <w:rPr>
                <w:rFonts w:eastAsia="Cambria"/>
              </w:rPr>
              <w:lastRenderedPageBreak/>
              <w:t>Token</w:t>
            </w:r>
          </w:p>
        </w:tc>
        <w:tc>
          <w:tcPr>
            <w:tcW w:w="7395" w:type="dxa"/>
          </w:tcPr>
          <w:p w14:paraId="00D045C7" w14:textId="77777777" w:rsidR="00BE2473" w:rsidRDefault="00000000">
            <w:pPr>
              <w:pStyle w:val="Compact"/>
              <w:rPr>
                <w:rFonts w:ascii="Cambria" w:eastAsia="Cambria" w:hAnsi="Cambria"/>
              </w:rPr>
            </w:pPr>
            <w:r>
              <w:rPr>
                <w:rFonts w:eastAsia="Cambria"/>
              </w:rPr>
              <w:t>A short chunk of text, roughly a word or word fragment, that a model reads and writes one at a time.</w:t>
            </w:r>
          </w:p>
        </w:tc>
      </w:tr>
      <w:tr w:rsidR="00BE2473" w14:paraId="67B11D25" w14:textId="77777777" w:rsidTr="00BE2473">
        <w:tc>
          <w:tcPr>
            <w:tcW w:w="1964" w:type="dxa"/>
          </w:tcPr>
          <w:p w14:paraId="2BCED55C" w14:textId="77777777" w:rsidR="00BE2473" w:rsidRDefault="00000000">
            <w:pPr>
              <w:pStyle w:val="Compact"/>
              <w:rPr>
                <w:rFonts w:ascii="Cambria" w:eastAsia="Cambria" w:hAnsi="Cambria"/>
              </w:rPr>
            </w:pPr>
            <w:r>
              <w:rPr>
                <w:rFonts w:eastAsia="Cambria"/>
              </w:rPr>
              <w:t>Inference</w:t>
            </w:r>
          </w:p>
        </w:tc>
        <w:tc>
          <w:tcPr>
            <w:tcW w:w="7395" w:type="dxa"/>
          </w:tcPr>
          <w:p w14:paraId="38DBEA1D" w14:textId="77777777" w:rsidR="00BE2473" w:rsidRDefault="00000000">
            <w:pPr>
              <w:pStyle w:val="Compact"/>
              <w:rPr>
                <w:rFonts w:ascii="Cambria" w:eastAsia="Cambria" w:hAnsi="Cambria"/>
              </w:rPr>
            </w:pPr>
            <w:r>
              <w:rPr>
                <w:rFonts w:eastAsia="Cambria"/>
              </w:rPr>
              <w:t>Running a trained model to produce an output for a given input. Cloud providers typically charge per inference.</w:t>
            </w:r>
          </w:p>
        </w:tc>
      </w:tr>
      <w:tr w:rsidR="00BE2473" w14:paraId="7A45229D" w14:textId="77777777" w:rsidTr="00BE2473">
        <w:tc>
          <w:tcPr>
            <w:tcW w:w="1964" w:type="dxa"/>
          </w:tcPr>
          <w:p w14:paraId="10B800A4" w14:textId="77777777" w:rsidR="00BE2473" w:rsidRDefault="00000000">
            <w:pPr>
              <w:pStyle w:val="Compact"/>
              <w:rPr>
                <w:rFonts w:ascii="Cambria" w:eastAsia="Cambria" w:hAnsi="Cambria"/>
              </w:rPr>
            </w:pPr>
            <w:r>
              <w:rPr>
                <w:rFonts w:eastAsia="Cambria"/>
              </w:rPr>
              <w:t>Hallucination</w:t>
            </w:r>
          </w:p>
        </w:tc>
        <w:tc>
          <w:tcPr>
            <w:tcW w:w="7395" w:type="dxa"/>
          </w:tcPr>
          <w:p w14:paraId="7DFD5224" w14:textId="77777777" w:rsidR="00BE2473" w:rsidRDefault="00000000">
            <w:pPr>
              <w:pStyle w:val="Compact"/>
              <w:rPr>
                <w:rFonts w:ascii="Cambria" w:eastAsia="Cambria" w:hAnsi="Cambria"/>
              </w:rPr>
            </w:pPr>
            <w:r>
              <w:rPr>
                <w:rFonts w:eastAsia="Cambria"/>
              </w:rPr>
              <w:t>Fluent but factually incorrect or fabricated model output; the main reason model outputs in healthcare require human verification.</w:t>
            </w:r>
          </w:p>
        </w:tc>
      </w:tr>
      <w:tr w:rsidR="00BE2473" w14:paraId="7171559B" w14:textId="77777777" w:rsidTr="00BE2473">
        <w:tc>
          <w:tcPr>
            <w:tcW w:w="1964" w:type="dxa"/>
          </w:tcPr>
          <w:p w14:paraId="494DE4AF" w14:textId="77777777" w:rsidR="00BE2473" w:rsidRDefault="00000000">
            <w:pPr>
              <w:pStyle w:val="Compact"/>
              <w:rPr>
                <w:rFonts w:ascii="Cambria" w:eastAsia="Cambria" w:hAnsi="Cambria"/>
              </w:rPr>
            </w:pPr>
            <w:r>
              <w:rPr>
                <w:rFonts w:eastAsia="Cambria"/>
              </w:rPr>
              <w:t>Zero-shot / few-shot</w:t>
            </w:r>
          </w:p>
        </w:tc>
        <w:tc>
          <w:tcPr>
            <w:tcW w:w="7395" w:type="dxa"/>
          </w:tcPr>
          <w:p w14:paraId="4C4AECF5" w14:textId="77777777" w:rsidR="00BE2473" w:rsidRDefault="00000000">
            <w:pPr>
              <w:pStyle w:val="Compact"/>
              <w:rPr>
                <w:rFonts w:ascii="Cambria" w:eastAsia="Cambria" w:hAnsi="Cambria"/>
              </w:rPr>
            </w:pPr>
            <w:r>
              <w:rPr>
                <w:rFonts w:eastAsia="Cambria"/>
              </w:rPr>
              <w:t>Using a model with instructions only (zero-shot), or with a small number of worked examples included in the prompt (few-shot; “3-shot” means three examples).</w:t>
            </w:r>
          </w:p>
        </w:tc>
      </w:tr>
      <w:tr w:rsidR="00BE2473" w14:paraId="0958036B" w14:textId="77777777" w:rsidTr="00BE2473">
        <w:tc>
          <w:tcPr>
            <w:tcW w:w="1964" w:type="dxa"/>
          </w:tcPr>
          <w:p w14:paraId="23EE1D03" w14:textId="77777777" w:rsidR="00BE2473" w:rsidRDefault="00000000">
            <w:pPr>
              <w:pStyle w:val="Compact"/>
              <w:rPr>
                <w:rFonts w:ascii="Cambria" w:eastAsia="Cambria" w:hAnsi="Cambria"/>
              </w:rPr>
            </w:pPr>
            <w:r>
              <w:rPr>
                <w:rFonts w:eastAsia="Cambria"/>
              </w:rPr>
              <w:t>Fine-tuning</w:t>
            </w:r>
          </w:p>
        </w:tc>
        <w:tc>
          <w:tcPr>
            <w:tcW w:w="7395" w:type="dxa"/>
          </w:tcPr>
          <w:p w14:paraId="00DBBFC1" w14:textId="77777777" w:rsidR="00BE2473" w:rsidRDefault="00000000">
            <w:pPr>
              <w:pStyle w:val="Compact"/>
              <w:rPr>
                <w:rFonts w:ascii="Cambria" w:eastAsia="Cambria" w:hAnsi="Cambria"/>
              </w:rPr>
            </w:pPr>
            <w:r>
              <w:rPr>
                <w:rFonts w:eastAsia="Cambria"/>
              </w:rPr>
              <w:t>Additional training of a model on examples of the target task.</w:t>
            </w:r>
          </w:p>
        </w:tc>
      </w:tr>
      <w:tr w:rsidR="00BE2473" w14:paraId="2360EEEE" w14:textId="77777777" w:rsidTr="00BE2473">
        <w:tc>
          <w:tcPr>
            <w:tcW w:w="1964" w:type="dxa"/>
          </w:tcPr>
          <w:p w14:paraId="1087CB1C" w14:textId="77777777" w:rsidR="00BE2473" w:rsidRDefault="00000000">
            <w:pPr>
              <w:pStyle w:val="Compact"/>
              <w:rPr>
                <w:rFonts w:ascii="Cambria" w:eastAsia="Cambria" w:hAnsi="Cambria"/>
              </w:rPr>
            </w:pPr>
            <w:r>
              <w:rPr>
                <w:rFonts w:eastAsia="Cambria"/>
              </w:rPr>
              <w:t>Instruction tuning</w:t>
            </w:r>
          </w:p>
        </w:tc>
        <w:tc>
          <w:tcPr>
            <w:tcW w:w="7395" w:type="dxa"/>
          </w:tcPr>
          <w:p w14:paraId="4487A8BB" w14:textId="77777777" w:rsidR="00BE2473" w:rsidRDefault="00000000">
            <w:pPr>
              <w:pStyle w:val="Compact"/>
              <w:rPr>
                <w:rFonts w:ascii="Cambria" w:eastAsia="Cambria" w:hAnsi="Cambria"/>
              </w:rPr>
            </w:pPr>
            <w:r>
              <w:rPr>
                <w:rFonts w:eastAsia="Cambria"/>
              </w:rPr>
              <w:t>Fine-tuning on instruction–response pairs, often domain-specific (e.g., medical).</w:t>
            </w:r>
          </w:p>
        </w:tc>
      </w:tr>
      <w:tr w:rsidR="00BE2473" w14:paraId="3E7192C7" w14:textId="77777777" w:rsidTr="00BE2473">
        <w:tc>
          <w:tcPr>
            <w:tcW w:w="1964" w:type="dxa"/>
          </w:tcPr>
          <w:p w14:paraId="58BAEC4A" w14:textId="77777777" w:rsidR="00BE2473" w:rsidRDefault="00000000">
            <w:pPr>
              <w:pStyle w:val="Compact"/>
              <w:rPr>
                <w:rFonts w:ascii="Cambria" w:eastAsia="Cambria" w:hAnsi="Cambria"/>
              </w:rPr>
            </w:pPr>
            <w:proofErr w:type="spellStart"/>
            <w:r>
              <w:rPr>
                <w:rFonts w:eastAsia="Cambria"/>
              </w:rPr>
              <w:t>LoRA</w:t>
            </w:r>
            <w:proofErr w:type="spellEnd"/>
          </w:p>
        </w:tc>
        <w:tc>
          <w:tcPr>
            <w:tcW w:w="7395" w:type="dxa"/>
          </w:tcPr>
          <w:p w14:paraId="1607A5D5" w14:textId="77777777" w:rsidR="00BE2473" w:rsidRDefault="00000000">
            <w:pPr>
              <w:pStyle w:val="Compact"/>
              <w:rPr>
                <w:rFonts w:ascii="Cambria" w:eastAsia="Cambria" w:hAnsi="Cambria"/>
              </w:rPr>
            </w:pPr>
            <w:r>
              <w:rPr>
                <w:rFonts w:eastAsia="Cambria"/>
              </w:rPr>
              <w:t>Low-rank adaptation: a lightweight fine-tuning method that trains a small add-on to an otherwise frozen model.</w:t>
            </w:r>
          </w:p>
        </w:tc>
      </w:tr>
      <w:tr w:rsidR="00BE2473" w14:paraId="1CE95ACA" w14:textId="77777777" w:rsidTr="00BE2473">
        <w:tc>
          <w:tcPr>
            <w:tcW w:w="1964" w:type="dxa"/>
          </w:tcPr>
          <w:p w14:paraId="2618B130" w14:textId="77777777" w:rsidR="00BE2473" w:rsidRDefault="00000000">
            <w:pPr>
              <w:pStyle w:val="Compact"/>
              <w:rPr>
                <w:rFonts w:ascii="Cambria" w:eastAsia="Cambria" w:hAnsi="Cambria"/>
              </w:rPr>
            </w:pPr>
            <w:r>
              <w:rPr>
                <w:rFonts w:eastAsia="Cambria"/>
              </w:rPr>
              <w:t>Adaptation</w:t>
            </w:r>
          </w:p>
        </w:tc>
        <w:tc>
          <w:tcPr>
            <w:tcW w:w="7395" w:type="dxa"/>
          </w:tcPr>
          <w:p w14:paraId="1C525090" w14:textId="77777777" w:rsidR="00BE2473" w:rsidRDefault="00000000">
            <w:pPr>
              <w:pStyle w:val="Compact"/>
              <w:rPr>
                <w:rFonts w:ascii="Cambria" w:eastAsia="Cambria" w:hAnsi="Cambria"/>
              </w:rPr>
            </w:pPr>
            <w:r>
              <w:rPr>
                <w:rFonts w:eastAsia="Cambria"/>
              </w:rPr>
              <w:t xml:space="preserve">Umbrella term for fine-tuning, instruction tuning, or </w:t>
            </w:r>
            <w:proofErr w:type="spellStart"/>
            <w:r>
              <w:rPr>
                <w:rFonts w:eastAsia="Cambria"/>
              </w:rPr>
              <w:t>LoRA</w:t>
            </w:r>
            <w:proofErr w:type="spellEnd"/>
            <w:r>
              <w:rPr>
                <w:rFonts w:eastAsia="Cambria"/>
              </w:rPr>
              <w:t xml:space="preserve">. A comparison is </w:t>
            </w:r>
            <w:r>
              <w:rPr>
                <w:rFonts w:eastAsia="Cambria"/>
                <w:i/>
                <w:iCs/>
              </w:rPr>
              <w:t>symmetric</w:t>
            </w:r>
            <w:r>
              <w:rPr>
                <w:rFonts w:eastAsia="Cambria"/>
              </w:rPr>
              <w:t xml:space="preserve"> when both models are comparably adapted (or both merely prompted) and </w:t>
            </w:r>
            <w:r>
              <w:rPr>
                <w:rFonts w:eastAsia="Cambria"/>
                <w:i/>
                <w:iCs/>
              </w:rPr>
              <w:t>SLM-favored</w:t>
            </w:r>
            <w:r>
              <w:rPr>
                <w:rFonts w:eastAsia="Cambria"/>
              </w:rPr>
              <w:t xml:space="preserve"> when only the small model was adapted for the task.</w:t>
            </w:r>
          </w:p>
        </w:tc>
      </w:tr>
      <w:tr w:rsidR="00BE2473" w14:paraId="0ABC4AA9" w14:textId="77777777" w:rsidTr="00BE2473">
        <w:tc>
          <w:tcPr>
            <w:tcW w:w="1964" w:type="dxa"/>
          </w:tcPr>
          <w:p w14:paraId="3F4CACE2" w14:textId="77777777" w:rsidR="00BE2473" w:rsidRDefault="00000000">
            <w:pPr>
              <w:pStyle w:val="Compact"/>
              <w:rPr>
                <w:rFonts w:ascii="Cambria" w:eastAsia="Cambria" w:hAnsi="Cambria"/>
              </w:rPr>
            </w:pPr>
            <w:r>
              <w:rPr>
                <w:rFonts w:eastAsia="Cambria"/>
              </w:rPr>
              <w:t>Quantization</w:t>
            </w:r>
          </w:p>
        </w:tc>
        <w:tc>
          <w:tcPr>
            <w:tcW w:w="7395" w:type="dxa"/>
          </w:tcPr>
          <w:p w14:paraId="7B912819" w14:textId="77777777" w:rsidR="00BE2473" w:rsidRDefault="00000000">
            <w:pPr>
              <w:pStyle w:val="Compact"/>
              <w:rPr>
                <w:rFonts w:ascii="Cambria" w:eastAsia="Cambria" w:hAnsi="Cambria"/>
              </w:rPr>
            </w:pPr>
            <w:r>
              <w:rPr>
                <w:rFonts w:eastAsia="Cambria"/>
              </w:rPr>
              <w:t>Storing model weights at lower numeric precision (e.g., 4-bit) to cut memory use and increase speed, sometimes at an accuracy cost.</w:t>
            </w:r>
          </w:p>
        </w:tc>
      </w:tr>
      <w:tr w:rsidR="00BE2473" w14:paraId="6520C126" w14:textId="77777777" w:rsidTr="00BE2473">
        <w:tc>
          <w:tcPr>
            <w:tcW w:w="1964" w:type="dxa"/>
          </w:tcPr>
          <w:p w14:paraId="7488E75E" w14:textId="77777777" w:rsidR="00BE2473" w:rsidRDefault="00000000">
            <w:pPr>
              <w:pStyle w:val="Compact"/>
              <w:rPr>
                <w:rFonts w:ascii="Cambria" w:eastAsia="Cambria" w:hAnsi="Cambria"/>
              </w:rPr>
            </w:pPr>
            <w:r>
              <w:rPr>
                <w:rFonts w:eastAsia="Cambria"/>
              </w:rPr>
              <w:t>Parametric knowledge</w:t>
            </w:r>
          </w:p>
        </w:tc>
        <w:tc>
          <w:tcPr>
            <w:tcW w:w="7395" w:type="dxa"/>
          </w:tcPr>
          <w:p w14:paraId="43210745" w14:textId="77777777" w:rsidR="00BE2473" w:rsidRDefault="00000000">
            <w:pPr>
              <w:pStyle w:val="Compact"/>
              <w:rPr>
                <w:rFonts w:ascii="Cambria" w:eastAsia="Cambria" w:hAnsi="Cambria"/>
              </w:rPr>
            </w:pPr>
            <w:r>
              <w:rPr>
                <w:rFonts w:eastAsia="Cambria"/>
              </w:rPr>
              <w:t>Facts stored in a model’s weights during training, as opposed to information supplied in the prompt.</w:t>
            </w:r>
          </w:p>
        </w:tc>
      </w:tr>
      <w:tr w:rsidR="00BE2473" w14:paraId="09B41554" w14:textId="77777777" w:rsidTr="00BE2473">
        <w:tc>
          <w:tcPr>
            <w:tcW w:w="1964" w:type="dxa"/>
          </w:tcPr>
          <w:p w14:paraId="349EBBE7" w14:textId="77777777" w:rsidR="00BE2473" w:rsidRDefault="00000000">
            <w:pPr>
              <w:pStyle w:val="Compact"/>
              <w:rPr>
                <w:rFonts w:ascii="Cambria" w:eastAsia="Cambria" w:hAnsi="Cambria"/>
              </w:rPr>
            </w:pPr>
            <w:r>
              <w:rPr>
                <w:rFonts w:eastAsia="Cambria"/>
              </w:rPr>
              <w:t>Prompt / context window</w:t>
            </w:r>
          </w:p>
        </w:tc>
        <w:tc>
          <w:tcPr>
            <w:tcW w:w="7395" w:type="dxa"/>
          </w:tcPr>
          <w:p w14:paraId="489B5260" w14:textId="77777777" w:rsidR="00BE2473" w:rsidRDefault="00000000">
            <w:pPr>
              <w:pStyle w:val="Compact"/>
              <w:rPr>
                <w:rFonts w:ascii="Cambria" w:eastAsia="Cambria" w:hAnsi="Cambria"/>
              </w:rPr>
            </w:pPr>
            <w:r>
              <w:rPr>
                <w:rFonts w:eastAsia="Cambria"/>
              </w:rPr>
              <w:t>The text given to the model at question time / the maximum amount of such text the model can consider at once.</w:t>
            </w:r>
          </w:p>
        </w:tc>
      </w:tr>
      <w:tr w:rsidR="00BE2473" w14:paraId="4BE66CB7" w14:textId="77777777" w:rsidTr="00BE2473">
        <w:tc>
          <w:tcPr>
            <w:tcW w:w="1964" w:type="dxa"/>
          </w:tcPr>
          <w:p w14:paraId="5CA2F2EF" w14:textId="77777777" w:rsidR="00BE2473" w:rsidRDefault="00000000">
            <w:pPr>
              <w:pStyle w:val="Compact"/>
              <w:rPr>
                <w:rFonts w:ascii="Cambria" w:eastAsia="Cambria" w:hAnsi="Cambria"/>
              </w:rPr>
            </w:pPr>
            <w:r>
              <w:rPr>
                <w:rFonts w:eastAsia="Cambria"/>
              </w:rPr>
              <w:t>Retrieval augmentation</w:t>
            </w:r>
          </w:p>
        </w:tc>
        <w:tc>
          <w:tcPr>
            <w:tcW w:w="7395" w:type="dxa"/>
          </w:tcPr>
          <w:p w14:paraId="724E963C" w14:textId="77777777" w:rsidR="00BE2473" w:rsidRDefault="00000000">
            <w:pPr>
              <w:pStyle w:val="Compact"/>
              <w:rPr>
                <w:rFonts w:ascii="Cambria" w:eastAsia="Cambria" w:hAnsi="Cambria"/>
              </w:rPr>
            </w:pPr>
            <w:r>
              <w:rPr>
                <w:rFonts w:eastAsia="Cambria"/>
              </w:rPr>
              <w:t>Automatically fetching relevant reference text (e.g., from a document store) and adding it to the prompt, so the model answers from supplied context rather than from stored knowledge.</w:t>
            </w:r>
          </w:p>
        </w:tc>
      </w:tr>
      <w:tr w:rsidR="00BE2473" w14:paraId="64042820" w14:textId="77777777" w:rsidTr="00BE2473">
        <w:tc>
          <w:tcPr>
            <w:tcW w:w="1964" w:type="dxa"/>
          </w:tcPr>
          <w:p w14:paraId="61E57821" w14:textId="77777777" w:rsidR="00BE2473" w:rsidRDefault="00000000">
            <w:pPr>
              <w:pStyle w:val="Compact"/>
              <w:rPr>
                <w:rFonts w:ascii="Cambria" w:eastAsia="Cambria" w:hAnsi="Cambria"/>
              </w:rPr>
            </w:pPr>
            <w:r>
              <w:rPr>
                <w:rFonts w:eastAsia="Cambria"/>
              </w:rPr>
              <w:t>Time-to-</w:t>
            </w:r>
            <w:proofErr w:type="gramStart"/>
            <w:r>
              <w:rPr>
                <w:rFonts w:eastAsia="Cambria"/>
              </w:rPr>
              <w:t>first-token</w:t>
            </w:r>
            <w:proofErr w:type="gramEnd"/>
          </w:p>
        </w:tc>
        <w:tc>
          <w:tcPr>
            <w:tcW w:w="7395" w:type="dxa"/>
          </w:tcPr>
          <w:p w14:paraId="3B3E670D" w14:textId="77777777" w:rsidR="00BE2473" w:rsidRDefault="00000000">
            <w:pPr>
              <w:pStyle w:val="Compact"/>
              <w:rPr>
                <w:rFonts w:ascii="Cambria" w:eastAsia="Cambria" w:hAnsi="Cambria"/>
              </w:rPr>
            </w:pPr>
            <w:r>
              <w:rPr>
                <w:rFonts w:eastAsia="Cambria"/>
              </w:rPr>
              <w:t>Delay between submitting a request and the start of the model’s answer; a common interactive-latency measure.</w:t>
            </w:r>
          </w:p>
        </w:tc>
      </w:tr>
      <w:tr w:rsidR="00BE2473" w14:paraId="79F247A4" w14:textId="77777777" w:rsidTr="00BE2473">
        <w:tc>
          <w:tcPr>
            <w:tcW w:w="1964" w:type="dxa"/>
          </w:tcPr>
          <w:p w14:paraId="0E843BA1" w14:textId="77777777" w:rsidR="00BE2473" w:rsidRDefault="00000000">
            <w:pPr>
              <w:pStyle w:val="Compact"/>
              <w:rPr>
                <w:rFonts w:ascii="Cambria" w:eastAsia="Cambria" w:hAnsi="Cambria"/>
              </w:rPr>
            </w:pPr>
            <w:r>
              <w:rPr>
                <w:rFonts w:eastAsia="Cambria"/>
              </w:rPr>
              <w:t>F1 score</w:t>
            </w:r>
          </w:p>
        </w:tc>
        <w:tc>
          <w:tcPr>
            <w:tcW w:w="7395" w:type="dxa"/>
          </w:tcPr>
          <w:p w14:paraId="01F04777" w14:textId="77777777" w:rsidR="00BE2473" w:rsidRDefault="00000000">
            <w:pPr>
              <w:pStyle w:val="Compact"/>
              <w:rPr>
                <w:rFonts w:ascii="Cambria" w:eastAsia="Cambria" w:hAnsi="Cambria"/>
              </w:rPr>
            </w:pPr>
            <w:r>
              <w:rPr>
                <w:rFonts w:eastAsia="Cambria"/>
              </w:rPr>
              <w:t>Harmonic mean of precision and recall (0–1); balances false positives against false negatives.</w:t>
            </w:r>
          </w:p>
        </w:tc>
      </w:tr>
      <w:tr w:rsidR="00BE2473" w14:paraId="73F14DC9" w14:textId="77777777" w:rsidTr="00BE2473">
        <w:tc>
          <w:tcPr>
            <w:tcW w:w="1964" w:type="dxa"/>
          </w:tcPr>
          <w:p w14:paraId="5EB34D3F" w14:textId="77777777" w:rsidR="00BE2473" w:rsidRDefault="00000000">
            <w:pPr>
              <w:pStyle w:val="Compact"/>
              <w:rPr>
                <w:rFonts w:ascii="Cambria" w:eastAsia="Cambria" w:hAnsi="Cambria"/>
              </w:rPr>
            </w:pPr>
            <w:r>
              <w:rPr>
                <w:rFonts w:eastAsia="Cambria"/>
              </w:rPr>
              <w:t>Exact match (EM)</w:t>
            </w:r>
          </w:p>
        </w:tc>
        <w:tc>
          <w:tcPr>
            <w:tcW w:w="7395" w:type="dxa"/>
          </w:tcPr>
          <w:p w14:paraId="1FA76598" w14:textId="77777777" w:rsidR="00BE2473" w:rsidRDefault="00000000">
            <w:pPr>
              <w:pStyle w:val="Compact"/>
              <w:rPr>
                <w:rFonts w:ascii="Cambria" w:eastAsia="Cambria" w:hAnsi="Cambria"/>
              </w:rPr>
            </w:pPr>
            <w:r>
              <w:rPr>
                <w:rFonts w:eastAsia="Cambria"/>
              </w:rPr>
              <w:t>Fraction of outputs identical to the reference answer.</w:t>
            </w:r>
          </w:p>
        </w:tc>
      </w:tr>
      <w:tr w:rsidR="00BE2473" w14:paraId="3C619235" w14:textId="77777777" w:rsidTr="00BE2473">
        <w:tc>
          <w:tcPr>
            <w:tcW w:w="1964" w:type="dxa"/>
          </w:tcPr>
          <w:p w14:paraId="0B42027F" w14:textId="77777777" w:rsidR="00BE2473" w:rsidRDefault="00000000">
            <w:pPr>
              <w:pStyle w:val="Compact"/>
              <w:rPr>
                <w:rFonts w:ascii="Cambria" w:eastAsia="Cambria" w:hAnsi="Cambria"/>
              </w:rPr>
            </w:pPr>
            <w:r>
              <w:rPr>
                <w:rFonts w:eastAsia="Cambria"/>
              </w:rPr>
              <w:t>ROUGE-1</w:t>
            </w:r>
          </w:p>
        </w:tc>
        <w:tc>
          <w:tcPr>
            <w:tcW w:w="7395" w:type="dxa"/>
          </w:tcPr>
          <w:p w14:paraId="7E6679F4" w14:textId="77777777" w:rsidR="00BE2473" w:rsidRDefault="00000000">
            <w:pPr>
              <w:pStyle w:val="Compact"/>
              <w:rPr>
                <w:rFonts w:ascii="Cambria" w:eastAsia="Cambria" w:hAnsi="Cambria"/>
              </w:rPr>
            </w:pPr>
            <w:r>
              <w:rPr>
                <w:rFonts w:eastAsia="Cambria"/>
              </w:rPr>
              <w:t xml:space="preserve">Word </w:t>
            </w:r>
            <w:proofErr w:type="gramStart"/>
            <w:r>
              <w:rPr>
                <w:rFonts w:eastAsia="Cambria"/>
              </w:rPr>
              <w:t>overlap</w:t>
            </w:r>
            <w:proofErr w:type="gramEnd"/>
            <w:r>
              <w:rPr>
                <w:rFonts w:eastAsia="Cambria"/>
              </w:rPr>
              <w:t xml:space="preserve"> between a generated summary and a reference summary; read here as content recall (did the summary keep the source facts?).</w:t>
            </w:r>
          </w:p>
        </w:tc>
      </w:tr>
      <w:tr w:rsidR="00BE2473" w14:paraId="45DD4A46" w14:textId="77777777" w:rsidTr="00BE2473">
        <w:tc>
          <w:tcPr>
            <w:tcW w:w="1964" w:type="dxa"/>
          </w:tcPr>
          <w:p w14:paraId="0632CBCE" w14:textId="77777777" w:rsidR="00BE2473" w:rsidRDefault="00000000">
            <w:pPr>
              <w:pStyle w:val="Compact"/>
              <w:rPr>
                <w:rFonts w:ascii="Cambria" w:eastAsia="Cambria" w:hAnsi="Cambria"/>
              </w:rPr>
            </w:pPr>
            <w:proofErr w:type="spellStart"/>
            <w:r>
              <w:rPr>
                <w:rFonts w:eastAsia="Cambria"/>
              </w:rPr>
              <w:t>BERTScore</w:t>
            </w:r>
            <w:proofErr w:type="spellEnd"/>
          </w:p>
        </w:tc>
        <w:tc>
          <w:tcPr>
            <w:tcW w:w="7395" w:type="dxa"/>
          </w:tcPr>
          <w:p w14:paraId="65C15B6D" w14:textId="77777777" w:rsidR="00BE2473" w:rsidRDefault="00000000">
            <w:pPr>
              <w:pStyle w:val="Compact"/>
              <w:rPr>
                <w:rFonts w:ascii="Cambria" w:eastAsia="Cambria" w:hAnsi="Cambria"/>
              </w:rPr>
            </w:pPr>
            <w:r>
              <w:rPr>
                <w:rFonts w:eastAsia="Cambria"/>
              </w:rPr>
              <w:t xml:space="preserve">Similarity of </w:t>
            </w:r>
            <w:r>
              <w:rPr>
                <w:rFonts w:eastAsia="Cambria"/>
                <w:i/>
                <w:iCs/>
              </w:rPr>
              <w:t>meaning</w:t>
            </w:r>
            <w:r>
              <w:rPr>
                <w:rFonts w:eastAsia="Cambria"/>
              </w:rPr>
              <w:t xml:space="preserve"> between generated and reference text; can stay high even when specific details are missing.</w:t>
            </w:r>
          </w:p>
        </w:tc>
      </w:tr>
      <w:tr w:rsidR="00BE2473" w14:paraId="4BB073D3" w14:textId="77777777" w:rsidTr="00BE2473">
        <w:tc>
          <w:tcPr>
            <w:tcW w:w="1964" w:type="dxa"/>
          </w:tcPr>
          <w:p w14:paraId="55774BED" w14:textId="77777777" w:rsidR="00BE2473" w:rsidRDefault="00000000">
            <w:pPr>
              <w:pStyle w:val="Compact"/>
              <w:rPr>
                <w:rFonts w:ascii="Cambria" w:eastAsia="Cambria" w:hAnsi="Cambria"/>
              </w:rPr>
            </w:pPr>
            <w:r>
              <w:rPr>
                <w:rFonts w:eastAsia="Cambria"/>
              </w:rPr>
              <w:t>Cohen’s κ</w:t>
            </w:r>
          </w:p>
        </w:tc>
        <w:tc>
          <w:tcPr>
            <w:tcW w:w="7395" w:type="dxa"/>
          </w:tcPr>
          <w:p w14:paraId="5CA89D89" w14:textId="77777777" w:rsidR="00BE2473" w:rsidRDefault="00000000">
            <w:pPr>
              <w:pStyle w:val="Compact"/>
              <w:rPr>
                <w:rFonts w:ascii="Cambria" w:eastAsia="Cambria" w:hAnsi="Cambria"/>
              </w:rPr>
            </w:pPr>
            <w:r>
              <w:rPr>
                <w:rFonts w:eastAsia="Cambria"/>
              </w:rPr>
              <w:t xml:space="preserve">Agreement between two sets of ratings, corrected for chance; 0 = </w:t>
            </w:r>
            <w:r>
              <w:rPr>
                <w:rFonts w:eastAsia="Cambria"/>
              </w:rPr>
              <w:lastRenderedPageBreak/>
              <w:t>chance-level, 1 = perfect. Reported here without conventional verbal glosses, because both rating passes come from the same rater (Section </w:t>
            </w:r>
            <w:hyperlink w:anchor="sec%3Aresults">
              <w:r>
                <w:rPr>
                  <w:rStyle w:val="Hyperlink"/>
                  <w:rFonts w:eastAsia="Cambria"/>
                </w:rPr>
                <w:t>3.6</w:t>
              </w:r>
            </w:hyperlink>
            <w:r>
              <w:rPr>
                <w:rFonts w:eastAsia="Cambria"/>
              </w:rPr>
              <w:t>).</w:t>
            </w:r>
          </w:p>
        </w:tc>
      </w:tr>
      <w:tr w:rsidR="00BE2473" w14:paraId="6827B996" w14:textId="77777777" w:rsidTr="00BE2473">
        <w:tc>
          <w:tcPr>
            <w:tcW w:w="1964" w:type="dxa"/>
          </w:tcPr>
          <w:p w14:paraId="4B584470" w14:textId="77777777" w:rsidR="00BE2473" w:rsidRDefault="00000000">
            <w:pPr>
              <w:pStyle w:val="Compact"/>
              <w:rPr>
                <w:rFonts w:ascii="Cambria" w:eastAsia="Cambria" w:hAnsi="Cambria"/>
              </w:rPr>
            </w:pPr>
            <w:r>
              <w:rPr>
                <w:rFonts w:eastAsia="Cambria"/>
              </w:rPr>
              <w:lastRenderedPageBreak/>
              <w:t>Odds ratio (OR); 95% CI</w:t>
            </w:r>
          </w:p>
        </w:tc>
        <w:tc>
          <w:tcPr>
            <w:tcW w:w="7395" w:type="dxa"/>
          </w:tcPr>
          <w:p w14:paraId="14464DEA" w14:textId="77777777" w:rsidR="00BE2473" w:rsidRDefault="00000000">
            <w:pPr>
              <w:pStyle w:val="Compact"/>
              <w:rPr>
                <w:rFonts w:ascii="Cambria" w:eastAsia="Cambria" w:hAnsi="Cambria"/>
              </w:rPr>
            </w:pPr>
            <w:r>
              <w:rPr>
                <w:rFonts w:eastAsia="Cambria"/>
              </w:rPr>
              <w:t>How many times higher the odds of an outcome are in one group than another; the confidence interval is the range of values compatible with the data; an interval that crosses 1 means “no effect” cannot be ruled out.</w:t>
            </w:r>
          </w:p>
        </w:tc>
      </w:tr>
    </w:tbl>
    <w:p w14:paraId="57079671" w14:textId="77777777" w:rsidR="00BE2473" w:rsidRDefault="00000000">
      <w:pPr>
        <w:pStyle w:val="Heading1"/>
      </w:pPr>
      <w:bookmarkStart w:id="27" w:name="app%3Aglossary"/>
      <w:bookmarkStart w:id="28" w:name="tab%3Aglossary"/>
      <w:bookmarkEnd w:id="27"/>
      <w:bookmarkEnd w:id="28"/>
      <w:r>
        <w:t>References</w:t>
      </w:r>
    </w:p>
    <w:p w14:paraId="59235CEB" w14:textId="77777777" w:rsidR="00BE2473" w:rsidRDefault="00000000">
      <w:pPr>
        <w:pStyle w:val="Bibliography"/>
      </w:pPr>
      <w:bookmarkStart w:id="29" w:name="refs"/>
      <w:r>
        <w:t xml:space="preserve">[1]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w:t>
      </w:r>
      <w:proofErr w:type="spellStart"/>
      <w:r>
        <w:t>doi</w:t>
      </w:r>
      <w:proofErr w:type="spellEnd"/>
      <w:r>
        <w:t xml:space="preserve">: </w:t>
      </w:r>
      <w:hyperlink r:id="rId10">
        <w:r>
          <w:rPr>
            <w:rStyle w:val="Hyperlink"/>
          </w:rPr>
          <w:t>10.2196/72062</w:t>
        </w:r>
      </w:hyperlink>
      <w:r>
        <w:t>.</w:t>
      </w:r>
    </w:p>
    <w:p w14:paraId="3CB0847B" w14:textId="77777777" w:rsidR="00BE2473" w:rsidRDefault="00000000">
      <w:pPr>
        <w:pStyle w:val="Bibliography"/>
      </w:pPr>
      <w:bookmarkStart w:id="30" w:name="ref-Su2025"/>
      <w:bookmarkEnd w:id="30"/>
      <w:r>
        <w:t xml:space="preserve">[2] </w:t>
      </w:r>
      <w:r>
        <w:tab/>
        <w:t xml:space="preserve">B. </w:t>
      </w:r>
      <w:proofErr w:type="spellStart"/>
      <w:r>
        <w:t>Meskó</w:t>
      </w:r>
      <w:proofErr w:type="spellEnd"/>
      <w:r>
        <w:t xml:space="preserve"> and E. J. Topol, “The imperative for regulatory oversight of large language models (or generative AI) in healthcare,” </w:t>
      </w:r>
      <w:proofErr w:type="spellStart"/>
      <w:r>
        <w:rPr>
          <w:i/>
          <w:iCs/>
        </w:rPr>
        <w:t>npj</w:t>
      </w:r>
      <w:proofErr w:type="spellEnd"/>
      <w:r>
        <w:rPr>
          <w:i/>
          <w:iCs/>
        </w:rPr>
        <w:t xml:space="preserve"> Digital Medicine</w:t>
      </w:r>
      <w:r>
        <w:t xml:space="preserve">, vol. 6, no. 1, p. 120, 2023, </w:t>
      </w:r>
      <w:proofErr w:type="spellStart"/>
      <w:r>
        <w:t>doi</w:t>
      </w:r>
      <w:proofErr w:type="spellEnd"/>
      <w:r>
        <w:t xml:space="preserve">: </w:t>
      </w:r>
      <w:hyperlink r:id="rId11">
        <w:r>
          <w:rPr>
            <w:rStyle w:val="Hyperlink"/>
          </w:rPr>
          <w:t>10.1038/s41746-023-00873-0</w:t>
        </w:r>
      </w:hyperlink>
      <w:r>
        <w:t>.</w:t>
      </w:r>
    </w:p>
    <w:p w14:paraId="5AD725BE" w14:textId="77777777" w:rsidR="00BE2473" w:rsidRDefault="00000000">
      <w:pPr>
        <w:pStyle w:val="Bibliography"/>
      </w:pPr>
      <w:bookmarkStart w:id="31" w:name="ref-Mesko2023"/>
      <w:bookmarkEnd w:id="31"/>
      <w:r>
        <w:t xml:space="preserve">[3] </w:t>
      </w:r>
      <w:r>
        <w:tab/>
        <w:t xml:space="preserve">N. H. Shah, D. Entwistle, and M. A. Pfeffer, “Creation and adoption of large language models in medicine,” </w:t>
      </w:r>
      <w:r>
        <w:rPr>
          <w:i/>
          <w:iCs/>
        </w:rPr>
        <w:t>JAMA</w:t>
      </w:r>
      <w:r>
        <w:t xml:space="preserve">, vol. 330, no. 9, pp. 866–869, 2023, </w:t>
      </w:r>
      <w:proofErr w:type="spellStart"/>
      <w:r>
        <w:t>doi</w:t>
      </w:r>
      <w:proofErr w:type="spellEnd"/>
      <w:r>
        <w:t xml:space="preserve">: </w:t>
      </w:r>
      <w:hyperlink r:id="rId12">
        <w:r>
          <w:rPr>
            <w:rStyle w:val="Hyperlink"/>
          </w:rPr>
          <w:t>10.1001/jama.2023.14217</w:t>
        </w:r>
      </w:hyperlink>
      <w:r>
        <w:t>.</w:t>
      </w:r>
    </w:p>
    <w:p w14:paraId="0ACFD9AC" w14:textId="77777777" w:rsidR="00BE2473" w:rsidRDefault="00000000">
      <w:pPr>
        <w:pStyle w:val="Bibliography"/>
      </w:pPr>
      <w:bookmarkStart w:id="32" w:name="ref-Shah2023"/>
      <w:bookmarkEnd w:id="32"/>
      <w:r>
        <w:t xml:space="preserve">[4] </w:t>
      </w:r>
      <w:r>
        <w:tab/>
        <w:t xml:space="preserve">S. </w:t>
      </w:r>
      <w:proofErr w:type="spellStart"/>
      <w:r>
        <w:t>Minaee</w:t>
      </w:r>
      <w:proofErr w:type="spellEnd"/>
      <w:r>
        <w:t xml:space="preserve"> </w:t>
      </w:r>
      <w:r>
        <w:rPr>
          <w:i/>
          <w:iCs/>
        </w:rPr>
        <w:t>et al.</w:t>
      </w:r>
      <w:r>
        <w:t xml:space="preserve">, “Large language models: A survey,” </w:t>
      </w:r>
      <w:proofErr w:type="spellStart"/>
      <w:r>
        <w:rPr>
          <w:i/>
          <w:iCs/>
        </w:rPr>
        <w:t>arXiv</w:t>
      </w:r>
      <w:proofErr w:type="spellEnd"/>
      <w:r>
        <w:rPr>
          <w:i/>
          <w:iCs/>
        </w:rPr>
        <w:t xml:space="preserve"> preprint arXiv:2402.06196</w:t>
      </w:r>
      <w:r>
        <w:t>, 2024.</w:t>
      </w:r>
    </w:p>
    <w:p w14:paraId="62DE4152" w14:textId="77777777" w:rsidR="00BE2473" w:rsidRDefault="00000000">
      <w:pPr>
        <w:pStyle w:val="Bibliography"/>
      </w:pPr>
      <w:bookmarkStart w:id="33" w:name="ref-Minaee2024"/>
      <w:bookmarkEnd w:id="33"/>
      <w:r>
        <w:t xml:space="preserve">[5] </w:t>
      </w:r>
      <w:r>
        <w:tab/>
        <w:t xml:space="preserve">K. Singhal </w:t>
      </w:r>
      <w:r>
        <w:rPr>
          <w:i/>
          <w:iCs/>
        </w:rPr>
        <w:t>et al.</w:t>
      </w:r>
      <w:r>
        <w:t xml:space="preserve">, “Large language models encode clinical knowledge,” </w:t>
      </w:r>
      <w:r>
        <w:rPr>
          <w:i/>
          <w:iCs/>
        </w:rPr>
        <w:t>Nature</w:t>
      </w:r>
      <w:r>
        <w:t xml:space="preserve">, vol. 620, no. 7972, pp. 172–180, 2023, </w:t>
      </w:r>
      <w:proofErr w:type="spellStart"/>
      <w:r>
        <w:t>doi</w:t>
      </w:r>
      <w:proofErr w:type="spellEnd"/>
      <w:r>
        <w:t xml:space="preserve">: </w:t>
      </w:r>
      <w:hyperlink r:id="rId13">
        <w:r>
          <w:rPr>
            <w:rStyle w:val="Hyperlink"/>
          </w:rPr>
          <w:t>10.1038/s41586-023-06291-2</w:t>
        </w:r>
      </w:hyperlink>
      <w:r>
        <w:t>.</w:t>
      </w:r>
    </w:p>
    <w:p w14:paraId="037CDC95" w14:textId="77777777" w:rsidR="00BE2473" w:rsidRDefault="00000000">
      <w:pPr>
        <w:pStyle w:val="Bibliography"/>
      </w:pPr>
      <w:bookmarkStart w:id="34" w:name="ref-Singhal2023"/>
      <w:bookmarkEnd w:id="34"/>
      <w:r>
        <w:t xml:space="preserve">[6] </w:t>
      </w:r>
      <w:r>
        <w:tab/>
        <w:t xml:space="preserve">H. Nori, N. King, S. M. McKinney, D. Carignan, and E. Horvitz, “Capabilities of GPT-4 on medical challenge problems,” </w:t>
      </w:r>
      <w:proofErr w:type="spellStart"/>
      <w:r>
        <w:rPr>
          <w:i/>
          <w:iCs/>
        </w:rPr>
        <w:t>arXiv</w:t>
      </w:r>
      <w:proofErr w:type="spellEnd"/>
      <w:r>
        <w:rPr>
          <w:i/>
          <w:iCs/>
        </w:rPr>
        <w:t xml:space="preserve"> preprint arXiv:2303.13375</w:t>
      </w:r>
      <w:r>
        <w:t>, 2023.</w:t>
      </w:r>
    </w:p>
    <w:p w14:paraId="6826E1EB" w14:textId="77777777" w:rsidR="00BE2473" w:rsidRDefault="00000000">
      <w:pPr>
        <w:pStyle w:val="Bibliography"/>
      </w:pPr>
      <w:bookmarkStart w:id="35" w:name="ref-Nori2023"/>
      <w:bookmarkEnd w:id="35"/>
      <w:r>
        <w:t xml:space="preserve">[7] </w:t>
      </w:r>
      <w:r>
        <w:tab/>
        <w:t xml:space="preserve">A. J. </w:t>
      </w:r>
      <w:proofErr w:type="spellStart"/>
      <w:r>
        <w:t>Thirunavukarasu</w:t>
      </w:r>
      <w:proofErr w:type="spellEnd"/>
      <w:r>
        <w:t xml:space="preserve">, D. S. J. Ting, K. Elangovan, L. Gutierrez, T. F. Tan, and D. S. W. Ting, “Large language models in medicine,” </w:t>
      </w:r>
      <w:r>
        <w:rPr>
          <w:i/>
          <w:iCs/>
        </w:rPr>
        <w:t>Nature Medicine</w:t>
      </w:r>
      <w:r>
        <w:t xml:space="preserve">, vol. 29, no. 8, pp. 1930–1940, 2023, </w:t>
      </w:r>
      <w:proofErr w:type="spellStart"/>
      <w:r>
        <w:t>doi</w:t>
      </w:r>
      <w:proofErr w:type="spellEnd"/>
      <w:r>
        <w:t xml:space="preserve">: </w:t>
      </w:r>
      <w:hyperlink r:id="rId14">
        <w:r>
          <w:rPr>
            <w:rStyle w:val="Hyperlink"/>
          </w:rPr>
          <w:t>10.1038/s41591-023-02448-8</w:t>
        </w:r>
      </w:hyperlink>
      <w:r>
        <w:t>.</w:t>
      </w:r>
    </w:p>
    <w:p w14:paraId="36B5F181" w14:textId="77777777" w:rsidR="00BE2473" w:rsidRDefault="00000000">
      <w:pPr>
        <w:pStyle w:val="Bibliography"/>
      </w:pPr>
      <w:bookmarkStart w:id="36" w:name="ref-Thirunavukarasu2023"/>
      <w:bookmarkEnd w:id="36"/>
      <w:r>
        <w:t xml:space="preserve">[8]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w:t>
      </w:r>
      <w:proofErr w:type="spellStart"/>
      <w:r>
        <w:t>doi</w:t>
      </w:r>
      <w:proofErr w:type="spellEnd"/>
      <w:r>
        <w:t xml:space="preserve">: </w:t>
      </w:r>
      <w:hyperlink r:id="rId15">
        <w:r>
          <w:rPr>
            <w:rStyle w:val="Hyperlink"/>
          </w:rPr>
          <w:t>10.1038/s41591-024-02855-5</w:t>
        </w:r>
      </w:hyperlink>
      <w:r>
        <w:t>.</w:t>
      </w:r>
    </w:p>
    <w:p w14:paraId="7CFEA260" w14:textId="77777777" w:rsidR="00BE2473" w:rsidRDefault="00000000">
      <w:pPr>
        <w:pStyle w:val="Bibliography"/>
      </w:pPr>
      <w:bookmarkStart w:id="37" w:name="ref-VanVeen2024"/>
      <w:bookmarkEnd w:id="37"/>
      <w:r>
        <w:t xml:space="preserve">[9] </w:t>
      </w:r>
      <w:r>
        <w:tab/>
        <w:t xml:space="preserve">C. Adams, “Opportunities and challenges in implementing large language models (LLMs) in oncology,” </w:t>
      </w:r>
      <w:r>
        <w:rPr>
          <w:i/>
          <w:iCs/>
        </w:rPr>
        <w:t>JCO Clinical Cancer Informatics</w:t>
      </w:r>
      <w:r>
        <w:t xml:space="preserve">, vol. 10, p. e2600031, 2026, </w:t>
      </w:r>
      <w:proofErr w:type="spellStart"/>
      <w:r>
        <w:t>doi</w:t>
      </w:r>
      <w:proofErr w:type="spellEnd"/>
      <w:r>
        <w:t xml:space="preserve">: </w:t>
      </w:r>
      <w:hyperlink r:id="rId16">
        <w:r>
          <w:rPr>
            <w:rStyle w:val="Hyperlink"/>
          </w:rPr>
          <w:t>10.1200/CCI-26-00031</w:t>
        </w:r>
      </w:hyperlink>
      <w:r>
        <w:t>.</w:t>
      </w:r>
    </w:p>
    <w:p w14:paraId="4FA825C6" w14:textId="77777777" w:rsidR="00BE2473" w:rsidRDefault="00000000">
      <w:pPr>
        <w:pStyle w:val="Bibliography"/>
      </w:pPr>
      <w:bookmarkStart w:id="38" w:name="ref-Adams2026"/>
      <w:bookmarkEnd w:id="38"/>
      <w:r>
        <w:t xml:space="preserve">[10] </w:t>
      </w:r>
      <w:r>
        <w:tab/>
        <w:t xml:space="preserve">U.S. Department of Health and Human Services, Office for Civil Rights, “Business associates.” </w:t>
      </w:r>
      <w:hyperlink r:id="rId17">
        <w:r>
          <w:rPr>
            <w:rStyle w:val="Hyperlink"/>
          </w:rPr>
          <w:t>https://www.hhs.gov/hipaa/for-professionals/privacy/guidance/business-associates/index.html</w:t>
        </w:r>
      </w:hyperlink>
      <w:r>
        <w:t>, 2026.</w:t>
      </w:r>
    </w:p>
    <w:p w14:paraId="00BE0229" w14:textId="77777777" w:rsidR="00BE2473" w:rsidRDefault="00000000">
      <w:pPr>
        <w:pStyle w:val="Bibliography"/>
      </w:pPr>
      <w:bookmarkStart w:id="39" w:name="ref-HHSBAA"/>
      <w:bookmarkEnd w:id="39"/>
      <w:r>
        <w:lastRenderedPageBreak/>
        <w:t xml:space="preserve">[11] </w:t>
      </w:r>
      <w:r>
        <w:tab/>
        <w:t xml:space="preserve">M. Marks and C. E. Haupt, “AI chatbots, health privacy, and challenges to HIPAA compliance,” </w:t>
      </w:r>
      <w:r>
        <w:rPr>
          <w:i/>
          <w:iCs/>
        </w:rPr>
        <w:t>JAMA</w:t>
      </w:r>
      <w:r>
        <w:t xml:space="preserve">, vol. 330, no. 4, pp. 309–310, 2023, </w:t>
      </w:r>
      <w:proofErr w:type="spellStart"/>
      <w:r>
        <w:t>doi</w:t>
      </w:r>
      <w:proofErr w:type="spellEnd"/>
      <w:r>
        <w:t xml:space="preserve">: </w:t>
      </w:r>
      <w:hyperlink r:id="rId18">
        <w:r>
          <w:rPr>
            <w:rStyle w:val="Hyperlink"/>
          </w:rPr>
          <w:t>10.1001/jama.2023.9458</w:t>
        </w:r>
      </w:hyperlink>
      <w:r>
        <w:t>.</w:t>
      </w:r>
    </w:p>
    <w:p w14:paraId="1465A195" w14:textId="77777777" w:rsidR="00BE2473" w:rsidRDefault="00000000">
      <w:pPr>
        <w:pStyle w:val="Bibliography"/>
      </w:pPr>
      <w:bookmarkStart w:id="40" w:name="ref-Marks2023HIPAAAI"/>
      <w:bookmarkEnd w:id="40"/>
      <w:r>
        <w:t xml:space="preserve">[12] </w:t>
      </w:r>
      <w:r>
        <w:tab/>
        <w:t xml:space="preserve">A. Kovačević, B. </w:t>
      </w:r>
      <w:proofErr w:type="spellStart"/>
      <w:r>
        <w:t>Bašaragin</w:t>
      </w:r>
      <w:proofErr w:type="spellEnd"/>
      <w:r>
        <w:t xml:space="preserve">, N. Milošević, and G. Nenadić, “De-identification of clinical free text using natural language processing: A systematic review of current approaches,” </w:t>
      </w:r>
      <w:r>
        <w:rPr>
          <w:i/>
          <w:iCs/>
        </w:rPr>
        <w:t>Artificial Intelligence in Medicine</w:t>
      </w:r>
      <w:r>
        <w:t xml:space="preserve">, vol. 151, p. 102845, 2024, </w:t>
      </w:r>
      <w:proofErr w:type="spellStart"/>
      <w:r>
        <w:t>doi</w:t>
      </w:r>
      <w:proofErr w:type="spellEnd"/>
      <w:r>
        <w:t xml:space="preserve">: </w:t>
      </w:r>
      <w:hyperlink r:id="rId19">
        <w:r>
          <w:rPr>
            <w:rStyle w:val="Hyperlink"/>
          </w:rPr>
          <w:t>10.1016/j.artmed.2024.102845</w:t>
        </w:r>
      </w:hyperlink>
      <w:r>
        <w:t>.</w:t>
      </w:r>
    </w:p>
    <w:p w14:paraId="19F49DEF" w14:textId="77777777" w:rsidR="00BE2473" w:rsidRDefault="00000000">
      <w:pPr>
        <w:pStyle w:val="Bibliography"/>
      </w:pPr>
      <w:bookmarkStart w:id="41" w:name="ref-Kovacevic2024DeID"/>
      <w:bookmarkEnd w:id="41"/>
      <w:r>
        <w:t xml:space="preserve">[13] </w:t>
      </w:r>
      <w:r>
        <w:tab/>
        <w:t>P. Zhang, G. Zeng, T. Wang, and W. Lu, “</w:t>
      </w:r>
      <w:proofErr w:type="spellStart"/>
      <w:r>
        <w:t>TinyLlama</w:t>
      </w:r>
      <w:proofErr w:type="spellEnd"/>
      <w:r>
        <w:t xml:space="preserve">: An open-source small language model,” </w:t>
      </w:r>
      <w:proofErr w:type="spellStart"/>
      <w:r>
        <w:rPr>
          <w:i/>
          <w:iCs/>
        </w:rPr>
        <w:t>arXiv</w:t>
      </w:r>
      <w:proofErr w:type="spellEnd"/>
      <w:r>
        <w:rPr>
          <w:i/>
          <w:iCs/>
        </w:rPr>
        <w:t xml:space="preserve"> preprint arXiv:2401.02385</w:t>
      </w:r>
      <w:r>
        <w:t>, 2024.</w:t>
      </w:r>
    </w:p>
    <w:p w14:paraId="585B9FC5" w14:textId="77777777" w:rsidR="00BE2473" w:rsidRDefault="00000000">
      <w:pPr>
        <w:pStyle w:val="Bibliography"/>
      </w:pPr>
      <w:bookmarkStart w:id="42" w:name="ref-Zhang2024TinyLlama"/>
      <w:bookmarkEnd w:id="42"/>
      <w:r>
        <w:t xml:space="preserve">[14] </w:t>
      </w:r>
      <w:r>
        <w:tab/>
        <w:t xml:space="preserve">Z. Liu </w:t>
      </w:r>
      <w:r>
        <w:rPr>
          <w:i/>
          <w:iCs/>
        </w:rPr>
        <w:t>et al.</w:t>
      </w:r>
      <w:r>
        <w:t>, “</w:t>
      </w:r>
      <w:proofErr w:type="spellStart"/>
      <w:r>
        <w:t>MobileLLM</w:t>
      </w:r>
      <w:proofErr w:type="spellEnd"/>
      <w:r>
        <w:t xml:space="preserve">: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4E0D24C4" w14:textId="77777777" w:rsidR="00BE2473" w:rsidRDefault="00000000">
      <w:pPr>
        <w:pStyle w:val="Bibliography"/>
      </w:pPr>
      <w:bookmarkStart w:id="43" w:name="ref-Liu2024Mobile"/>
      <w:bookmarkEnd w:id="43"/>
      <w:r>
        <w:t xml:space="preserve">[15] </w:t>
      </w:r>
      <w:r>
        <w:tab/>
        <w:t xml:space="preserve">U.S. Department of Health and Human Services, “Summary of the HIPAA security rule.” </w:t>
      </w:r>
      <w:hyperlink r:id="rId20">
        <w:r>
          <w:rPr>
            <w:rStyle w:val="Hyperlink"/>
          </w:rPr>
          <w:t>https://www.hhs.gov/hipaa/for-professionals/security/laws-regulations/index.html</w:t>
        </w:r>
      </w:hyperlink>
      <w:r>
        <w:t>, 2013.</w:t>
      </w:r>
    </w:p>
    <w:p w14:paraId="69484D6A" w14:textId="77777777" w:rsidR="00BE2473" w:rsidRDefault="00000000">
      <w:pPr>
        <w:pStyle w:val="Bibliography"/>
      </w:pPr>
      <w:bookmarkStart w:id="44" w:name="ref-HHS2013SecurityRule"/>
      <w:bookmarkEnd w:id="44"/>
      <w:r>
        <w:t xml:space="preserve">[16] </w:t>
      </w:r>
      <w:r>
        <w:tab/>
        <w:t xml:space="preserve">Y. Li, S. Bubeck, R. Eldan, A. Del Giorno, S. Gunasekar, and Y. T. Lee, “Textbooks are all you need II: Phi-1.5 technical report,” </w:t>
      </w:r>
      <w:proofErr w:type="spellStart"/>
      <w:r>
        <w:rPr>
          <w:i/>
          <w:iCs/>
        </w:rPr>
        <w:t>arXiv</w:t>
      </w:r>
      <w:proofErr w:type="spellEnd"/>
      <w:r>
        <w:rPr>
          <w:i/>
          <w:iCs/>
        </w:rPr>
        <w:t xml:space="preserve"> preprint arXiv:2309.05463</w:t>
      </w:r>
      <w:r>
        <w:t>, 2023.</w:t>
      </w:r>
    </w:p>
    <w:p w14:paraId="15CED006" w14:textId="77777777" w:rsidR="00BE2473" w:rsidRDefault="00000000">
      <w:pPr>
        <w:pStyle w:val="Bibliography"/>
      </w:pPr>
      <w:bookmarkStart w:id="45" w:name="ref-Li2023TextbooksII"/>
      <w:bookmarkEnd w:id="45"/>
      <w:r>
        <w:t xml:space="preserve">[17] </w:t>
      </w:r>
      <w:r>
        <w:tab/>
        <w:t xml:space="preserve">S. Bedi </w:t>
      </w:r>
      <w:r>
        <w:rPr>
          <w:i/>
          <w:iCs/>
        </w:rPr>
        <w:t>et al.</w:t>
      </w:r>
      <w:r>
        <w:t xml:space="preserve">, “Testing and evaluation of health care applications of large language models: A systematic review,” </w:t>
      </w:r>
      <w:r>
        <w:rPr>
          <w:i/>
          <w:iCs/>
        </w:rPr>
        <w:t>JAMA</w:t>
      </w:r>
      <w:r>
        <w:t xml:space="preserve">, vol. 333, no. 4, pp. 319–328, 2025, </w:t>
      </w:r>
      <w:proofErr w:type="spellStart"/>
      <w:r>
        <w:t>doi</w:t>
      </w:r>
      <w:proofErr w:type="spellEnd"/>
      <w:r>
        <w:t xml:space="preserve">: </w:t>
      </w:r>
      <w:hyperlink r:id="rId21">
        <w:r>
          <w:rPr>
            <w:rStyle w:val="Hyperlink"/>
          </w:rPr>
          <w:t>10.1001/jama.2024.21700</w:t>
        </w:r>
      </w:hyperlink>
      <w:r>
        <w:t>.</w:t>
      </w:r>
    </w:p>
    <w:p w14:paraId="3A0F3AF7" w14:textId="77777777" w:rsidR="00BE2473" w:rsidRDefault="00000000">
      <w:pPr>
        <w:pStyle w:val="Bibliography"/>
      </w:pPr>
      <w:bookmarkStart w:id="46" w:name="ref-Bedi2025"/>
      <w:bookmarkEnd w:id="46"/>
      <w:r>
        <w:t xml:space="preserve">[18] </w:t>
      </w:r>
      <w:r>
        <w:tab/>
        <w:t xml:space="preserve">D. L. Goodhue and R. L. Thompson, “Task-technology fit and individual performance,” </w:t>
      </w:r>
      <w:r>
        <w:rPr>
          <w:i/>
          <w:iCs/>
        </w:rPr>
        <w:t>MIS Quarterly</w:t>
      </w:r>
      <w:r>
        <w:t xml:space="preserve">, vol. 19, no. 2, pp. 213–236, 1995, </w:t>
      </w:r>
      <w:proofErr w:type="spellStart"/>
      <w:r>
        <w:t>doi</w:t>
      </w:r>
      <w:proofErr w:type="spellEnd"/>
      <w:r>
        <w:t xml:space="preserve">: </w:t>
      </w:r>
      <w:hyperlink r:id="rId22">
        <w:r>
          <w:rPr>
            <w:rStyle w:val="Hyperlink"/>
          </w:rPr>
          <w:t>10.2307/249689</w:t>
        </w:r>
      </w:hyperlink>
      <w:r>
        <w:t>.</w:t>
      </w:r>
    </w:p>
    <w:p w14:paraId="7555E5D3" w14:textId="77777777" w:rsidR="00BE2473" w:rsidRDefault="00000000">
      <w:pPr>
        <w:pStyle w:val="Bibliography"/>
      </w:pPr>
      <w:bookmarkStart w:id="47" w:name="ref-Goodhue1995"/>
      <w:bookmarkEnd w:id="47"/>
      <w:r>
        <w:t xml:space="preserve">[19] </w:t>
      </w:r>
      <w:r>
        <w:tab/>
        <w:t xml:space="preserve">I. </w:t>
      </w:r>
      <w:proofErr w:type="spellStart"/>
      <w:r>
        <w:t>Zigurs</w:t>
      </w:r>
      <w:proofErr w:type="spellEnd"/>
      <w:r>
        <w:t xml:space="preserve"> and B. K. Buckland, “A theory of task/technology fit and group support systems effectiveness,” </w:t>
      </w:r>
      <w:r>
        <w:rPr>
          <w:i/>
          <w:iCs/>
        </w:rPr>
        <w:t>MIS Quarterly</w:t>
      </w:r>
      <w:r>
        <w:t xml:space="preserve">, vol. 22, no. 3, pp. 313–334, 1998, </w:t>
      </w:r>
      <w:proofErr w:type="spellStart"/>
      <w:r>
        <w:t>doi</w:t>
      </w:r>
      <w:proofErr w:type="spellEnd"/>
      <w:r>
        <w:t xml:space="preserve">: </w:t>
      </w:r>
      <w:hyperlink r:id="rId23">
        <w:r>
          <w:rPr>
            <w:rStyle w:val="Hyperlink"/>
          </w:rPr>
          <w:t>10.2307/249668</w:t>
        </w:r>
      </w:hyperlink>
      <w:r>
        <w:t>.</w:t>
      </w:r>
    </w:p>
    <w:p w14:paraId="7B5ED685" w14:textId="77777777" w:rsidR="00BE2473" w:rsidRDefault="00000000">
      <w:pPr>
        <w:pStyle w:val="Bibliography"/>
      </w:pPr>
      <w:bookmarkStart w:id="48" w:name="ref-Zigurs1998"/>
      <w:bookmarkEnd w:id="48"/>
      <w:r>
        <w:t xml:space="preserve">[20] </w:t>
      </w:r>
      <w:r>
        <w:tab/>
        <w:t xml:space="preserve">I. Ong </w:t>
      </w:r>
      <w:r>
        <w:rPr>
          <w:i/>
          <w:iCs/>
        </w:rPr>
        <w:t>et al.</w:t>
      </w:r>
      <w:r>
        <w:t>, “</w:t>
      </w:r>
      <w:proofErr w:type="spellStart"/>
      <w:r>
        <w:t>RouteLLM</w:t>
      </w:r>
      <w:proofErr w:type="spellEnd"/>
      <w:r>
        <w:t xml:space="preserve">: Learning to route LLMs from preference data,” in </w:t>
      </w:r>
      <w:proofErr w:type="gramStart"/>
      <w:r>
        <w:rPr>
          <w:i/>
          <w:iCs/>
        </w:rPr>
        <w:t>The</w:t>
      </w:r>
      <w:proofErr w:type="gramEnd"/>
      <w:r>
        <w:rPr>
          <w:i/>
          <w:iCs/>
        </w:rPr>
        <w:t xml:space="preserve"> thirteenth international conference on learning representations (ICLR)</w:t>
      </w:r>
      <w:r>
        <w:t>, 2025.</w:t>
      </w:r>
    </w:p>
    <w:p w14:paraId="0058AABA" w14:textId="77777777" w:rsidR="00BE2473" w:rsidRDefault="00000000">
      <w:pPr>
        <w:pStyle w:val="Bibliography"/>
      </w:pPr>
      <w:bookmarkStart w:id="49" w:name="ref-Ong2025RouteLLM"/>
      <w:bookmarkEnd w:id="49"/>
      <w:r>
        <w:t xml:space="preserve">[21] </w:t>
      </w:r>
      <w:r>
        <w:tab/>
        <w:t xml:space="preserve">D. Ding </w:t>
      </w:r>
      <w:r>
        <w:rPr>
          <w:i/>
          <w:iCs/>
        </w:rPr>
        <w:t>et al.</w:t>
      </w:r>
      <w:r>
        <w:t xml:space="preserve">, “Hybrid LLM: Cost-efficient and quality-aware query routing,” in </w:t>
      </w:r>
      <w:proofErr w:type="gramStart"/>
      <w:r>
        <w:rPr>
          <w:i/>
          <w:iCs/>
        </w:rPr>
        <w:t>The</w:t>
      </w:r>
      <w:proofErr w:type="gramEnd"/>
      <w:r>
        <w:rPr>
          <w:i/>
          <w:iCs/>
        </w:rPr>
        <w:t xml:space="preserve"> twelfth international conference on learning representations (ICLR)</w:t>
      </w:r>
      <w:r>
        <w:t>, 2024.</w:t>
      </w:r>
    </w:p>
    <w:p w14:paraId="649A3F2A" w14:textId="77777777" w:rsidR="00BE2473" w:rsidRDefault="00000000">
      <w:pPr>
        <w:pStyle w:val="Bibliography"/>
      </w:pPr>
      <w:bookmarkStart w:id="50" w:name="ref-Ding2024HybridLLM"/>
      <w:bookmarkEnd w:id="50"/>
      <w:r>
        <w:t xml:space="preserve">[22] </w:t>
      </w:r>
      <w:r>
        <w:tab/>
        <w:t>L. Chen, M. Zaharia, and J. Zou, “</w:t>
      </w:r>
      <w:proofErr w:type="spellStart"/>
      <w:r>
        <w:t>FrugalGPT</w:t>
      </w:r>
      <w:proofErr w:type="spellEnd"/>
      <w:r>
        <w:t xml:space="preserve">: How to use large language models while reducing cost and improving performance,” </w:t>
      </w:r>
      <w:r>
        <w:rPr>
          <w:i/>
          <w:iCs/>
        </w:rPr>
        <w:t>Transactions on Machine Learning Research</w:t>
      </w:r>
      <w:r>
        <w:t>, 2024.</w:t>
      </w:r>
    </w:p>
    <w:p w14:paraId="0C7624CD" w14:textId="77777777" w:rsidR="00BE2473" w:rsidRDefault="00000000">
      <w:pPr>
        <w:pStyle w:val="Bibliography"/>
      </w:pPr>
      <w:bookmarkStart w:id="51" w:name="ref-Chen2024FrugalGPT"/>
      <w:bookmarkEnd w:id="51"/>
      <w:r>
        <w:t xml:space="preserve">[23]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w:t>
      </w:r>
      <w:proofErr w:type="spellStart"/>
      <w:r>
        <w:t>doi</w:t>
      </w:r>
      <w:proofErr w:type="spellEnd"/>
      <w:r>
        <w:t xml:space="preserve">: </w:t>
      </w:r>
      <w:hyperlink r:id="rId24">
        <w:r>
          <w:rPr>
            <w:rStyle w:val="Hyperlink"/>
          </w:rPr>
          <w:t>10.1136/bmj-2023-078378</w:t>
        </w:r>
      </w:hyperlink>
      <w:r>
        <w:t>.</w:t>
      </w:r>
    </w:p>
    <w:p w14:paraId="2B6E759C" w14:textId="77777777" w:rsidR="00BE2473" w:rsidRDefault="00000000">
      <w:pPr>
        <w:pStyle w:val="Bibliography"/>
      </w:pPr>
      <w:bookmarkStart w:id="52" w:name="ref-Collins2024TRIPODAI"/>
      <w:bookmarkEnd w:id="52"/>
      <w:r>
        <w:t xml:space="preserve">[24] </w:t>
      </w:r>
      <w:r>
        <w:tab/>
        <w:t xml:space="preserve">X. Liu, S. Cruz Rivera, D. Moher, M. J. Calvert, A. K. Denniston, and </w:t>
      </w:r>
      <w:proofErr w:type="gramStart"/>
      <w:r>
        <w:t>The</w:t>
      </w:r>
      <w:proofErr w:type="gramEnd"/>
      <w:r>
        <w:t xml:space="preserve"> SPIRIT-AI and CONSORT-AI Working Group, “Reporting guidelines for clinical trial reports for </w:t>
      </w:r>
      <w:r>
        <w:lastRenderedPageBreak/>
        <w:t xml:space="preserve">interventions involving artificial intelligence: The CONSORT-AI extension,” </w:t>
      </w:r>
      <w:r>
        <w:rPr>
          <w:i/>
          <w:iCs/>
        </w:rPr>
        <w:t>Nature Medicine</w:t>
      </w:r>
      <w:r>
        <w:t xml:space="preserve">, vol. 26, pp. 1364–1374, 2020, </w:t>
      </w:r>
      <w:proofErr w:type="spellStart"/>
      <w:r>
        <w:t>doi</w:t>
      </w:r>
      <w:proofErr w:type="spellEnd"/>
      <w:r>
        <w:t xml:space="preserve">: </w:t>
      </w:r>
      <w:hyperlink r:id="rId25">
        <w:r>
          <w:rPr>
            <w:rStyle w:val="Hyperlink"/>
          </w:rPr>
          <w:t>10.1038/s41591-020-1034-x</w:t>
        </w:r>
      </w:hyperlink>
      <w:r>
        <w:t>.</w:t>
      </w:r>
    </w:p>
    <w:p w14:paraId="47A2B0CC" w14:textId="77777777" w:rsidR="00BE2473" w:rsidRDefault="00000000">
      <w:pPr>
        <w:pStyle w:val="Bibliography"/>
      </w:pPr>
      <w:bookmarkStart w:id="53" w:name="ref-Liu2020CONSORTAI"/>
      <w:bookmarkEnd w:id="53"/>
      <w:r>
        <w:t xml:space="preserve">[25]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476554C1" w14:textId="77777777" w:rsidR="00BE2473" w:rsidRDefault="00000000">
      <w:pPr>
        <w:pStyle w:val="Bibliography"/>
      </w:pPr>
      <w:bookmarkStart w:id="54" w:name="ref-Wei2022"/>
      <w:bookmarkEnd w:id="54"/>
      <w:r>
        <w:t xml:space="preserve">[26] </w:t>
      </w:r>
      <w:r>
        <w:tab/>
        <w:t xml:space="preserve">V. Liévin, C. E. Hother, A. G. Motzfeldt, and O. Winther, “Can large language models reason about medical questions?” </w:t>
      </w:r>
      <w:r>
        <w:rPr>
          <w:i/>
          <w:iCs/>
        </w:rPr>
        <w:t>Patterns</w:t>
      </w:r>
      <w:r>
        <w:t xml:space="preserve">, vol. 5, no. 3, p. 100943, 2024, </w:t>
      </w:r>
      <w:proofErr w:type="spellStart"/>
      <w:r>
        <w:t>doi</w:t>
      </w:r>
      <w:proofErr w:type="spellEnd"/>
      <w:r>
        <w:t xml:space="preserve">: </w:t>
      </w:r>
      <w:hyperlink r:id="rId26">
        <w:r>
          <w:rPr>
            <w:rStyle w:val="Hyperlink"/>
          </w:rPr>
          <w:t>10.1016/j.patter.2024.100943</w:t>
        </w:r>
      </w:hyperlink>
      <w:r>
        <w:t>.</w:t>
      </w:r>
    </w:p>
    <w:p w14:paraId="1571575E" w14:textId="77777777" w:rsidR="00BE2473" w:rsidRDefault="00000000">
      <w:pPr>
        <w:pStyle w:val="Bibliography"/>
      </w:pPr>
      <w:bookmarkStart w:id="55" w:name="ref-Lievin2024"/>
      <w:bookmarkEnd w:id="55"/>
      <w:r>
        <w:t xml:space="preserve">[27]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3831702A" w14:textId="77777777" w:rsidR="00BE2473" w:rsidRDefault="00000000">
      <w:pPr>
        <w:pStyle w:val="Bibliography"/>
      </w:pPr>
      <w:bookmarkStart w:id="56" w:name="ref-Lewis2020"/>
      <w:bookmarkEnd w:id="56"/>
      <w:r>
        <w:t xml:space="preserve">[28] </w:t>
      </w:r>
      <w:r>
        <w:tab/>
        <w:t xml:space="preserve">A. Mallen, A. Asai, V. Zhong, R. Das, D. </w:t>
      </w:r>
      <w:proofErr w:type="spellStart"/>
      <w:r>
        <w:t>Khashabi</w:t>
      </w:r>
      <w:proofErr w:type="spellEnd"/>
      <w:r>
        <w:t xml:space="preserve">,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w:t>
      </w:r>
      <w:proofErr w:type="spellStart"/>
      <w:r>
        <w:t>doi</w:t>
      </w:r>
      <w:proofErr w:type="spellEnd"/>
      <w:r>
        <w:t xml:space="preserve">: </w:t>
      </w:r>
      <w:hyperlink r:id="rId27">
        <w:r>
          <w:rPr>
            <w:rStyle w:val="Hyperlink"/>
          </w:rPr>
          <w:t>10.18653/v1/2023.acl-long.546</w:t>
        </w:r>
      </w:hyperlink>
      <w:r>
        <w:t>.</w:t>
      </w:r>
    </w:p>
    <w:p w14:paraId="5BA8CBE1" w14:textId="77777777" w:rsidR="00BE2473" w:rsidRDefault="00000000">
      <w:pPr>
        <w:pStyle w:val="Bibliography"/>
      </w:pPr>
      <w:bookmarkStart w:id="57" w:name="ref-Mallen2023"/>
      <w:bookmarkEnd w:id="57"/>
      <w:r>
        <w:t xml:space="preserve">[29] </w:t>
      </w:r>
      <w:r>
        <w:tab/>
        <w:t xml:space="preserve">S. Bubeck </w:t>
      </w:r>
      <w:r>
        <w:rPr>
          <w:i/>
          <w:iCs/>
        </w:rPr>
        <w:t>et al.</w:t>
      </w:r>
      <w:r>
        <w:t xml:space="preserve">, “Sparks of artificial general intelligence: Early experiments with GPT-4,” </w:t>
      </w:r>
      <w:proofErr w:type="spellStart"/>
      <w:r>
        <w:rPr>
          <w:i/>
          <w:iCs/>
        </w:rPr>
        <w:t>arXiv</w:t>
      </w:r>
      <w:proofErr w:type="spellEnd"/>
      <w:r>
        <w:rPr>
          <w:i/>
          <w:iCs/>
        </w:rPr>
        <w:t xml:space="preserve"> preprint arXiv:2303.12712</w:t>
      </w:r>
      <w:r>
        <w:t>, 2023.</w:t>
      </w:r>
    </w:p>
    <w:p w14:paraId="75A261A8" w14:textId="77777777" w:rsidR="00BE2473" w:rsidRDefault="00000000">
      <w:pPr>
        <w:pStyle w:val="Bibliography"/>
      </w:pPr>
      <w:bookmarkStart w:id="58" w:name="ref-Bubeck2023"/>
      <w:bookmarkEnd w:id="58"/>
      <w:r>
        <w:t xml:space="preserve">[30] </w:t>
      </w:r>
      <w:r>
        <w:tab/>
        <w:t xml:space="preserve">T. Dettmers </w:t>
      </w:r>
      <w:r>
        <w:rPr>
          <w:i/>
          <w:iCs/>
        </w:rPr>
        <w:t>et al.</w:t>
      </w:r>
      <w:r>
        <w:t>, “</w:t>
      </w:r>
      <w:proofErr w:type="spellStart"/>
      <w:r>
        <w:t>SpQR</w:t>
      </w:r>
      <w:proofErr w:type="spellEnd"/>
      <w:r>
        <w:t xml:space="preserve">: A sparse-quantized representation for near-lossless LLM weight compression,” in </w:t>
      </w:r>
      <w:proofErr w:type="gramStart"/>
      <w:r>
        <w:rPr>
          <w:i/>
          <w:iCs/>
        </w:rPr>
        <w:t>International</w:t>
      </w:r>
      <w:proofErr w:type="gramEnd"/>
      <w:r>
        <w:rPr>
          <w:i/>
          <w:iCs/>
        </w:rPr>
        <w:t xml:space="preserve"> conference on learning representations (ICLR)</w:t>
      </w:r>
      <w:r>
        <w:t>, 2024.</w:t>
      </w:r>
    </w:p>
    <w:p w14:paraId="718971F3" w14:textId="77777777" w:rsidR="00BE2473" w:rsidRDefault="00000000">
      <w:pPr>
        <w:pStyle w:val="Bibliography"/>
      </w:pPr>
      <w:bookmarkStart w:id="59" w:name="ref-Dettmers2024"/>
      <w:bookmarkEnd w:id="59"/>
      <w:r>
        <w:t xml:space="preserve">[31] </w:t>
      </w:r>
      <w:r>
        <w:tab/>
        <w:t xml:space="preserve">R. B. Miller, “Response time in man-computer conversational transactions,” in </w:t>
      </w:r>
      <w:r>
        <w:rPr>
          <w:i/>
          <w:iCs/>
        </w:rPr>
        <w:t xml:space="preserve">Proceedings of the </w:t>
      </w:r>
      <w:proofErr w:type="spellStart"/>
      <w:r>
        <w:rPr>
          <w:i/>
          <w:iCs/>
        </w:rPr>
        <w:t>december</w:t>
      </w:r>
      <w:proofErr w:type="spellEnd"/>
      <w:r>
        <w:rPr>
          <w:i/>
          <w:iCs/>
        </w:rPr>
        <w:t xml:space="preserve"> 9–11, 1968, fall joint computer conference, part I</w:t>
      </w:r>
      <w:r>
        <w:t xml:space="preserve">, 1968, pp. 267–277. </w:t>
      </w:r>
      <w:proofErr w:type="spellStart"/>
      <w:r>
        <w:t>doi</w:t>
      </w:r>
      <w:proofErr w:type="spellEnd"/>
      <w:r>
        <w:t xml:space="preserve">: </w:t>
      </w:r>
      <w:hyperlink r:id="rId28">
        <w:r>
          <w:rPr>
            <w:rStyle w:val="Hyperlink"/>
          </w:rPr>
          <w:t>10.1145/1476589.1476628</w:t>
        </w:r>
      </w:hyperlink>
      <w:r>
        <w:t>.</w:t>
      </w:r>
    </w:p>
    <w:p w14:paraId="40E56426" w14:textId="77777777" w:rsidR="00BE2473" w:rsidRDefault="00000000">
      <w:pPr>
        <w:pStyle w:val="Bibliography"/>
      </w:pPr>
      <w:bookmarkStart w:id="60" w:name="ref-Miller1968"/>
      <w:bookmarkEnd w:id="60"/>
      <w:r>
        <w:t xml:space="preserve">[32] </w:t>
      </w:r>
      <w:r>
        <w:tab/>
        <w:t xml:space="preserve">J. Nielsen, </w:t>
      </w:r>
      <w:r>
        <w:rPr>
          <w:i/>
          <w:iCs/>
        </w:rPr>
        <w:t>Usability engineering</w:t>
      </w:r>
      <w:r>
        <w:t>. Boston, MA: Academic Press, 1993.</w:t>
      </w:r>
    </w:p>
    <w:p w14:paraId="3B3FDCCC" w14:textId="77777777" w:rsidR="00BE2473" w:rsidRDefault="00000000">
      <w:pPr>
        <w:pStyle w:val="Bibliography"/>
      </w:pPr>
      <w:bookmarkStart w:id="61" w:name="ref-Nielsen1993"/>
      <w:bookmarkEnd w:id="61"/>
      <w:r>
        <w:t xml:space="preserve">[33] </w:t>
      </w:r>
      <w:r>
        <w:tab/>
        <w:t xml:space="preserve">D. Kahneman and A. Tversky, “Prospect theory: An analysis of decision under risk,” </w:t>
      </w:r>
      <w:proofErr w:type="spellStart"/>
      <w:r>
        <w:rPr>
          <w:i/>
          <w:iCs/>
        </w:rPr>
        <w:t>Econometrica</w:t>
      </w:r>
      <w:proofErr w:type="spellEnd"/>
      <w:r>
        <w:t xml:space="preserve">, vol. 47, no. 2, pp. 263–291, 1979, </w:t>
      </w:r>
      <w:proofErr w:type="spellStart"/>
      <w:r>
        <w:t>doi</w:t>
      </w:r>
      <w:proofErr w:type="spellEnd"/>
      <w:r>
        <w:t xml:space="preserve">: </w:t>
      </w:r>
      <w:hyperlink r:id="rId29">
        <w:r>
          <w:rPr>
            <w:rStyle w:val="Hyperlink"/>
          </w:rPr>
          <w:t>10.2307/1914185</w:t>
        </w:r>
      </w:hyperlink>
      <w:r>
        <w:t>.</w:t>
      </w:r>
    </w:p>
    <w:p w14:paraId="1C065388" w14:textId="77777777" w:rsidR="00BE2473" w:rsidRDefault="00000000">
      <w:pPr>
        <w:pStyle w:val="Bibliography"/>
      </w:pPr>
      <w:bookmarkStart w:id="62" w:name="ref-Kahneman1979"/>
      <w:bookmarkEnd w:id="62"/>
      <w:r>
        <w:t xml:space="preserve">[34] </w:t>
      </w:r>
      <w:r>
        <w:tab/>
        <w:t xml:space="preserve">A. Tversky and D. Kahneman, “Loss aversion in riskless choice: A reference-dependent model,” </w:t>
      </w:r>
      <w:r>
        <w:rPr>
          <w:i/>
          <w:iCs/>
        </w:rPr>
        <w:t>The Quarterly Journal of Economics</w:t>
      </w:r>
      <w:r>
        <w:t xml:space="preserve">, vol. 106, no. 4, pp. 1039–1061, 1991, </w:t>
      </w:r>
      <w:proofErr w:type="spellStart"/>
      <w:r>
        <w:t>doi</w:t>
      </w:r>
      <w:proofErr w:type="spellEnd"/>
      <w:r>
        <w:t xml:space="preserve">: </w:t>
      </w:r>
      <w:hyperlink r:id="rId30">
        <w:r>
          <w:rPr>
            <w:rStyle w:val="Hyperlink"/>
          </w:rPr>
          <w:t>10.2307/2937956</w:t>
        </w:r>
      </w:hyperlink>
      <w:r>
        <w:t>.</w:t>
      </w:r>
    </w:p>
    <w:p w14:paraId="39BF3E95" w14:textId="77777777" w:rsidR="00BE2473" w:rsidRDefault="00000000">
      <w:pPr>
        <w:pStyle w:val="Bibliography"/>
      </w:pPr>
      <w:bookmarkStart w:id="63" w:name="ref-Tversky1991"/>
      <w:bookmarkEnd w:id="63"/>
      <w:r>
        <w:t xml:space="preserve">[35] </w:t>
      </w:r>
      <w:r>
        <w:tab/>
        <w:t xml:space="preserve">J. Brutlag, “Speed matters for Google web search.” Google, Inc., research note, June 22, 2009. </w:t>
      </w:r>
      <w:hyperlink r:id="rId31">
        <w:r>
          <w:rPr>
            <w:rStyle w:val="Hyperlink"/>
          </w:rPr>
          <w:t>https://services.google.com/fh/files/blogs/google_delayexp.pdf</w:t>
        </w:r>
      </w:hyperlink>
      <w:r>
        <w:t>, 2009.</w:t>
      </w:r>
    </w:p>
    <w:p w14:paraId="78D09A1D" w14:textId="77777777" w:rsidR="00BE2473" w:rsidRDefault="00000000">
      <w:pPr>
        <w:pStyle w:val="Bibliography"/>
      </w:pPr>
      <w:bookmarkStart w:id="64" w:name="ref-Brutlag2009"/>
      <w:bookmarkEnd w:id="64"/>
      <w:r>
        <w:t xml:space="preserve">[36] </w:t>
      </w:r>
      <w:r>
        <w:tab/>
        <w:t xml:space="preserve">L. </w:t>
      </w:r>
      <w:proofErr w:type="spellStart"/>
      <w:r>
        <w:t>Builtjes</w:t>
      </w:r>
      <w:proofErr w:type="spellEnd"/>
      <w:r>
        <w:t xml:space="preserve">, J. Bosma, M. Prokop, B. van Ginneken, and A. Hering, “Leveraging open-source large language models for clinical information extraction in resource-constrained settings,” </w:t>
      </w:r>
      <w:r>
        <w:rPr>
          <w:i/>
          <w:iCs/>
        </w:rPr>
        <w:t>JAMIA Open</w:t>
      </w:r>
      <w:r>
        <w:t xml:space="preserve">, vol. 8, no. 5, p. ooaf109, 2025, </w:t>
      </w:r>
      <w:proofErr w:type="spellStart"/>
      <w:r>
        <w:t>doi</w:t>
      </w:r>
      <w:proofErr w:type="spellEnd"/>
      <w:r>
        <w:t xml:space="preserve">: </w:t>
      </w:r>
      <w:hyperlink r:id="rId32">
        <w:r>
          <w:rPr>
            <w:rStyle w:val="Hyperlink"/>
          </w:rPr>
          <w:t>10.1093/</w:t>
        </w:r>
        <w:proofErr w:type="spellStart"/>
        <w:r>
          <w:rPr>
            <w:rStyle w:val="Hyperlink"/>
          </w:rPr>
          <w:t>jamiaopen</w:t>
        </w:r>
        <w:proofErr w:type="spellEnd"/>
        <w:r>
          <w:rPr>
            <w:rStyle w:val="Hyperlink"/>
          </w:rPr>
          <w:t>/ooaf109</w:t>
        </w:r>
      </w:hyperlink>
      <w:r>
        <w:t>.</w:t>
      </w:r>
    </w:p>
    <w:p w14:paraId="75B54F61" w14:textId="77777777" w:rsidR="00BE2473" w:rsidRDefault="00000000">
      <w:pPr>
        <w:pStyle w:val="Bibliography"/>
      </w:pPr>
      <w:bookmarkStart w:id="65" w:name="ref-Builtjes2025"/>
      <w:bookmarkEnd w:id="65"/>
      <w:r>
        <w:t xml:space="preserve">[37] </w:t>
      </w:r>
      <w:r>
        <w:tab/>
        <w:t xml:space="preserve">J. Kaplan </w:t>
      </w:r>
      <w:r>
        <w:rPr>
          <w:i/>
          <w:iCs/>
        </w:rPr>
        <w:t>et al.</w:t>
      </w:r>
      <w:r>
        <w:t xml:space="preserve">, “Scaling laws for neural language models,” </w:t>
      </w:r>
      <w:proofErr w:type="spellStart"/>
      <w:r>
        <w:rPr>
          <w:i/>
          <w:iCs/>
        </w:rPr>
        <w:t>arXiv</w:t>
      </w:r>
      <w:proofErr w:type="spellEnd"/>
      <w:r>
        <w:rPr>
          <w:i/>
          <w:iCs/>
        </w:rPr>
        <w:t xml:space="preserve"> preprint arXiv:2001.08361</w:t>
      </w:r>
      <w:r>
        <w:t>, 2020.</w:t>
      </w:r>
    </w:p>
    <w:p w14:paraId="47B33E63" w14:textId="77777777" w:rsidR="00BE2473" w:rsidRDefault="00000000">
      <w:pPr>
        <w:pStyle w:val="Bibliography"/>
      </w:pPr>
      <w:bookmarkStart w:id="66" w:name="ref-Kaplan2020"/>
      <w:bookmarkEnd w:id="66"/>
      <w:r>
        <w:t xml:space="preserve">[38] </w:t>
      </w:r>
      <w:r>
        <w:tab/>
        <w:t xml:space="preserve">Z. Allen-Zhu and Y. Li, “Physics of language models: Part 3.3, knowledge capacity scaling laws,” </w:t>
      </w:r>
      <w:proofErr w:type="spellStart"/>
      <w:r>
        <w:rPr>
          <w:i/>
          <w:iCs/>
        </w:rPr>
        <w:t>arXiv</w:t>
      </w:r>
      <w:proofErr w:type="spellEnd"/>
      <w:r>
        <w:rPr>
          <w:i/>
          <w:iCs/>
        </w:rPr>
        <w:t xml:space="preserve"> preprint arXiv:2404.05405</w:t>
      </w:r>
      <w:r>
        <w:t>, 2024.</w:t>
      </w:r>
    </w:p>
    <w:p w14:paraId="426D496F" w14:textId="77777777" w:rsidR="00BE2473" w:rsidRDefault="00000000">
      <w:pPr>
        <w:pStyle w:val="Bibliography"/>
      </w:pPr>
      <w:bookmarkStart w:id="67" w:name="ref-AllenZhu2024"/>
      <w:bookmarkEnd w:id="67"/>
      <w:r>
        <w:lastRenderedPageBreak/>
        <w:t xml:space="preserve">[39] </w:t>
      </w:r>
      <w:r>
        <w:tab/>
        <w:t xml:space="preserve">N. </w:t>
      </w:r>
      <w:proofErr w:type="spellStart"/>
      <w:r>
        <w:t>Dziri</w:t>
      </w:r>
      <w:proofErr w:type="spellEnd"/>
      <w:r>
        <w:t xml:space="preserve"> </w:t>
      </w:r>
      <w:r>
        <w:rPr>
          <w:i/>
          <w:iCs/>
        </w:rPr>
        <w:t>et al.</w:t>
      </w:r>
      <w:r>
        <w:t xml:space="preserve">, “Faith and fate: Limits of transformers on compositionality,” in </w:t>
      </w:r>
      <w:r>
        <w:rPr>
          <w:i/>
          <w:iCs/>
        </w:rPr>
        <w:t>Advances in neural information processing systems</w:t>
      </w:r>
      <w:r>
        <w:t>, 2023, pp. 70293–70332.</w:t>
      </w:r>
    </w:p>
    <w:p w14:paraId="75A70F9F" w14:textId="77777777" w:rsidR="00BE2473" w:rsidRDefault="00000000">
      <w:pPr>
        <w:pStyle w:val="Bibliography"/>
      </w:pPr>
      <w:bookmarkStart w:id="68" w:name="ref-Dziri2023"/>
      <w:bookmarkEnd w:id="68"/>
      <w:r>
        <w:t xml:space="preserve">[40] </w:t>
      </w:r>
      <w:r>
        <w:tab/>
        <w:t xml:space="preserve">C. Wu </w:t>
      </w:r>
      <w:r>
        <w:rPr>
          <w:i/>
          <w:iCs/>
        </w:rPr>
        <w:t>et al.</w:t>
      </w:r>
      <w:r>
        <w:t xml:space="preserve">, “Towards evaluating and building versatile large language models for medicine,” </w:t>
      </w:r>
      <w:proofErr w:type="spellStart"/>
      <w:r>
        <w:rPr>
          <w:i/>
          <w:iCs/>
        </w:rPr>
        <w:t>npj</w:t>
      </w:r>
      <w:proofErr w:type="spellEnd"/>
      <w:r>
        <w:rPr>
          <w:i/>
          <w:iCs/>
        </w:rPr>
        <w:t xml:space="preserve"> Digital Medicine</w:t>
      </w:r>
      <w:r>
        <w:t xml:space="preserve">, vol. 8, no. 1, p. 58, 2025, </w:t>
      </w:r>
      <w:proofErr w:type="spellStart"/>
      <w:r>
        <w:t>doi</w:t>
      </w:r>
      <w:proofErr w:type="spellEnd"/>
      <w:r>
        <w:t xml:space="preserve">: </w:t>
      </w:r>
      <w:hyperlink r:id="rId33">
        <w:r>
          <w:rPr>
            <w:rStyle w:val="Hyperlink"/>
          </w:rPr>
          <w:t>10.1038/s41746-024-01390-4</w:t>
        </w:r>
      </w:hyperlink>
      <w:r>
        <w:t>.</w:t>
      </w:r>
    </w:p>
    <w:p w14:paraId="250F40F9" w14:textId="77777777" w:rsidR="00BE2473" w:rsidRDefault="00000000">
      <w:pPr>
        <w:pStyle w:val="Bibliography"/>
      </w:pPr>
      <w:bookmarkStart w:id="69" w:name="ref-Wu2025MedS"/>
      <w:bookmarkEnd w:id="69"/>
      <w:r>
        <w:t xml:space="preserve">[41] </w:t>
      </w:r>
      <w:r>
        <w:tab/>
        <w:t xml:space="preserve">A. H. Bowker, “A test for symmetry in contingency tables,” </w:t>
      </w:r>
      <w:r>
        <w:rPr>
          <w:i/>
          <w:iCs/>
        </w:rPr>
        <w:t>Journal of the American Statistical Association</w:t>
      </w:r>
      <w:r>
        <w:t xml:space="preserve">, vol. 43, no. 244, pp. 572–574, 1948, </w:t>
      </w:r>
      <w:proofErr w:type="spellStart"/>
      <w:r>
        <w:t>doi</w:t>
      </w:r>
      <w:proofErr w:type="spellEnd"/>
      <w:r>
        <w:t xml:space="preserve">: </w:t>
      </w:r>
      <w:hyperlink r:id="rId34">
        <w:r>
          <w:rPr>
            <w:rStyle w:val="Hyperlink"/>
          </w:rPr>
          <w:t>10.1080/01621459.1948.10483284</w:t>
        </w:r>
      </w:hyperlink>
      <w:r>
        <w:t>.</w:t>
      </w:r>
    </w:p>
    <w:p w14:paraId="553C4DD3" w14:textId="77777777" w:rsidR="00BE2473" w:rsidRDefault="00000000">
      <w:pPr>
        <w:pStyle w:val="Bibliography"/>
      </w:pPr>
      <w:bookmarkStart w:id="70" w:name="ref-Bowker1948"/>
      <w:bookmarkEnd w:id="70"/>
      <w:r>
        <w:t xml:space="preserve">[42] </w:t>
      </w:r>
      <w:r>
        <w:tab/>
        <w:t xml:space="preserve">B. </w:t>
      </w:r>
      <w:proofErr w:type="spellStart"/>
      <w:r>
        <w:t>Grothey</w:t>
      </w:r>
      <w:proofErr w:type="spellEnd"/>
      <w:r>
        <w:t xml:space="preserve"> </w:t>
      </w:r>
      <w:r>
        <w:rPr>
          <w:i/>
          <w:iCs/>
        </w:rPr>
        <w:t>et al.</w:t>
      </w:r>
      <w:r>
        <w:t xml:space="preserve">, “Comprehensive testing of large language models for extraction of structured data in pathology,” </w:t>
      </w:r>
      <w:r>
        <w:rPr>
          <w:i/>
          <w:iCs/>
        </w:rPr>
        <w:t>Communications Medicine</w:t>
      </w:r>
      <w:r>
        <w:t xml:space="preserve">, vol. 5, no. 1, p. 96, 2025, </w:t>
      </w:r>
      <w:proofErr w:type="spellStart"/>
      <w:r>
        <w:t>doi</w:t>
      </w:r>
      <w:proofErr w:type="spellEnd"/>
      <w:r>
        <w:t xml:space="preserve">: </w:t>
      </w:r>
      <w:hyperlink r:id="rId35">
        <w:r>
          <w:rPr>
            <w:rStyle w:val="Hyperlink"/>
          </w:rPr>
          <w:t>10.1038/s43856-025-00808-8</w:t>
        </w:r>
      </w:hyperlink>
      <w:r>
        <w:t>.</w:t>
      </w:r>
    </w:p>
    <w:p w14:paraId="0582686E" w14:textId="77777777" w:rsidR="00BE2473" w:rsidRDefault="00000000">
      <w:pPr>
        <w:pStyle w:val="Bibliography"/>
      </w:pPr>
      <w:bookmarkStart w:id="71" w:name="ref-Grothey2025"/>
      <w:bookmarkEnd w:id="71"/>
      <w:r>
        <w:t xml:space="preserve">[43] </w:t>
      </w:r>
      <w:r>
        <w:tab/>
        <w:t xml:space="preserve">A. Naemi and A. Sahafi, “Benchmarking large language models for MIMIC-IV clinical note summarization,” </w:t>
      </w:r>
      <w:r>
        <w:rPr>
          <w:i/>
          <w:iCs/>
        </w:rPr>
        <w:t>Journal of Healthcare Informatics Research</w:t>
      </w:r>
      <w:r>
        <w:t xml:space="preserve">, vol. 10, no. 1, pp. 95–115, 2025, </w:t>
      </w:r>
      <w:proofErr w:type="spellStart"/>
      <w:r>
        <w:t>doi</w:t>
      </w:r>
      <w:proofErr w:type="spellEnd"/>
      <w:r>
        <w:t xml:space="preserve">: </w:t>
      </w:r>
      <w:hyperlink r:id="rId36">
        <w:r>
          <w:rPr>
            <w:rStyle w:val="Hyperlink"/>
          </w:rPr>
          <w:t>10.1007/s41666-025-00221-9</w:t>
        </w:r>
      </w:hyperlink>
      <w:r>
        <w:t>.</w:t>
      </w:r>
    </w:p>
    <w:p w14:paraId="76ECF017" w14:textId="77777777" w:rsidR="00BE2473" w:rsidRDefault="00000000">
      <w:pPr>
        <w:pStyle w:val="Bibliography"/>
      </w:pPr>
      <w:bookmarkStart w:id="72" w:name="ref-Naemi2025"/>
      <w:bookmarkEnd w:id="72"/>
      <w:r>
        <w:t xml:space="preserve">[44] </w:t>
      </w:r>
      <w:r>
        <w:tab/>
        <w:t xml:space="preserve">X. Wang, T. Dang, X. Zhang, V. </w:t>
      </w:r>
      <w:proofErr w:type="spellStart"/>
      <w:r>
        <w:t>Kostakos</w:t>
      </w:r>
      <w:proofErr w:type="spellEnd"/>
      <w:r>
        <w:t xml:space="preserve">, M. J. </w:t>
      </w:r>
      <w:proofErr w:type="spellStart"/>
      <w:r>
        <w:t>Witbrock</w:t>
      </w:r>
      <w:proofErr w:type="spellEnd"/>
      <w:r>
        <w:t>, and H. Jia, “</w:t>
      </w:r>
      <w:proofErr w:type="spellStart"/>
      <w:r>
        <w:t>HealthSLM</w:t>
      </w:r>
      <w:proofErr w:type="spellEnd"/>
      <w:r>
        <w:t xml:space="preserve">-Bench: Benchmarking small language models for mobile and wearable healthcare monitoring,” </w:t>
      </w:r>
      <w:proofErr w:type="spellStart"/>
      <w:r>
        <w:rPr>
          <w:i/>
          <w:iCs/>
        </w:rPr>
        <w:t>arXiv</w:t>
      </w:r>
      <w:proofErr w:type="spellEnd"/>
      <w:r>
        <w:rPr>
          <w:i/>
          <w:iCs/>
        </w:rPr>
        <w:t xml:space="preserve"> preprint arXiv:2509.07260</w:t>
      </w:r>
      <w:r>
        <w:t>, 2025.</w:t>
      </w:r>
    </w:p>
    <w:p w14:paraId="7AC3A208" w14:textId="77777777" w:rsidR="00BE2473" w:rsidRDefault="00000000">
      <w:pPr>
        <w:pStyle w:val="Bibliography"/>
      </w:pPr>
      <w:bookmarkStart w:id="73" w:name="ref-Wang2025"/>
      <w:bookmarkEnd w:id="73"/>
      <w:r>
        <w:t xml:space="preserve">[45]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w:t>
      </w:r>
      <w:proofErr w:type="spellStart"/>
      <w:r>
        <w:t>doi</w:t>
      </w:r>
      <w:proofErr w:type="spellEnd"/>
      <w:r>
        <w:t xml:space="preserve">: </w:t>
      </w:r>
      <w:hyperlink r:id="rId37">
        <w:r>
          <w:rPr>
            <w:rStyle w:val="Hyperlink"/>
          </w:rPr>
          <w:t>10.1007/s10278-026-01912-4</w:t>
        </w:r>
      </w:hyperlink>
      <w:r>
        <w:t>.</w:t>
      </w:r>
    </w:p>
    <w:p w14:paraId="3E2BFA87" w14:textId="77777777" w:rsidR="00BE2473" w:rsidRDefault="00000000">
      <w:pPr>
        <w:pStyle w:val="Bibliography"/>
      </w:pPr>
      <w:bookmarkStart w:id="74" w:name="ref-Zheng2026"/>
      <w:bookmarkEnd w:id="74"/>
      <w:r>
        <w:t xml:space="preserve">[46] </w:t>
      </w:r>
      <w:r>
        <w:tab/>
        <w:t xml:space="preserve">A. Hanafi, M. Saad, N. Zahran, R. J. Hanafy, and M. E. Fouda, “A comprehensive evaluation of large language models on mental illnesses,” </w:t>
      </w:r>
      <w:proofErr w:type="spellStart"/>
      <w:r>
        <w:rPr>
          <w:i/>
          <w:iCs/>
        </w:rPr>
        <w:t>arXiv</w:t>
      </w:r>
      <w:proofErr w:type="spellEnd"/>
      <w:r>
        <w:rPr>
          <w:i/>
          <w:iCs/>
        </w:rPr>
        <w:t xml:space="preserve"> preprint arXiv:2409.15687</w:t>
      </w:r>
      <w:r>
        <w:t>, 2024.</w:t>
      </w:r>
    </w:p>
    <w:p w14:paraId="3836DCFE" w14:textId="77777777" w:rsidR="00BE2473" w:rsidRDefault="00000000">
      <w:pPr>
        <w:pStyle w:val="Bibliography"/>
      </w:pPr>
      <w:bookmarkStart w:id="75" w:name="ref-Hanafi2024"/>
      <w:bookmarkEnd w:id="75"/>
      <w:r>
        <w:t xml:space="preserve">[47]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w:t>
      </w:r>
      <w:proofErr w:type="spellStart"/>
      <w:r>
        <w:t>doi</w:t>
      </w:r>
      <w:proofErr w:type="spellEnd"/>
      <w:r>
        <w:t xml:space="preserve">: </w:t>
      </w:r>
      <w:hyperlink r:id="rId38">
        <w:r>
          <w:rPr>
            <w:rStyle w:val="Hyperlink"/>
          </w:rPr>
          <w:t>10.1038/s41598-025-28767-z</w:t>
        </w:r>
      </w:hyperlink>
      <w:r>
        <w:t>.</w:t>
      </w:r>
    </w:p>
    <w:p w14:paraId="2BC8CED9" w14:textId="77777777" w:rsidR="00BE2473" w:rsidRDefault="00000000">
      <w:pPr>
        <w:pStyle w:val="Bibliography"/>
      </w:pPr>
      <w:bookmarkStart w:id="76" w:name="ref-Liu2025ClinIE"/>
      <w:bookmarkEnd w:id="76"/>
      <w:r>
        <w:t xml:space="preserve">[48] </w:t>
      </w:r>
      <w:r>
        <w:tab/>
        <w:t xml:space="preserve">M. M. Dawood </w:t>
      </w:r>
      <w:r>
        <w:rPr>
          <w:i/>
          <w:iCs/>
        </w:rPr>
        <w:t>et al.</w:t>
      </w:r>
      <w:r>
        <w:t xml:space="preserve">, “Small language models can use nuanced reasoning for health science research classification: A microbial-oncogenesis case study,” </w:t>
      </w:r>
      <w:proofErr w:type="spellStart"/>
      <w:r>
        <w:rPr>
          <w:i/>
          <w:iCs/>
        </w:rPr>
        <w:t>arXiv</w:t>
      </w:r>
      <w:proofErr w:type="spellEnd"/>
      <w:r>
        <w:rPr>
          <w:i/>
          <w:iCs/>
        </w:rPr>
        <w:t xml:space="preserve"> preprint arXiv:2512.06502</w:t>
      </w:r>
      <w:r>
        <w:t>, 2025.</w:t>
      </w:r>
    </w:p>
    <w:p w14:paraId="51B414C0" w14:textId="77777777" w:rsidR="00BE2473" w:rsidRDefault="00000000">
      <w:pPr>
        <w:pStyle w:val="Bibliography"/>
      </w:pPr>
      <w:bookmarkStart w:id="77" w:name="ref-Dawood2025"/>
      <w:bookmarkEnd w:id="77"/>
      <w:r>
        <w:t xml:space="preserve">[49] </w:t>
      </w:r>
      <w:r>
        <w:tab/>
        <w:t xml:space="preserve">Z. Hou, H. Liu, J. Bian, X. He, and Y. Zhuang, “Enhancing medical coding efficiency through domain-specific fine-tuned large language models,” </w:t>
      </w:r>
      <w:proofErr w:type="spellStart"/>
      <w:r>
        <w:rPr>
          <w:i/>
          <w:iCs/>
        </w:rPr>
        <w:t>npj</w:t>
      </w:r>
      <w:proofErr w:type="spellEnd"/>
      <w:r>
        <w:rPr>
          <w:i/>
          <w:iCs/>
        </w:rPr>
        <w:t xml:space="preserve"> Health Systems</w:t>
      </w:r>
      <w:r>
        <w:t xml:space="preserve">, vol. 2, no. 1, p. 14, 2025, </w:t>
      </w:r>
      <w:proofErr w:type="spellStart"/>
      <w:r>
        <w:t>doi</w:t>
      </w:r>
      <w:proofErr w:type="spellEnd"/>
      <w:r>
        <w:t xml:space="preserve">: </w:t>
      </w:r>
      <w:hyperlink r:id="rId39">
        <w:r>
          <w:rPr>
            <w:rStyle w:val="Hyperlink"/>
          </w:rPr>
          <w:t>10.1038/s44401-025-00018-3</w:t>
        </w:r>
      </w:hyperlink>
      <w:r>
        <w:t>.</w:t>
      </w:r>
    </w:p>
    <w:p w14:paraId="048CF341" w14:textId="77777777" w:rsidR="00BE2473" w:rsidRDefault="00000000">
      <w:pPr>
        <w:pStyle w:val="Bibliography"/>
      </w:pPr>
      <w:bookmarkStart w:id="78" w:name="ref-Hou2025"/>
      <w:bookmarkEnd w:id="78"/>
      <w:r>
        <w:t xml:space="preserve">[50] </w:t>
      </w:r>
      <w:r>
        <w:tab/>
        <w:t xml:space="preserve">M. Ranjit, S. Srivastav, and T. Ganu, “RadPhi-3: Small language models for radiology,” </w:t>
      </w:r>
      <w:proofErr w:type="spellStart"/>
      <w:r>
        <w:rPr>
          <w:i/>
          <w:iCs/>
        </w:rPr>
        <w:t>arXiv</w:t>
      </w:r>
      <w:proofErr w:type="spellEnd"/>
      <w:r>
        <w:rPr>
          <w:i/>
          <w:iCs/>
        </w:rPr>
        <w:t xml:space="preserve"> preprint arXiv:2411.13604</w:t>
      </w:r>
      <w:r>
        <w:t>, 2024.</w:t>
      </w:r>
    </w:p>
    <w:p w14:paraId="2E5CAE80" w14:textId="77777777" w:rsidR="00BE2473" w:rsidRDefault="00000000">
      <w:pPr>
        <w:pStyle w:val="Bibliography"/>
      </w:pPr>
      <w:bookmarkStart w:id="79" w:name="ref-Ranjit2024"/>
      <w:bookmarkEnd w:id="79"/>
      <w:r>
        <w:t xml:space="preserve">[51] </w:t>
      </w:r>
      <w:r>
        <w:tab/>
        <w:t xml:space="preserve">G. De Vito, F. Ferrucci, and A. Angelakis, “LLMs for drug-drug interaction prediction: A comprehensive comparison,” </w:t>
      </w:r>
      <w:proofErr w:type="spellStart"/>
      <w:r>
        <w:rPr>
          <w:i/>
          <w:iCs/>
        </w:rPr>
        <w:t>arXiv</w:t>
      </w:r>
      <w:proofErr w:type="spellEnd"/>
      <w:r>
        <w:rPr>
          <w:i/>
          <w:iCs/>
        </w:rPr>
        <w:t xml:space="preserve"> preprint arXiv:2502.06890</w:t>
      </w:r>
      <w:r>
        <w:t>, 2025.</w:t>
      </w:r>
    </w:p>
    <w:p w14:paraId="349F2C95" w14:textId="77777777" w:rsidR="00BE2473" w:rsidRDefault="00000000">
      <w:pPr>
        <w:pStyle w:val="Bibliography"/>
      </w:pPr>
      <w:bookmarkStart w:id="80" w:name="ref-DeVito2025"/>
      <w:bookmarkEnd w:id="80"/>
      <w:r>
        <w:lastRenderedPageBreak/>
        <w:t xml:space="preserve">[52] </w:t>
      </w:r>
      <w:r>
        <w:tab/>
        <w:t xml:space="preserve">H. Kim </w:t>
      </w:r>
      <w:r>
        <w:rPr>
          <w:i/>
          <w:iCs/>
        </w:rPr>
        <w:t>et al.</w:t>
      </w:r>
      <w:r>
        <w:t xml:space="preserve">, “Small language models learn enhanced reasoning skills from medical textbooks,” </w:t>
      </w:r>
      <w:proofErr w:type="spellStart"/>
      <w:r>
        <w:rPr>
          <w:i/>
          <w:iCs/>
        </w:rPr>
        <w:t>npj</w:t>
      </w:r>
      <w:proofErr w:type="spellEnd"/>
      <w:r>
        <w:rPr>
          <w:i/>
          <w:iCs/>
        </w:rPr>
        <w:t xml:space="preserve"> Digital Medicine</w:t>
      </w:r>
      <w:r>
        <w:t xml:space="preserve">, vol. 8, no. 1, p. 240, 2025, </w:t>
      </w:r>
      <w:proofErr w:type="spellStart"/>
      <w:r>
        <w:t>doi</w:t>
      </w:r>
      <w:proofErr w:type="spellEnd"/>
      <w:r>
        <w:t xml:space="preserve">: </w:t>
      </w:r>
      <w:hyperlink r:id="rId40">
        <w:r>
          <w:rPr>
            <w:rStyle w:val="Hyperlink"/>
          </w:rPr>
          <w:t>10.1038/s41746-025-01653-8</w:t>
        </w:r>
      </w:hyperlink>
      <w:r>
        <w:t>.</w:t>
      </w:r>
    </w:p>
    <w:p w14:paraId="597E1FED" w14:textId="77777777" w:rsidR="00BE2473" w:rsidRDefault="00000000">
      <w:pPr>
        <w:pStyle w:val="Bibliography"/>
      </w:pPr>
      <w:bookmarkStart w:id="81" w:name="ref-Kim2025"/>
      <w:bookmarkStart w:id="82" w:name="ref-Williams2026FITSLMHCTool"/>
      <w:bookmarkEnd w:id="81"/>
      <w:r>
        <w:t xml:space="preserve">[53] </w:t>
      </w:r>
      <w:r>
        <w:tab/>
        <w:t xml:space="preserve">H. Williams, “FIT-SLM-HC decision tool: An interactive companion for task-technology fit assessment of small language models in healthcare.” </w:t>
      </w:r>
      <w:hyperlink r:id="rId41">
        <w:r>
          <w:rPr>
            <w:rStyle w:val="Hyperlink"/>
          </w:rPr>
          <w:t>https://hantswilliams.github.io/fit-slm-hc/</w:t>
        </w:r>
      </w:hyperlink>
      <w:r>
        <w:t>, 2026.</w:t>
      </w:r>
      <w:bookmarkEnd w:id="29"/>
      <w:bookmarkEnd w:id="82"/>
    </w:p>
    <w:sectPr w:rsidR="00BE2473">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339CA9" w14:textId="77777777" w:rsidR="00FA66CE" w:rsidRDefault="00FA66CE">
      <w:pPr>
        <w:spacing w:after="0"/>
      </w:pPr>
      <w:r>
        <w:separator/>
      </w:r>
    </w:p>
  </w:endnote>
  <w:endnote w:type="continuationSeparator" w:id="0">
    <w:p w14:paraId="204E3BC0" w14:textId="77777777" w:rsidR="00FA66CE" w:rsidRDefault="00FA66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CD4A61" w14:textId="77777777" w:rsidR="00FA66CE" w:rsidRDefault="00FA66CE">
      <w:pPr>
        <w:rPr>
          <w:sz w:val="12"/>
        </w:rPr>
      </w:pPr>
      <w:r>
        <w:separator/>
      </w:r>
    </w:p>
  </w:footnote>
  <w:footnote w:type="continuationSeparator" w:id="0">
    <w:p w14:paraId="2A2CF175" w14:textId="77777777" w:rsidR="00FA66CE" w:rsidRDefault="00FA66CE">
      <w:pPr>
        <w:rPr>
          <w:sz w:val="12"/>
        </w:rPr>
      </w:pPr>
      <w:r>
        <w:continuationSeparator/>
      </w:r>
    </w:p>
  </w:footnote>
  <w:footnote w:id="1">
    <w:p w14:paraId="5A3A5EE7" w14:textId="77777777" w:rsidR="00BE2473" w:rsidRPr="00F01275" w:rsidRDefault="00000000">
      <w:pPr>
        <w:pStyle w:val="FootnoteText"/>
        <w:rPr>
          <w:sz w:val="28"/>
          <w:szCs w:val="28"/>
        </w:rPr>
      </w:pPr>
      <w:r>
        <w:rPr>
          <w:rStyle w:val="FootnoteCharacters"/>
        </w:rPr>
        <w:footnoteRef/>
      </w:r>
      <w:r>
        <w:t xml:space="preserve"> Corresponding </w:t>
      </w:r>
      <w:r w:rsidRPr="00F01275">
        <w:t xml:space="preserve">Author. Email: </w:t>
      </w:r>
      <w:r w:rsidRPr="00F01275">
        <w:rPr>
          <w:rStyle w:val="VerbatimChar"/>
          <w:rFonts w:asciiTheme="minorHAnsi" w:hAnsiTheme="minorHAnsi"/>
          <w:sz w:val="24"/>
          <w:szCs w:val="28"/>
        </w:rPr>
        <w:t>hants.williams@stonybrook.edu</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73"/>
    <w:rsid w:val="00247140"/>
    <w:rsid w:val="00BE2473"/>
    <w:rsid w:val="00EA6100"/>
    <w:rsid w:val="00F01275"/>
    <w:rsid w:val="00FA66C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929F7EE"/>
  <w15:docId w15:val="{4D631B3C-F786-8C4C-A77A-719AEA5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style>
  <w:style w:type="character" w:customStyle="1" w:styleId="KeywordTok">
    <w:name w:val="KeywordTok"/>
    <w:basedOn w:val="VerbatimChar"/>
    <w:qFormat/>
    <w:rPr>
      <w:rFonts w:ascii="Consolas" w:hAnsi="Consolas"/>
      <w:b/>
      <w:sz w:val="22"/>
    </w:rPr>
  </w:style>
  <w:style w:type="character" w:customStyle="1" w:styleId="DataTypeTok">
    <w:name w:val="DataTypeTok"/>
    <w:basedOn w:val="VerbatimChar"/>
    <w:qFormat/>
    <w:rPr>
      <w:rFonts w:ascii="Consolas" w:hAnsi="Consolas"/>
      <w:sz w:val="22"/>
    </w:rPr>
  </w:style>
  <w:style w:type="character" w:customStyle="1" w:styleId="DecValTok">
    <w:name w:val="DecValTok"/>
    <w:basedOn w:val="VerbatimChar"/>
    <w:qFormat/>
    <w:rPr>
      <w:rFonts w:ascii="Consolas" w:hAnsi="Consolas"/>
      <w:sz w:val="22"/>
    </w:rPr>
  </w:style>
  <w:style w:type="character" w:customStyle="1" w:styleId="BaseNTok">
    <w:name w:val="BaseNTok"/>
    <w:basedOn w:val="VerbatimChar"/>
    <w:qFormat/>
    <w:rPr>
      <w:rFonts w:ascii="Consolas" w:hAnsi="Consolas"/>
      <w:sz w:val="22"/>
    </w:rPr>
  </w:style>
  <w:style w:type="character" w:customStyle="1" w:styleId="FloatTok">
    <w:name w:val="FloatTok"/>
    <w:basedOn w:val="VerbatimChar"/>
    <w:qFormat/>
    <w:rPr>
      <w:rFonts w:ascii="Consolas" w:hAnsi="Consolas"/>
      <w:sz w:val="22"/>
    </w:rPr>
  </w:style>
  <w:style w:type="character" w:customStyle="1" w:styleId="ConstantTok">
    <w:name w:val="ConstantTok"/>
    <w:basedOn w:val="VerbatimChar"/>
    <w:qFormat/>
    <w:rPr>
      <w:rFonts w:ascii="Consolas" w:hAnsi="Consolas"/>
      <w:sz w:val="22"/>
    </w:rPr>
  </w:style>
  <w:style w:type="character" w:customStyle="1" w:styleId="CharTok">
    <w:name w:val="CharTok"/>
    <w:basedOn w:val="VerbatimChar"/>
    <w:qFormat/>
    <w:rPr>
      <w:rFonts w:ascii="Consolas" w:hAnsi="Consolas"/>
      <w:sz w:val="22"/>
    </w:rPr>
  </w:style>
  <w:style w:type="character" w:customStyle="1" w:styleId="SpecialCharTok">
    <w:name w:val="SpecialCharTok"/>
    <w:basedOn w:val="VerbatimChar"/>
    <w:qFormat/>
    <w:rPr>
      <w:rFonts w:ascii="Consolas" w:hAnsi="Consolas"/>
      <w:sz w:val="22"/>
    </w:rPr>
  </w:style>
  <w:style w:type="character" w:customStyle="1" w:styleId="StringTok">
    <w:name w:val="StringTok"/>
    <w:basedOn w:val="VerbatimChar"/>
    <w:qFormat/>
    <w:rPr>
      <w:rFonts w:ascii="Consolas" w:hAnsi="Consolas"/>
      <w:sz w:val="22"/>
    </w:rPr>
  </w:style>
  <w:style w:type="character" w:customStyle="1" w:styleId="VerbatimStringTok">
    <w:name w:val="VerbatimStringTok"/>
    <w:basedOn w:val="VerbatimChar"/>
    <w:qFormat/>
    <w:rPr>
      <w:rFonts w:ascii="Consolas" w:hAnsi="Consolas"/>
      <w:sz w:val="22"/>
    </w:rPr>
  </w:style>
  <w:style w:type="character" w:customStyle="1" w:styleId="SpecialStringTok">
    <w:name w:val="SpecialStringTok"/>
    <w:basedOn w:val="VerbatimChar"/>
    <w:qFormat/>
    <w:rPr>
      <w:rFonts w:ascii="Consolas" w:hAnsi="Consolas"/>
      <w:sz w:val="22"/>
    </w:rPr>
  </w:style>
  <w:style w:type="character" w:customStyle="1" w:styleId="ImportTok">
    <w:name w:val="ImportTok"/>
    <w:basedOn w:val="VerbatimChar"/>
    <w:qFormat/>
    <w:rPr>
      <w:rFonts w:ascii="Consolas" w:hAnsi="Consolas"/>
      <w:b/>
      <w:sz w:val="22"/>
    </w:rPr>
  </w:style>
  <w:style w:type="character" w:customStyle="1" w:styleId="CommentTok">
    <w:name w:val="CommentTok"/>
    <w:basedOn w:val="VerbatimChar"/>
    <w:qFormat/>
    <w:rPr>
      <w:rFonts w:ascii="Consolas" w:hAnsi="Consolas"/>
      <w:i/>
      <w:sz w:val="22"/>
    </w:rPr>
  </w:style>
  <w:style w:type="character" w:customStyle="1" w:styleId="DocumentationTok">
    <w:name w:val="DocumentationTok"/>
    <w:basedOn w:val="VerbatimChar"/>
    <w:qFormat/>
    <w:rPr>
      <w:rFonts w:ascii="Consolas" w:hAnsi="Consolas"/>
      <w:i/>
      <w:sz w:val="22"/>
    </w:rPr>
  </w:style>
  <w:style w:type="character" w:customStyle="1" w:styleId="AnnotationTok">
    <w:name w:val="AnnotationTok"/>
    <w:basedOn w:val="VerbatimChar"/>
    <w:qFormat/>
    <w:rPr>
      <w:rFonts w:ascii="Consolas" w:hAnsi="Consolas"/>
      <w:b/>
      <w:i/>
      <w:sz w:val="22"/>
    </w:rPr>
  </w:style>
  <w:style w:type="character" w:customStyle="1" w:styleId="CommentVarTok">
    <w:name w:val="CommentVarTok"/>
    <w:basedOn w:val="VerbatimChar"/>
    <w:qFormat/>
    <w:rPr>
      <w:rFonts w:ascii="Consolas" w:hAnsi="Consolas"/>
      <w:b/>
      <w:i/>
      <w:sz w:val="22"/>
    </w:rPr>
  </w:style>
  <w:style w:type="character" w:customStyle="1" w:styleId="OtherTok">
    <w:name w:val="OtherTok"/>
    <w:basedOn w:val="VerbatimChar"/>
    <w:qFormat/>
    <w:rPr>
      <w:rFonts w:ascii="Consolas" w:hAnsi="Consolas"/>
      <w:sz w:val="22"/>
    </w:rPr>
  </w:style>
  <w:style w:type="character" w:customStyle="1" w:styleId="FunctionTok">
    <w:name w:val="FunctionTok"/>
    <w:basedOn w:val="VerbatimChar"/>
    <w:qFormat/>
    <w:rPr>
      <w:rFonts w:ascii="Consolas" w:hAnsi="Consolas"/>
      <w:sz w:val="22"/>
    </w:rPr>
  </w:style>
  <w:style w:type="character" w:customStyle="1" w:styleId="VariableTok">
    <w:name w:val="VariableTok"/>
    <w:basedOn w:val="VerbatimChar"/>
    <w:qFormat/>
    <w:rPr>
      <w:rFonts w:ascii="Consolas" w:hAnsi="Consolas"/>
      <w:sz w:val="22"/>
    </w:rPr>
  </w:style>
  <w:style w:type="character" w:customStyle="1" w:styleId="ControlFlowTok">
    <w:name w:val="ControlFlowTok"/>
    <w:basedOn w:val="VerbatimChar"/>
    <w:qFormat/>
    <w:rPr>
      <w:rFonts w:ascii="Consolas" w:hAnsi="Consolas"/>
      <w:b/>
      <w:sz w:val="22"/>
    </w:rPr>
  </w:style>
  <w:style w:type="character" w:customStyle="1" w:styleId="OperatorTok">
    <w:name w:val="OperatorTok"/>
    <w:basedOn w:val="VerbatimChar"/>
    <w:qFormat/>
    <w:rPr>
      <w:rFonts w:ascii="Consolas" w:hAnsi="Consolas"/>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sz w:val="22"/>
    </w:rPr>
  </w:style>
  <w:style w:type="character" w:customStyle="1" w:styleId="AttributeTok">
    <w:name w:val="AttributeTok"/>
    <w:basedOn w:val="VerbatimChar"/>
    <w:qFormat/>
    <w:rPr>
      <w:rFonts w:ascii="Consolas" w:hAnsi="Consolas"/>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sz w:val="22"/>
    </w:rPr>
  </w:style>
  <w:style w:type="character" w:customStyle="1" w:styleId="WarningTok">
    <w:name w:val="WarningTok"/>
    <w:basedOn w:val="VerbatimChar"/>
    <w:qFormat/>
    <w:rPr>
      <w:rFonts w:ascii="Consolas" w:hAnsi="Consolas"/>
      <w:b/>
      <w:i/>
      <w:sz w:val="22"/>
    </w:rPr>
  </w:style>
  <w:style w:type="character" w:customStyle="1" w:styleId="AlertTok">
    <w:name w:val="AlertTok"/>
    <w:basedOn w:val="VerbatimChar"/>
    <w:qFormat/>
    <w:rPr>
      <w:rFonts w:ascii="Consolas" w:hAnsi="Consolas"/>
      <w:b/>
      <w:sz w:val="22"/>
    </w:rPr>
  </w:style>
  <w:style w:type="character" w:customStyle="1" w:styleId="ErrorTok">
    <w:name w:val="ErrorTok"/>
    <w:basedOn w:val="VerbatimChar"/>
    <w:qFormat/>
    <w:rPr>
      <w:rFonts w:ascii="Consolas" w:hAnsi="Consolas"/>
      <w:b/>
      <w:sz w:val="22"/>
    </w:rPr>
  </w:style>
  <w:style w:type="character" w:customStyle="1" w:styleId="NormalTok">
    <w:name w:val="NormalTok"/>
    <w:basedOn w:val="VerbatimChar"/>
    <w:qFormat/>
    <w:rPr>
      <w:rFonts w:ascii="Consolas" w:hAnsi="Consolas"/>
      <w:sz w:val="22"/>
    </w:rPr>
  </w:style>
  <w:style w:type="character" w:styleId="CommentReference">
    <w:name w:val="annotation reference"/>
    <w:basedOn w:val="DefaultParagraphFont"/>
    <w:qFormat/>
    <w:rsid w:val="00CD7058"/>
    <w:rPr>
      <w:sz w:val="16"/>
      <w:szCs w:val="16"/>
    </w:rPr>
  </w:style>
  <w:style w:type="character" w:customStyle="1" w:styleId="CommentTextChar">
    <w:name w:val="Comment Text Char"/>
    <w:basedOn w:val="DefaultParagraphFont"/>
    <w:link w:val="CommentText"/>
    <w:qFormat/>
    <w:rsid w:val="00CD7058"/>
    <w:rPr>
      <w:sz w:val="20"/>
      <w:szCs w:val="20"/>
    </w:rPr>
  </w:style>
  <w:style w:type="character" w:customStyle="1" w:styleId="CommentSubjectChar">
    <w:name w:val="Comment Subject Char"/>
    <w:basedOn w:val="CommentTextChar"/>
    <w:link w:val="CommentSubject"/>
    <w:qFormat/>
    <w:rsid w:val="00CD7058"/>
    <w:rPr>
      <w:b/>
      <w:bCs/>
      <w:sz w:val="20"/>
      <w:szCs w:val="20"/>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qFormat/>
  </w:style>
  <w:style w:type="paragraph" w:styleId="CommentText">
    <w:name w:val="annotation text"/>
    <w:basedOn w:val="Normal"/>
    <w:link w:val="CommentTextChar"/>
    <w:rsid w:val="00CD7058"/>
    <w:rPr>
      <w:sz w:val="20"/>
      <w:szCs w:val="20"/>
    </w:rPr>
  </w:style>
  <w:style w:type="paragraph" w:styleId="CommentSubject">
    <w:name w:val="annotation subject"/>
    <w:basedOn w:val="CommentText"/>
    <w:next w:val="CommentText"/>
    <w:link w:val="CommentSubjectChar"/>
    <w:qFormat/>
    <w:rsid w:val="00CD7058"/>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86-023-06291-2" TargetMode="External"/><Relationship Id="rId18" Type="http://schemas.openxmlformats.org/officeDocument/2006/relationships/hyperlink" Target="https://doi.org/10.1001/jama.2023.9458" TargetMode="External"/><Relationship Id="rId26" Type="http://schemas.openxmlformats.org/officeDocument/2006/relationships/hyperlink" Target="https://doi.org/10.1016/j.patter.2024.100943" TargetMode="External"/><Relationship Id="rId39" Type="http://schemas.openxmlformats.org/officeDocument/2006/relationships/hyperlink" Target="https://doi.org/10.1038/s44401-025-00018-3" TargetMode="External"/><Relationship Id="rId21" Type="http://schemas.openxmlformats.org/officeDocument/2006/relationships/hyperlink" Target="https://doi.org/10.1001/jama.2024.21700" TargetMode="External"/><Relationship Id="rId34" Type="http://schemas.openxmlformats.org/officeDocument/2006/relationships/hyperlink" Target="https://doi.org/10.1080/01621459.1948.10483284"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doi.org/10.1200/CCI-26-00031" TargetMode="External"/><Relationship Id="rId20" Type="http://schemas.openxmlformats.org/officeDocument/2006/relationships/hyperlink" Target="https://www.hhs.gov/hipaa/for-professionals/security/laws-regulations/index.html" TargetMode="External"/><Relationship Id="rId29" Type="http://schemas.openxmlformats.org/officeDocument/2006/relationships/hyperlink" Target="https://doi.org/10.2307/1914185" TargetMode="External"/><Relationship Id="rId41" Type="http://schemas.openxmlformats.org/officeDocument/2006/relationships/hyperlink" Target="https://hantswilliams.github.io/fit-slm-hc/"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38/s41746-023-00873-0" TargetMode="External"/><Relationship Id="rId24" Type="http://schemas.openxmlformats.org/officeDocument/2006/relationships/hyperlink" Target="https://doi.org/10.1136/bmj-2023-078378" TargetMode="External"/><Relationship Id="rId32" Type="http://schemas.openxmlformats.org/officeDocument/2006/relationships/hyperlink" Target="https://doi.org/10.1093/jamiaopen/ooaf109" TargetMode="External"/><Relationship Id="rId37" Type="http://schemas.openxmlformats.org/officeDocument/2006/relationships/hyperlink" Target="https://doi.org/10.1007/s10278-026-01912-4" TargetMode="External"/><Relationship Id="rId40" Type="http://schemas.openxmlformats.org/officeDocument/2006/relationships/hyperlink" Target="https://doi.org/10.1038/s41746-025-01653-8" TargetMode="External"/><Relationship Id="rId5" Type="http://schemas.openxmlformats.org/officeDocument/2006/relationships/endnotes" Target="endnotes.xml"/><Relationship Id="rId15" Type="http://schemas.openxmlformats.org/officeDocument/2006/relationships/hyperlink" Target="https://doi.org/10.1038/s41591-024-02855-5" TargetMode="External"/><Relationship Id="rId23" Type="http://schemas.openxmlformats.org/officeDocument/2006/relationships/hyperlink" Target="https://doi.org/10.2307/249668" TargetMode="External"/><Relationship Id="rId28" Type="http://schemas.openxmlformats.org/officeDocument/2006/relationships/hyperlink" Target="https://doi.org/10.1145/1476589.1476628" TargetMode="External"/><Relationship Id="rId36" Type="http://schemas.openxmlformats.org/officeDocument/2006/relationships/hyperlink" Target="https://doi.org/10.1007/s41666-025-00221-9" TargetMode="External"/><Relationship Id="rId10" Type="http://schemas.openxmlformats.org/officeDocument/2006/relationships/hyperlink" Target="https://doi.org/10.2196/72062" TargetMode="External"/><Relationship Id="rId19" Type="http://schemas.openxmlformats.org/officeDocument/2006/relationships/hyperlink" Target="https://doi.org/10.1016/j.artmed.2024.102845" TargetMode="External"/><Relationship Id="rId31" Type="http://schemas.openxmlformats.org/officeDocument/2006/relationships/hyperlink" Target="https://services.google.com/fh/files/blogs/google_delayexp.pdf" TargetMode="External"/><Relationship Id="rId4" Type="http://schemas.openxmlformats.org/officeDocument/2006/relationships/footnotes" Target="footnotes.xml"/><Relationship Id="rId9" Type="http://schemas.openxmlformats.org/officeDocument/2006/relationships/hyperlink" Target="https://hantswilliams.github.io/fit-slm-hc/" TargetMode="External"/><Relationship Id="rId14" Type="http://schemas.openxmlformats.org/officeDocument/2006/relationships/hyperlink" Target="https://doi.org/10.1038/s41591-023-02448-8" TargetMode="External"/><Relationship Id="rId22" Type="http://schemas.openxmlformats.org/officeDocument/2006/relationships/hyperlink" Target="https://doi.org/10.2307/249689" TargetMode="External"/><Relationship Id="rId27" Type="http://schemas.openxmlformats.org/officeDocument/2006/relationships/hyperlink" Target="https://doi.org/10.18653/v1/2023.acl-long.546" TargetMode="External"/><Relationship Id="rId30" Type="http://schemas.openxmlformats.org/officeDocument/2006/relationships/hyperlink" Target="https://doi.org/10.2307/2937956" TargetMode="External"/><Relationship Id="rId35" Type="http://schemas.openxmlformats.org/officeDocument/2006/relationships/hyperlink" Target="https://doi.org/10.1038/s43856-025-00808-8" TargetMode="External"/><Relationship Id="rId43" Type="http://schemas.openxmlformats.org/officeDocument/2006/relationships/theme" Target="theme/theme1.xml"/><Relationship Id="rId8" Type="http://schemas.openxmlformats.org/officeDocument/2006/relationships/hyperlink" Target="https://github.com/hantswilliams/fit-slm-hc" TargetMode="External"/><Relationship Id="rId3" Type="http://schemas.openxmlformats.org/officeDocument/2006/relationships/webSettings" Target="webSettings.xml"/><Relationship Id="rId12" Type="http://schemas.openxmlformats.org/officeDocument/2006/relationships/hyperlink" Target="https://doi.org/10.1001/jama.2023.14217" TargetMode="External"/><Relationship Id="rId17" Type="http://schemas.openxmlformats.org/officeDocument/2006/relationships/hyperlink" Target="https://www.hhs.gov/hipaa/for-professionals/privacy/guidance/business-associates/index.html" TargetMode="External"/><Relationship Id="rId25" Type="http://schemas.openxmlformats.org/officeDocument/2006/relationships/hyperlink" Target="https://doi.org/10.1038/s41591-020-1034-x" TargetMode="External"/><Relationship Id="rId33" Type="http://schemas.openxmlformats.org/officeDocument/2006/relationships/hyperlink" Target="https://doi.org/10.1038/s41746-024-01390-4" TargetMode="External"/><Relationship Id="rId38" Type="http://schemas.openxmlformats.org/officeDocument/2006/relationships/hyperlink" Target="https://doi.org/10.1038/s41598-025-28767-z"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11343</Words>
  <Characters>64656</Characters>
  <Application>Microsoft Office Word</Application>
  <DocSecurity>0</DocSecurity>
  <Lines>538</Lines>
  <Paragraphs>151</Paragraphs>
  <ScaleCrop>false</ScaleCrop>
  <Company/>
  <LinksUpToDate>false</LinksUpToDate>
  <CharactersWithSpaces>75848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subject/>
  <dc:creator>Hants Williams Stony Brook University Stony Brook, New York, USA</dc:creator>
  <dc:description/>
  <cp:lastModifiedBy>Williams, Hants A</cp:lastModifiedBy>
  <cp:revision>5</cp:revision>
  <dcterms:created xsi:type="dcterms:W3CDTF">2026-09-05T11:52:00Z</dcterms:created>
  <dcterms:modified xsi:type="dcterms:W3CDTF">2026-09-05T16:07:00Z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published.Objective: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evolve.Methods: The framework separates task-side properties, scored along axes of Reasoning Complexity, Knowledge Boundedness, and Output Structure, from system-side metrics: Accuracy Ratio (AR) and Latency Efficiency (LE),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date.Results: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literature.Conclusions: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vt:lpwstr>
  </property>
  <property fmtid="{D5CDD505-2E9C-101B-9397-08002B2CF9AE}" pid="3" name="bibliography">
    <vt:lpwstr>references.bib</vt:lpwstr>
  </property>
  <property fmtid="{D5CDD505-2E9C-101B-9397-08002B2CF9AE}" pid="4" name="csl">
    <vt:lpwstr>ieee.csl</vt:lpwstr>
  </property>
  <property fmtid="{D5CDD505-2E9C-101B-9397-08002B2CF9AE}" pid="5" name="date">
    <vt:lpwstr/>
  </property>
</Properties>
</file>