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E2862" w14:textId="241BC1BB" w:rsidR="007D51E4" w:rsidRDefault="007D51E4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D51E4" w14:paraId="664D7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01D5B" w14:textId="66F319EF" w:rsidR="007D51E4" w:rsidRDefault="004E3EBB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2F929" w14:textId="65B78A53" w:rsidR="007D51E4" w:rsidRDefault="004E3EBB">
            <w:r>
              <w:rPr>
                <w:b/>
                <w:bCs/>
                <w:sz w:val="20"/>
                <w:szCs w:val="20"/>
              </w:rPr>
              <w:t>Our</w:t>
            </w:r>
            <w:r w:rsidR="00000000">
              <w:rPr>
                <w:b/>
                <w:bCs/>
                <w:sz w:val="20"/>
                <w:szCs w:val="20"/>
              </w:rPr>
              <w:t xml:space="preserve"> response</w:t>
            </w:r>
          </w:p>
        </w:tc>
      </w:tr>
      <w:tr w:rsidR="007D51E4" w14:paraId="710CA4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6AB0C" w14:textId="77777777" w:rsidR="007D51E4" w:rsidRDefault="00000000"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CC6A0" w14:textId="77777777" w:rsidR="007D51E4" w:rsidRDefault="00000000">
            <w:r>
              <w:rPr>
                <w:sz w:val="20"/>
                <w:szCs w:val="20"/>
              </w:rPr>
              <w:t>Confirmed. The article title is correct.</w:t>
            </w:r>
          </w:p>
        </w:tc>
      </w:tr>
      <w:tr w:rsidR="007D51E4" w14:paraId="6F48CE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8E4D8" w14:textId="77777777" w:rsidR="007D51E4" w:rsidRDefault="00000000"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FE174" w14:textId="77777777" w:rsidR="007D51E4" w:rsidRDefault="00000000">
            <w:r>
              <w:rPr>
                <w:sz w:val="20"/>
                <w:szCs w:val="20"/>
              </w:rPr>
              <w:t>Confirmed. The author names and citation (Williams H, Lamberg J, Lamberg E) are correct and consistent with our previous publications.</w:t>
            </w:r>
          </w:p>
        </w:tc>
      </w:tr>
      <w:tr w:rsidR="007D51E4" w14:paraId="2B63CD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0F071" w14:textId="77777777" w:rsidR="007D51E4" w:rsidRDefault="00000000"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4FD3D" w14:textId="77777777" w:rsidR="007D51E4" w:rsidRDefault="00000000">
            <w:r>
              <w:rPr>
                <w:sz w:val="20"/>
                <w:szCs w:val="20"/>
              </w:rPr>
              <w:t>Jack Lamberg does not have a Loop profile and does not wish to add one. Please proceed without a profile link.</w:t>
            </w:r>
          </w:p>
        </w:tc>
      </w:tr>
      <w:tr w:rsidR="007D51E4" w14:paraId="282808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C498D" w14:textId="77777777" w:rsidR="007D51E4" w:rsidRDefault="00000000">
            <w:r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E63D1" w14:textId="77777777" w:rsidR="007D51E4" w:rsidRDefault="00000000">
            <w:r>
              <w:rPr>
                <w:sz w:val="20"/>
                <w:szCs w:val="20"/>
              </w:rPr>
              <w:t>Not applicable. No department name is required for affiliation 2; please leave it as "Binghamton University, Binghamton, NY, United States."</w:t>
            </w:r>
          </w:p>
        </w:tc>
      </w:tr>
      <w:tr w:rsidR="007D51E4" w14:paraId="422421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0F8A9" w14:textId="77777777" w:rsidR="007D51E4" w:rsidRDefault="00000000">
            <w:r>
              <w:rPr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01F78" w14:textId="77777777" w:rsidR="007D51E4" w:rsidRDefault="00000000">
            <w:r>
              <w:rPr>
                <w:sz w:val="20"/>
                <w:szCs w:val="20"/>
              </w:rPr>
              <w:t>Confirmed. All author affiliations are correctly listed.</w:t>
            </w:r>
          </w:p>
        </w:tc>
      </w:tr>
      <w:tr w:rsidR="007D51E4" w14:paraId="411FF6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BBC16" w14:textId="77777777" w:rsidR="007D51E4" w:rsidRDefault="00000000">
            <w:r>
              <w:rPr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B8F94" w14:textId="77777777" w:rsidR="007D51E4" w:rsidRDefault="00000000">
            <w:r>
              <w:rPr>
                <w:sz w:val="20"/>
                <w:szCs w:val="20"/>
              </w:rPr>
              <w:t>Confirmed. The corresponding author email address (hants.williams@stonybrook.edu) is correct and active.</w:t>
            </w:r>
          </w:p>
        </w:tc>
      </w:tr>
      <w:tr w:rsidR="007D51E4" w14:paraId="3DD6EE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864B6" w14:textId="77777777" w:rsidR="007D51E4" w:rsidRDefault="00000000">
            <w:r>
              <w:rPr>
                <w:b/>
                <w:bCs/>
                <w:sz w:val="20"/>
                <w:szCs w:val="20"/>
              </w:rPr>
              <w:t>Q7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C3D43" w14:textId="77777777" w:rsidR="007D51E4" w:rsidRDefault="00000000">
            <w:r>
              <w:rPr>
                <w:sz w:val="20"/>
                <w:szCs w:val="20"/>
              </w:rPr>
              <w:t>Confirmed. The five keywords are correct.</w:t>
            </w:r>
          </w:p>
        </w:tc>
      </w:tr>
      <w:tr w:rsidR="007D51E4" w14:paraId="785165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89C0E" w14:textId="77777777" w:rsidR="007D51E4" w:rsidRDefault="00000000">
            <w:r>
              <w:rPr>
                <w:b/>
                <w:bCs/>
                <w:sz w:val="20"/>
                <w:szCs w:val="20"/>
              </w:rPr>
              <w:t>Q8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ABAA" w14:textId="77777777" w:rsidR="007D51E4" w:rsidRDefault="00000000">
            <w:r>
              <w:rPr>
                <w:sz w:val="20"/>
                <w:szCs w:val="20"/>
              </w:rPr>
              <w:t>Confirmed. The section headers and levelling have been correctly captured.</w:t>
            </w:r>
          </w:p>
        </w:tc>
      </w:tr>
      <w:tr w:rsidR="007D51E4" w14:paraId="40B9BE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D7F3D" w14:textId="77777777" w:rsidR="007D51E4" w:rsidRDefault="00000000">
            <w:r>
              <w:rPr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72A97" w14:textId="77777777" w:rsidR="007D51E4" w:rsidRDefault="00000000">
            <w:r>
              <w:rPr>
                <w:sz w:val="20"/>
                <w:szCs w:val="20"/>
              </w:rPr>
              <w:t>Confirmed. All equations and special characters (κ, Δ, ±, η²) are displayed correctly.</w:t>
            </w:r>
          </w:p>
        </w:tc>
      </w:tr>
      <w:tr w:rsidR="007D51E4" w14:paraId="5298EE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F67E1" w14:textId="77777777" w:rsidR="007D51E4" w:rsidRDefault="00000000">
            <w:r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0FA8E" w14:textId="77777777" w:rsidR="007D51E4" w:rsidRDefault="00000000">
            <w:r>
              <w:rPr>
                <w:sz w:val="20"/>
                <w:szCs w:val="20"/>
              </w:rPr>
              <w:t>The Data Availability statement has been amended from our submitted version. Our repository is now public, so please replace the statement with the following: "The analysis code and anonymized review scores supporting the conclusions of this article are publicly available at https://github.com/hantswilliams/sbu-seedgrant-llm-grantreviewer. Further inquiries can be directed to the corresponding author."</w:t>
            </w:r>
          </w:p>
        </w:tc>
      </w:tr>
      <w:tr w:rsidR="007D51E4" w14:paraId="6A4B58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2F607" w14:textId="77777777" w:rsidR="007D51E4" w:rsidRDefault="00000000">
            <w:r>
              <w:rPr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55505" w14:textId="6D599ABE" w:rsidR="007D51E4" w:rsidRDefault="004E3EBB">
            <w:r>
              <w:rPr>
                <w:sz w:val="20"/>
                <w:szCs w:val="20"/>
              </w:rPr>
              <w:t>Currently in the methods intro, there is a brief statement about ethics. If that does not suffice, [</w:t>
            </w:r>
            <w:r w:rsidR="00000000">
              <w:rPr>
                <w:sz w:val="20"/>
                <w:szCs w:val="20"/>
              </w:rPr>
              <w:t>lease add the following Ethics statement</w:t>
            </w:r>
            <w:r>
              <w:rPr>
                <w:sz w:val="20"/>
                <w:szCs w:val="20"/>
              </w:rPr>
              <w:t xml:space="preserve"> section</w:t>
            </w:r>
            <w:r w:rsidR="00000000">
              <w:rPr>
                <w:sz w:val="20"/>
                <w:szCs w:val="20"/>
              </w:rPr>
              <w:t>: "The study was reviewed by the Stony Brook University Institutional Review Board (Protocol IRB2025-00534) and classified as non-human subjects research. Grant applicants provided consent for the use of their de-identified application materials. No identifiable human images or data are included in this article."</w:t>
            </w:r>
          </w:p>
        </w:tc>
      </w:tr>
      <w:tr w:rsidR="007D51E4" w14:paraId="00C1CC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16B8C" w14:textId="77777777" w:rsidR="007D51E4" w:rsidRDefault="00000000">
            <w:r>
              <w:rPr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7C588" w14:textId="681DF323" w:rsidR="007D51E4" w:rsidRDefault="00000000">
            <w:r>
              <w:rPr>
                <w:sz w:val="20"/>
                <w:szCs w:val="20"/>
              </w:rPr>
              <w:t>Confirmed. The Author Contributions section is correct as shown. All three authors have writing roles (Writing</w:t>
            </w:r>
            <w:r w:rsidR="004E3EB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original draft and</w:t>
            </w:r>
            <w:r w:rsidR="004E3EBB">
              <w:rPr>
                <w:sz w:val="20"/>
                <w:szCs w:val="20"/>
              </w:rPr>
              <w:t xml:space="preserve"> or</w:t>
            </w:r>
            <w:r>
              <w:rPr>
                <w:sz w:val="20"/>
                <w:szCs w:val="20"/>
              </w:rPr>
              <w:t xml:space="preserve"> Writing </w:t>
            </w:r>
            <w:r w:rsidR="004E3EB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review &amp; editing).</w:t>
            </w:r>
          </w:p>
        </w:tc>
      </w:tr>
      <w:tr w:rsidR="007D51E4" w14:paraId="2B234E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F3D66" w14:textId="77777777" w:rsidR="007D51E4" w:rsidRDefault="00000000">
            <w:r>
              <w:rPr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3265C" w14:textId="77777777" w:rsidR="007D51E4" w:rsidRDefault="00000000">
            <w:r>
              <w:rPr>
                <w:sz w:val="20"/>
                <w:szCs w:val="20"/>
              </w:rPr>
              <w:t>Confirmed. No funding was received for this work. The funding statement is correct.</w:t>
            </w:r>
          </w:p>
        </w:tc>
      </w:tr>
      <w:tr w:rsidR="007D51E4" w14:paraId="1592EA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A359B" w14:textId="77777777" w:rsidR="007D51E4" w:rsidRDefault="00000000">
            <w:r>
              <w:rPr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73617" w14:textId="77777777" w:rsidR="007D51E4" w:rsidRDefault="00000000">
            <w:r>
              <w:rPr>
                <w:sz w:val="20"/>
                <w:szCs w:val="20"/>
              </w:rPr>
              <w:t xml:space="preserve">Confirmed. The </w:t>
            </w:r>
            <w:proofErr w:type="gramStart"/>
            <w:r>
              <w:rPr>
                <w:sz w:val="20"/>
                <w:szCs w:val="20"/>
              </w:rPr>
              <w:t>Conflict of Interest</w:t>
            </w:r>
            <w:proofErr w:type="gramEnd"/>
            <w:r>
              <w:rPr>
                <w:sz w:val="20"/>
                <w:szCs w:val="20"/>
              </w:rPr>
              <w:t xml:space="preserve"> statement is correct.</w:t>
            </w:r>
          </w:p>
        </w:tc>
      </w:tr>
      <w:tr w:rsidR="007D51E4" w14:paraId="5A699B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B0211" w14:textId="77777777" w:rsidR="007D51E4" w:rsidRDefault="00000000">
            <w:r>
              <w:rPr>
                <w:b/>
                <w:bCs/>
                <w:sz w:val="20"/>
                <w:szCs w:val="20"/>
              </w:rPr>
              <w:t>Q15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B293B" w14:textId="77777777" w:rsidR="007D51E4" w:rsidRDefault="00000000">
            <w:r>
              <w:rPr>
                <w:sz w:val="20"/>
                <w:szCs w:val="20"/>
              </w:rPr>
              <w:t>The supplementary material at the provided link was not correct and the link did not work. We have uploaded a corrected Supplementary Material file ("supplemental.docx") to the Production Forum. This file contains Supplementary Appendix A (Scoring Rubric) and Supplementary Appendix B (Prompt Templates). Please publish this file as the Supplementary Material for the article and remove/replace any previously uploaded supplementary files. Caption: "Supplementary Material – Appendix A: Scoring Rubric; Appendix B: Prompt Templates for all three experimental conditions."</w:t>
            </w:r>
          </w:p>
        </w:tc>
      </w:tr>
      <w:tr w:rsidR="007D51E4" w14:paraId="150288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48491" w14:textId="77777777" w:rsidR="007D51E4" w:rsidRDefault="00000000">
            <w:r>
              <w:rPr>
                <w:b/>
                <w:bCs/>
                <w:sz w:val="20"/>
                <w:szCs w:val="20"/>
              </w:rPr>
              <w:t>Q16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E849F" w14:textId="77777777" w:rsidR="007D51E4" w:rsidRDefault="00000000">
            <w:r>
              <w:rPr>
                <w:sz w:val="20"/>
                <w:szCs w:val="20"/>
              </w:rPr>
              <w:t>Guthrie, 2019: Washington, DC (AcademyHealth). National Institutes of Health, 2024: Bethesda, MD (U.S. Department of Health and Human Services). NOTE – correction to the Guthrie reference: on checking the source, this report has a single author (Susan Guthrie); "Klemperer, S." and "Lichten, C. A." were included in error. Please correct the reference to: Guthrie, S. (2019). Innovating in the Research Funding Process: Peer Review Alternatives and Adaptations. Washington, DC: AcademyHealth. Available online at: https://academyhealth.org/publications/2019-11/innovating-research-funding-process-peer-review-alternatives-and-adaptations (Accessed October 7, 2025). Please also change the in-text citation at line 110 from "Guthrie et al., 2019" to "Guthrie, 2019". For the NIH reference, the source URL is https://grants.nih.gov/policy-and-compliance/policy-topics/peer-review/simplifying-review/background (Accessed October 7, 2025), if you wish to include it.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  <w:tr w:rsidR="007D51E4" w14:paraId="5FF31F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5AE34" w14:textId="77777777" w:rsidR="007D51E4" w:rsidRDefault="00000000">
            <w:r>
              <w:rPr>
                <w:b/>
                <w:bCs/>
                <w:sz w:val="20"/>
                <w:szCs w:val="20"/>
              </w:rPr>
              <w:t>Q17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8BBA3" w14:textId="77777777" w:rsidR="007D51E4" w:rsidRDefault="00000000">
            <w:r>
              <w:rPr>
                <w:sz w:val="20"/>
                <w:szCs w:val="20"/>
              </w:rPr>
              <w:t xml:space="preserve">OpenAI, 2025: Accessed October 7, 2025. </w:t>
            </w:r>
            <w:proofErr w:type="spellStart"/>
            <w:r>
              <w:rPr>
                <w:sz w:val="20"/>
                <w:szCs w:val="20"/>
              </w:rPr>
              <w:t>xAI</w:t>
            </w:r>
            <w:proofErr w:type="spellEnd"/>
            <w:r>
              <w:rPr>
                <w:sz w:val="20"/>
                <w:szCs w:val="20"/>
              </w:rPr>
              <w:t>, 2025: Accessed October 7, 2025.</w:t>
            </w:r>
          </w:p>
        </w:tc>
      </w:tr>
      <w:tr w:rsidR="007D51E4" w14:paraId="0312FC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3B014" w14:textId="77777777" w:rsidR="007D51E4" w:rsidRDefault="00000000">
            <w:r>
              <w:rPr>
                <w:b/>
                <w:bCs/>
                <w:sz w:val="20"/>
                <w:szCs w:val="20"/>
              </w:rPr>
              <w:lastRenderedPageBreak/>
              <w:t>Q18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6951A" w14:textId="77777777" w:rsidR="007D51E4" w:rsidRDefault="00000000">
            <w:r>
              <w:rPr>
                <w:sz w:val="20"/>
                <w:szCs w:val="20"/>
              </w:rPr>
              <w:t>Wei et al., 2022 DOI: 10.52202/068431-1800 (the Crossref-registered DOI for this NeurIPS 2022 proceedings paper). If preferred, the arXiv DOI 10.48550/arXiv.2201.11903 also resolves to the same paper.</w:t>
            </w:r>
          </w:p>
        </w:tc>
      </w:tr>
      <w:tr w:rsidR="007D51E4" w14:paraId="3B2097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351F5" w14:textId="77777777" w:rsidR="007D51E4" w:rsidRDefault="00000000">
            <w:r>
              <w:rPr>
                <w:b/>
                <w:bCs/>
                <w:sz w:val="20"/>
                <w:szCs w:val="20"/>
              </w:rPr>
              <w:t>Q19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BD46A" w14:textId="77777777" w:rsidR="007D51E4" w:rsidRDefault="00000000">
            <w:r>
              <w:rPr>
                <w:sz w:val="20"/>
                <w:szCs w:val="20"/>
              </w:rPr>
              <w:t xml:space="preserve">Wei et al., </w:t>
            </w:r>
            <w:proofErr w:type="gramStart"/>
            <w:r>
              <w:rPr>
                <w:sz w:val="20"/>
                <w:szCs w:val="20"/>
              </w:rPr>
              <w:t>2022 page</w:t>
            </w:r>
            <w:proofErr w:type="gramEnd"/>
            <w:r>
              <w:rPr>
                <w:sz w:val="20"/>
                <w:szCs w:val="20"/>
              </w:rPr>
              <w:t xml:space="preserve"> range: 24824–24837.</w:t>
            </w:r>
          </w:p>
        </w:tc>
      </w:tr>
      <w:tr w:rsidR="007D51E4" w14:paraId="07F41A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6B240" w14:textId="77777777" w:rsidR="007D51E4" w:rsidRDefault="00000000">
            <w:r>
              <w:rPr>
                <w:b/>
                <w:bCs/>
                <w:sz w:val="20"/>
                <w:szCs w:val="20"/>
              </w:rPr>
              <w:t>Q20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13BE9" w14:textId="77777777" w:rsidR="007D51E4" w:rsidRDefault="00000000">
            <w:r>
              <w:rPr>
                <w:sz w:val="20"/>
                <w:szCs w:val="20"/>
              </w:rPr>
              <w:t xml:space="preserve">Wei et al., 2022 editors: S. </w:t>
            </w:r>
            <w:proofErr w:type="spellStart"/>
            <w:r>
              <w:rPr>
                <w:sz w:val="20"/>
                <w:szCs w:val="20"/>
              </w:rPr>
              <w:t>Koyejo</w:t>
            </w:r>
            <w:proofErr w:type="spellEnd"/>
            <w:r>
              <w:rPr>
                <w:sz w:val="20"/>
                <w:szCs w:val="20"/>
              </w:rPr>
              <w:t>, S. Mohamed, A. Agarwal, D. Belgrave, K. Cho, and A. Oh.</w:t>
            </w:r>
          </w:p>
        </w:tc>
      </w:tr>
      <w:tr w:rsidR="007D51E4" w14:paraId="37CE79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7D8EA" w14:textId="77777777" w:rsidR="007D51E4" w:rsidRDefault="00000000">
            <w:r>
              <w:rPr>
                <w:b/>
                <w:bCs/>
                <w:sz w:val="20"/>
                <w:szCs w:val="20"/>
              </w:rPr>
              <w:t>Q21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95DC0" w14:textId="77777777" w:rsidR="007D51E4" w:rsidRDefault="00000000">
            <w:r>
              <w:rPr>
                <w:sz w:val="20"/>
                <w:szCs w:val="20"/>
              </w:rPr>
              <w:t xml:space="preserve">Wei et al., 2022 publisher: Curran Associates, Inc., Red Hook, NY. Complete reference: Wei, J., Wang, X., Schuurmans, D., Bosma, M., </w:t>
            </w:r>
            <w:proofErr w:type="spellStart"/>
            <w:r>
              <w:rPr>
                <w:sz w:val="20"/>
                <w:szCs w:val="20"/>
              </w:rPr>
              <w:t>Ichter</w:t>
            </w:r>
            <w:proofErr w:type="spellEnd"/>
            <w:r>
              <w:rPr>
                <w:sz w:val="20"/>
                <w:szCs w:val="20"/>
              </w:rPr>
              <w:t>, B., Xia, F., et al. (2022). "Chain-of-thought prompting elicits reasoning in large language models," in Advances in Neural Information Processing Systems 35 (</w:t>
            </w:r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  <w:r>
              <w:rPr>
                <w:sz w:val="20"/>
                <w:szCs w:val="20"/>
              </w:rPr>
              <w:t xml:space="preserve"> 2022), eds. S. </w:t>
            </w:r>
            <w:proofErr w:type="spellStart"/>
            <w:r>
              <w:rPr>
                <w:sz w:val="20"/>
                <w:szCs w:val="20"/>
              </w:rPr>
              <w:t>Koyejo</w:t>
            </w:r>
            <w:proofErr w:type="spellEnd"/>
            <w:r>
              <w:rPr>
                <w:sz w:val="20"/>
                <w:szCs w:val="20"/>
              </w:rPr>
              <w:t xml:space="preserve">, S. Mohamed, A. Agarwal, D. Belgrave, K. Cho, and A. Oh (Red Hook, NY: Curran Associates, Inc.), 24824–24837. </w:t>
            </w:r>
            <w:proofErr w:type="spellStart"/>
            <w:r>
              <w:rPr>
                <w:sz w:val="20"/>
                <w:szCs w:val="20"/>
              </w:rPr>
              <w:t>doi</w:t>
            </w:r>
            <w:proofErr w:type="spellEnd"/>
            <w:r>
              <w:rPr>
                <w:sz w:val="20"/>
                <w:szCs w:val="20"/>
              </w:rPr>
              <w:t>: 10.52202/068431-1800</w:t>
            </w:r>
          </w:p>
        </w:tc>
      </w:tr>
      <w:tr w:rsidR="007D51E4" w14:paraId="56DA1B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03DB1" w14:textId="77777777" w:rsidR="007D51E4" w:rsidRDefault="00000000">
            <w:r>
              <w:rPr>
                <w:b/>
                <w:bCs/>
                <w:sz w:val="20"/>
                <w:szCs w:val="20"/>
              </w:rPr>
              <w:t>Q22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B640E" w14:textId="77777777" w:rsidR="007D51E4" w:rsidRDefault="00000000">
            <w:r>
              <w:rPr>
                <w:sz w:val="20"/>
                <w:szCs w:val="20"/>
              </w:rPr>
              <w:t>Not applicable. All figures and tables are original and were created by the authors for this article. No previously published or third-party copyrighted material is reproduced.</w:t>
            </w:r>
          </w:p>
        </w:tc>
      </w:tr>
      <w:tr w:rsidR="007D51E4" w14:paraId="357C51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80E44" w14:textId="77777777" w:rsidR="007D51E4" w:rsidRDefault="00000000">
            <w:r>
              <w:rPr>
                <w:b/>
                <w:bCs/>
                <w:sz w:val="20"/>
                <w:szCs w:val="20"/>
              </w:rPr>
              <w:t>Q23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7F4F0" w14:textId="77777777" w:rsidR="007D51E4" w:rsidRDefault="00000000">
            <w:r>
              <w:rPr>
                <w:sz w:val="20"/>
                <w:szCs w:val="20"/>
              </w:rPr>
              <w:t>Confirmed. All figures, tables and captions are correct, and the figure files provided are the latest versions. The article contains no human images.</w:t>
            </w:r>
          </w:p>
        </w:tc>
      </w:tr>
      <w:tr w:rsidR="007D51E4" w14:paraId="47352C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CFCA4" w14:textId="77777777" w:rsidR="007D51E4" w:rsidRDefault="00000000">
            <w:r>
              <w:rPr>
                <w:b/>
                <w:bCs/>
                <w:sz w:val="20"/>
                <w:szCs w:val="20"/>
              </w:rPr>
              <w:t>Q24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5204F" w14:textId="77777777" w:rsidR="007D51E4" w:rsidRDefault="00000000">
            <w:r>
              <w:rPr>
                <w:sz w:val="20"/>
                <w:szCs w:val="20"/>
              </w:rPr>
              <w:t>Please insert a citation to Table 1 in Section 2.3 (line 202) by changing "Three prompt engineering strategies were tested." to "Three prompt engineering strategies were tested (Table 1)."</w:t>
            </w:r>
          </w:p>
        </w:tc>
      </w:tr>
      <w:tr w:rsidR="007D51E4" w14:paraId="05329C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60E23" w14:textId="77777777" w:rsidR="007D51E4" w:rsidRDefault="00000000">
            <w:r>
              <w:rPr>
                <w:b/>
                <w:bCs/>
                <w:sz w:val="20"/>
                <w:szCs w:val="20"/>
              </w:rPr>
              <w:t>Q25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94BED" w14:textId="77777777" w:rsidR="007D51E4" w:rsidRDefault="00000000">
            <w:r>
              <w:rPr>
                <w:sz w:val="20"/>
                <w:szCs w:val="20"/>
              </w:rPr>
              <w:t>Confirmed. The edit to "Supplementary Appendix A" and "Supplementary Appendix B" is correct, as these appendices are now provided in the separate Supplementary Material file (see Q15 and Q27).</w:t>
            </w:r>
          </w:p>
        </w:tc>
      </w:tr>
      <w:tr w:rsidR="007D51E4" w14:paraId="04183B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1583" w14:textId="77777777" w:rsidR="007D51E4" w:rsidRDefault="00000000">
            <w:r>
              <w:rPr>
                <w:b/>
                <w:bCs/>
                <w:sz w:val="20"/>
                <w:szCs w:val="20"/>
              </w:rPr>
              <w:t>Q26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FF873" w14:textId="77777777" w:rsidR="004E3EB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Figure 2 Alt-Text is accurate please keep it as is. </w:t>
            </w:r>
          </w:p>
          <w:p w14:paraId="319AFE77" w14:textId="77777777" w:rsidR="004E3EBB" w:rsidRDefault="004E3EBB">
            <w:pPr>
              <w:rPr>
                <w:sz w:val="20"/>
                <w:szCs w:val="20"/>
              </w:rPr>
            </w:pPr>
          </w:p>
          <w:p w14:paraId="681EE3DB" w14:textId="047390F6" w:rsidR="007D51E4" w:rsidRDefault="00000000">
            <w:r>
              <w:rPr>
                <w:sz w:val="20"/>
                <w:szCs w:val="20"/>
              </w:rPr>
              <w:t xml:space="preserve">For Figure 1, please use the following revised Alt-Text: </w:t>
            </w:r>
            <w:r w:rsidRPr="004E3EBB">
              <w:rPr>
                <w:i/>
                <w:iCs/>
                <w:sz w:val="20"/>
                <w:szCs w:val="20"/>
              </w:rPr>
              <w:t xml:space="preserve">"Three-panel scatter plot comparing total scores (0–100) from human reviewers and three large language models (GPT-5 Nano, Gemini 2.5 Flash, </w:t>
            </w:r>
            <w:proofErr w:type="gramStart"/>
            <w:r w:rsidRPr="004E3EBB">
              <w:rPr>
                <w:i/>
                <w:iCs/>
                <w:sz w:val="20"/>
                <w:szCs w:val="20"/>
              </w:rPr>
              <w:t>Grok</w:t>
            </w:r>
            <w:proofErr w:type="gramEnd"/>
            <w:r w:rsidRPr="004E3EBB">
              <w:rPr>
                <w:i/>
                <w:iCs/>
                <w:sz w:val="20"/>
                <w:szCs w:val="20"/>
              </w:rPr>
              <w:t xml:space="preserve"> 4 Fast) under zero-shot, few-shot, and few-shot with strict instructions. Circles show individual human scores</w:t>
            </w:r>
            <w:r w:rsidR="004E3EBB" w:rsidRPr="004E3EBB">
              <w:rPr>
                <w:i/>
                <w:iCs/>
                <w:sz w:val="20"/>
                <w:szCs w:val="20"/>
              </w:rPr>
              <w:t>, while</w:t>
            </w:r>
            <w:r w:rsidRPr="004E3EBB">
              <w:rPr>
                <w:i/>
                <w:iCs/>
                <w:sz w:val="20"/>
                <w:szCs w:val="20"/>
              </w:rPr>
              <w:t xml:space="preserve"> diamonds show vendor-aggregated LLM scores. Group means are annotated: humans 79.1 versus LLMs 83.6 (zero-shot), 83.1 versus 80.6 (few-shot), and 83.1 versus 72.4 (few-shot plus strict). Vertical bars show plus or minus one standard deviation. LLM scores cluster in a much narrower range than human scores in all three conditions."</w:t>
            </w:r>
          </w:p>
        </w:tc>
      </w:tr>
      <w:tr w:rsidR="007D51E4" w14:paraId="6D0097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6E0CB" w14:textId="77777777" w:rsidR="007D51E4" w:rsidRDefault="00000000">
            <w:r>
              <w:rPr>
                <w:b/>
                <w:bCs/>
                <w:sz w:val="20"/>
                <w:szCs w:val="20"/>
              </w:rPr>
              <w:t>Q27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AA8F6" w14:textId="77777777" w:rsidR="007D51E4" w:rsidRDefault="00000000">
            <w:r>
              <w:rPr>
                <w:sz w:val="20"/>
                <w:szCs w:val="20"/>
              </w:rPr>
              <w:t>We have uploaded the Appendix content as a separate Supplementary file ("supplemental.docx") to the Production Forum. It contains Supplementary Appendix A (Scoring Rubric) and Supplementary Appendix B (Prompt Templates). Please publish this file as the Supplementary Material and link it at the Supplementary Material URL (see Q15).</w:t>
            </w:r>
          </w:p>
        </w:tc>
      </w:tr>
      <w:tr w:rsidR="007D51E4" w14:paraId="46AAB3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AEABA" w14:textId="77777777" w:rsidR="007D51E4" w:rsidRDefault="00000000">
            <w:r>
              <w:rPr>
                <w:b/>
                <w:bCs/>
                <w:sz w:val="20"/>
                <w:szCs w:val="20"/>
              </w:rPr>
              <w:t>Q28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BC0A7" w14:textId="77777777" w:rsidR="007D51E4" w:rsidRDefault="00000000">
            <w:r>
              <w:rPr>
                <w:sz w:val="20"/>
                <w:szCs w:val="20"/>
              </w:rPr>
              <w:t>No values are bolded in Table 2. Please delete the final sentence of the Table 2 footnote, "Bold indicates best alignment."</w:t>
            </w:r>
          </w:p>
        </w:tc>
      </w:tr>
    </w:tbl>
    <w:p w14:paraId="1DBF2BAA" w14:textId="57F89F10" w:rsidR="007D51E4" w:rsidRDefault="00000000">
      <w:pPr>
        <w:pStyle w:val="Heading2"/>
        <w:spacing w:before="360" w:after="120"/>
      </w:pPr>
      <w:r>
        <w:t xml:space="preserve">Additional corrections </w:t>
      </w:r>
    </w:p>
    <w:p w14:paraId="49FADAD8" w14:textId="65E3A411" w:rsidR="007D51E4" w:rsidRDefault="004E3EBB">
      <w:pPr>
        <w:spacing w:after="160"/>
      </w:pPr>
      <w:r>
        <w:t>Please make the</w:t>
      </w:r>
      <w:r w:rsidR="00000000">
        <w:t xml:space="preserve"> following minor text corrections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D51E4" w14:paraId="60373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A7240" w14:textId="77777777" w:rsidR="007D51E4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DDCAA" w14:textId="77777777" w:rsidR="007D51E4" w:rsidRDefault="00000000">
            <w:r>
              <w:rPr>
                <w:b/>
                <w:bCs/>
                <w:sz w:val="20"/>
                <w:szCs w:val="20"/>
              </w:rPr>
              <w:t>Correction requested</w:t>
            </w:r>
          </w:p>
        </w:tc>
      </w:tr>
      <w:tr w:rsidR="007D51E4" w14:paraId="573C18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53CA3" w14:textId="77777777" w:rsidR="007D51E4" w:rsidRDefault="00000000">
            <w:r>
              <w:rPr>
                <w:b/>
                <w:bCs/>
                <w:sz w:val="20"/>
                <w:szCs w:val="20"/>
              </w:rPr>
              <w:t>Line 254 (Section 2.4)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40F4F" w14:textId="77777777" w:rsidR="007D51E4" w:rsidRDefault="00000000">
            <w:r>
              <w:rPr>
                <w:sz w:val="20"/>
                <w:szCs w:val="20"/>
              </w:rPr>
              <w:t>Please change "underlining model" to "underlying model."</w:t>
            </w:r>
          </w:p>
        </w:tc>
      </w:tr>
      <w:tr w:rsidR="007D51E4" w14:paraId="56D86E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A2A55" w14:textId="27179F04" w:rsidR="007D51E4" w:rsidRDefault="00000000">
            <w:r>
              <w:rPr>
                <w:b/>
                <w:bCs/>
                <w:sz w:val="20"/>
                <w:szCs w:val="20"/>
              </w:rPr>
              <w:lastRenderedPageBreak/>
              <w:t>Abstract (lines 90</w:t>
            </w:r>
            <w:r w:rsidR="004E3EBB">
              <w:rPr>
                <w:b/>
                <w:bCs/>
                <w:sz w:val="20"/>
                <w:szCs w:val="20"/>
              </w:rPr>
              <w:t xml:space="preserve"> to </w:t>
            </w:r>
            <w:r>
              <w:rPr>
                <w:b/>
                <w:bCs/>
                <w:sz w:val="20"/>
                <w:szCs w:val="20"/>
              </w:rPr>
              <w:t>92)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0E49" w14:textId="77777777" w:rsidR="004E3EB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change "LLMs demonstrated 49%–59% lower score dispersion than humans (49% in Experiment 1 and 59% in Experiments 2–3) likely reflects range restriction." to </w:t>
            </w:r>
          </w:p>
          <w:p w14:paraId="62AD0EC0" w14:textId="77777777" w:rsidR="004E3EBB" w:rsidRDefault="004E3EBB">
            <w:pPr>
              <w:rPr>
                <w:sz w:val="20"/>
                <w:szCs w:val="20"/>
              </w:rPr>
            </w:pPr>
          </w:p>
          <w:p w14:paraId="64B6E0BC" w14:textId="1F2ED4F9" w:rsidR="007D51E4" w:rsidRPr="004E3EBB" w:rsidRDefault="00000000">
            <w:pPr>
              <w:rPr>
                <w:i/>
                <w:iCs/>
              </w:rPr>
            </w:pPr>
            <w:r w:rsidRPr="004E3EBB">
              <w:rPr>
                <w:i/>
                <w:iCs/>
                <w:sz w:val="20"/>
                <w:szCs w:val="20"/>
              </w:rPr>
              <w:t>"LLMs demonstrated 49%–59% lower score dispersion than humans (49% in Experiment 1 and 59% in Experiments 2–3), which likely reflects range restriction."</w:t>
            </w:r>
          </w:p>
        </w:tc>
      </w:tr>
      <w:tr w:rsidR="007D51E4" w14:paraId="630749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ACFA5" w14:textId="77777777" w:rsidR="007D51E4" w:rsidRDefault="00000000">
            <w:r>
              <w:rPr>
                <w:b/>
                <w:bCs/>
                <w:sz w:val="20"/>
                <w:szCs w:val="20"/>
              </w:rPr>
              <w:t>Figure 1 caption (line 376)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CBCE4" w14:textId="77777777" w:rsidR="007D51E4" w:rsidRDefault="00000000">
            <w:r>
              <w:rPr>
                <w:sz w:val="20"/>
                <w:szCs w:val="20"/>
              </w:rPr>
              <w:t>Please change "Vertical bars ±1 indicate standard deviation." to "Vertical bars indicate ±1 standard deviation."</w:t>
            </w:r>
          </w:p>
        </w:tc>
      </w:tr>
    </w:tbl>
    <w:p w14:paraId="2997AE57" w14:textId="77777777" w:rsidR="00D57E2A" w:rsidRDefault="00D57E2A"/>
    <w:sectPr w:rsidR="00D57E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957225"/>
    <w:multiLevelType w:val="hybridMultilevel"/>
    <w:tmpl w:val="A628DF60"/>
    <w:lvl w:ilvl="0" w:tplc="EF3C7618">
      <w:start w:val="1"/>
      <w:numFmt w:val="bullet"/>
      <w:lvlText w:val="●"/>
      <w:lvlJc w:val="left"/>
      <w:pPr>
        <w:ind w:left="720" w:hanging="360"/>
      </w:pPr>
    </w:lvl>
    <w:lvl w:ilvl="1" w:tplc="EA849092">
      <w:start w:val="1"/>
      <w:numFmt w:val="bullet"/>
      <w:lvlText w:val="○"/>
      <w:lvlJc w:val="left"/>
      <w:pPr>
        <w:ind w:left="1440" w:hanging="360"/>
      </w:pPr>
    </w:lvl>
    <w:lvl w:ilvl="2" w:tplc="D4987952">
      <w:start w:val="1"/>
      <w:numFmt w:val="bullet"/>
      <w:lvlText w:val="■"/>
      <w:lvlJc w:val="left"/>
      <w:pPr>
        <w:ind w:left="2160" w:hanging="360"/>
      </w:pPr>
    </w:lvl>
    <w:lvl w:ilvl="3" w:tplc="AC0CB4D8">
      <w:start w:val="1"/>
      <w:numFmt w:val="bullet"/>
      <w:lvlText w:val="●"/>
      <w:lvlJc w:val="left"/>
      <w:pPr>
        <w:ind w:left="2880" w:hanging="360"/>
      </w:pPr>
    </w:lvl>
    <w:lvl w:ilvl="4" w:tplc="744601DA">
      <w:start w:val="1"/>
      <w:numFmt w:val="bullet"/>
      <w:lvlText w:val="○"/>
      <w:lvlJc w:val="left"/>
      <w:pPr>
        <w:ind w:left="3600" w:hanging="360"/>
      </w:pPr>
    </w:lvl>
    <w:lvl w:ilvl="5" w:tplc="77E86D04">
      <w:start w:val="1"/>
      <w:numFmt w:val="bullet"/>
      <w:lvlText w:val="■"/>
      <w:lvlJc w:val="left"/>
      <w:pPr>
        <w:ind w:left="4320" w:hanging="360"/>
      </w:pPr>
    </w:lvl>
    <w:lvl w:ilvl="6" w:tplc="BE9E25A4">
      <w:start w:val="1"/>
      <w:numFmt w:val="bullet"/>
      <w:lvlText w:val="●"/>
      <w:lvlJc w:val="left"/>
      <w:pPr>
        <w:ind w:left="5040" w:hanging="360"/>
      </w:pPr>
    </w:lvl>
    <w:lvl w:ilvl="7" w:tplc="66729FD0">
      <w:start w:val="1"/>
      <w:numFmt w:val="bullet"/>
      <w:lvlText w:val="●"/>
      <w:lvlJc w:val="left"/>
      <w:pPr>
        <w:ind w:left="5760" w:hanging="360"/>
      </w:pPr>
    </w:lvl>
    <w:lvl w:ilvl="8" w:tplc="550C1E6C">
      <w:start w:val="1"/>
      <w:numFmt w:val="bullet"/>
      <w:lvlText w:val="●"/>
      <w:lvlJc w:val="left"/>
      <w:pPr>
        <w:ind w:left="6480" w:hanging="360"/>
      </w:pPr>
    </w:lvl>
  </w:abstractNum>
  <w:num w:numId="1" w16cid:durableId="1111558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1E4"/>
    <w:rsid w:val="00247140"/>
    <w:rsid w:val="004E3EBB"/>
    <w:rsid w:val="007D51E4"/>
    <w:rsid w:val="00D5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E0AE5"/>
  <w15:docId w15:val="{4D631B3C-F786-8C4C-A77A-719AEA5F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Williams, Hants A</cp:lastModifiedBy>
  <cp:revision>2</cp:revision>
  <dcterms:created xsi:type="dcterms:W3CDTF">2026-09-06T16:29:00Z</dcterms:created>
  <dcterms:modified xsi:type="dcterms:W3CDTF">2026-09-06T16:35:00Z</dcterms:modified>
</cp:coreProperties>
</file>