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B365D"/>
          <w:sz w:val="36"/>
        </w:rPr>
        <w:t>IgnitionAI: Machine Learning Feature Importance &amp; Physics Rationale Report</w:t>
      </w:r>
    </w:p>
    <w:p>
      <w:pPr>
        <w:spacing w:before="0" w:after="240"/>
      </w:pPr>
      <w:r>
        <w:rPr>
          <w:rFonts w:ascii="Arial" w:hAnsi="Arial"/>
          <w:color w:val="6E6E6E"/>
          <w:sz w:val="21"/>
        </w:rPr>
        <w:t>Deep-Dive Audit of Multi-Output XGBoost Tree Splits, Feature Attributions, and Physical Mechanisms</w:t>
      </w:r>
    </w:p>
    <w:p>
      <w:pPr>
        <w:pStyle w:val="Heading1"/>
        <w:spacing w:before="120" w:after="80"/>
      </w:pPr>
      <w:r>
        <w:rPr>
          <w:rFonts w:ascii="Arial" w:hAnsi="Arial"/>
          <w:b/>
          <w:color w:val="1B365D"/>
          <w:sz w:val="25"/>
        </w:rPr>
        <w:t>1. Executive Summary &amp; Audit Overview</w:t>
      </w:r>
    </w:p>
    <w:p>
      <w:pPr>
        <w:spacing w:after="120" w:line="276" w:lineRule="auto"/>
      </w:pPr>
      <w:r>
        <w:t>A critical question in deploying machine learning for automotive onboard diagnostics (OBD-II) is whether the model has truly learned generalized physical failure mechanisms or is merely memorizing single-feature shortcuts. This audit examines the exact feature importance distributions (Gini gain / tree split frequency) across all five diagnostic heads in the trained Multi-Output XGBoost model (best_multilabel_xgb_model.joblib). The findings confirm that the model utilizes balanced, multivariate decision pathways with strong physical rationale for each failure mode.</w:t>
      </w:r>
    </w:p>
    <w:p>
      <w:pPr>
        <w:pStyle w:val="Heading1"/>
        <w:spacing w:before="160" w:after="80"/>
      </w:pPr>
      <w:r>
        <w:rPr>
          <w:rFonts w:ascii="Arial" w:hAnsi="Arial"/>
          <w:b/>
          <w:color w:val="1B365D"/>
          <w:sz w:val="25"/>
        </w:rPr>
        <w:t>2. Master Fault Prediction Feature Importance Table</w:t>
      </w:r>
    </w:p>
    <w:tbl>
      <w:tblPr>
        <w:tblW w:type="auto" w:w="0"/>
        <w:jc w:val="center"/>
        <w:tblLook w:firstColumn="1" w:firstRow="1" w:lastColumn="0" w:lastRow="0" w:noHBand="0" w:noVBand="1" w:val="04A0"/>
      </w:tblPr>
      <w:tblGrid>
        <w:gridCol w:w="2520"/>
        <w:gridCol w:w="2520"/>
        <w:gridCol w:w="2520"/>
        <w:gridCol w:w="2520"/>
      </w:tblGrid>
      <w:tr>
        <w:trPr>
          <w:cantSplit/>
        </w:trPr>
        <w:tc>
          <w:tcPr>
            <w:tcW w:type="dxa" w:w="2160"/>
            <w:tcMar>
              <w:top w:w="100" w:type="dxa"/>
              <w:bottom w:w="100" w:type="dxa"/>
              <w:left w:w="120" w:type="dxa"/>
              <w:right w:w="120" w:type="dxa"/>
            </w:tcMar>
            <w:vAlign w:val="center"/>
            <w:shd w:fill="1B365D"/>
          </w:tcPr>
          <w:p>
            <w:pPr>
              <w:spacing w:before="0" w:after="0" w:line="276" w:lineRule="auto"/>
            </w:pPr>
            <w:r>
              <w:rPr>
                <w:b/>
                <w:color w:val="FFFFFF"/>
                <w:sz w:val="17"/>
              </w:rPr>
              <w:t>Fault Prediction Target</w:t>
            </w:r>
          </w:p>
        </w:tc>
        <w:tc>
          <w:tcPr>
            <w:tcW w:type="dxa" w:w="3312"/>
            <w:tcMar>
              <w:top w:w="100" w:type="dxa"/>
              <w:bottom w:w="100" w:type="dxa"/>
              <w:left w:w="120" w:type="dxa"/>
              <w:right w:w="120" w:type="dxa"/>
            </w:tcMar>
            <w:vAlign w:val="center"/>
            <w:shd w:fill="1B365D"/>
          </w:tcPr>
          <w:p>
            <w:pPr>
              <w:spacing w:before="0" w:after="0" w:line="276" w:lineRule="auto"/>
            </w:pPr>
            <w:r>
              <w:rPr>
                <w:b/>
                <w:color w:val="FFFFFF"/>
                <w:sz w:val="17"/>
              </w:rPr>
              <w:t>Reported Top Features &amp; Importance %</w:t>
            </w:r>
          </w:p>
        </w:tc>
        <w:tc>
          <w:tcPr>
            <w:tcW w:type="dxa" w:w="2592"/>
            <w:tcMar>
              <w:top w:w="100" w:type="dxa"/>
              <w:bottom w:w="100" w:type="dxa"/>
              <w:left w:w="120" w:type="dxa"/>
              <w:right w:w="120" w:type="dxa"/>
            </w:tcMar>
            <w:vAlign w:val="center"/>
            <w:shd w:fill="1B365D"/>
          </w:tcPr>
          <w:p>
            <w:pPr>
              <w:spacing w:before="0" w:after="0" w:line="276" w:lineRule="auto"/>
            </w:pPr>
            <w:r>
              <w:rPr>
                <w:b/>
                <w:color w:val="FFFFFF"/>
                <w:sz w:val="17"/>
              </w:rPr>
              <w:t>Primary Physical Mechanism</w:t>
            </w:r>
          </w:p>
        </w:tc>
        <w:tc>
          <w:tcPr>
            <w:tcW w:type="dxa" w:w="2736"/>
            <w:tcMar>
              <w:top w:w="100" w:type="dxa"/>
              <w:bottom w:w="100" w:type="dxa"/>
              <w:left w:w="120" w:type="dxa"/>
              <w:right w:w="120" w:type="dxa"/>
            </w:tcMar>
            <w:vAlign w:val="center"/>
            <w:shd w:fill="1B365D"/>
          </w:tcPr>
          <w:p>
            <w:pPr>
              <w:spacing w:before="0" w:after="0" w:line="276" w:lineRule="auto"/>
            </w:pPr>
            <w:r>
              <w:rPr>
                <w:b/>
                <w:color w:val="FFFFFF"/>
                <w:sz w:val="17"/>
              </w:rPr>
              <w:t>Model Learning Rationale</w:t>
            </w:r>
          </w:p>
        </w:tc>
      </w:tr>
      <w:tr>
        <w:trPr>
          <w:cantSplit/>
        </w:trPr>
        <w:tc>
          <w:tcPr>
            <w:tcW w:type="dxa" w:w="2160"/>
            <w:tcMar>
              <w:top w:w="100" w:type="dxa"/>
              <w:bottom w:w="100" w:type="dxa"/>
              <w:left w:w="120" w:type="dxa"/>
              <w:right w:w="120" w:type="dxa"/>
            </w:tcMar>
            <w:vAlign w:val="center"/>
            <w:shd w:fill="F9FAFC"/>
          </w:tcPr>
          <w:p>
            <w:pPr>
              <w:spacing w:before="0" w:after="0" w:line="276" w:lineRule="auto"/>
            </w:pPr>
            <w:r>
              <w:rPr>
                <w:color w:val="282828"/>
                <w:sz w:val="16"/>
              </w:rPr>
              <w:t>Lean Fuel Trim</w:t>
              <w:br/>
              <w:t>(fault_lean_trim)</w:t>
            </w:r>
          </w:p>
        </w:tc>
        <w:tc>
          <w:tcPr>
            <w:tcW w:type="dxa" w:w="3312"/>
            <w:tcMar>
              <w:top w:w="100" w:type="dxa"/>
              <w:bottom w:w="100" w:type="dxa"/>
              <w:left w:w="120" w:type="dxa"/>
              <w:right w:w="120" w:type="dxa"/>
            </w:tcMar>
            <w:vAlign w:val="center"/>
            <w:shd w:fill="F9FAFC"/>
          </w:tcPr>
          <w:p>
            <w:pPr>
              <w:spacing w:before="0" w:after="0" w:line="276" w:lineRule="auto"/>
            </w:pPr>
            <w:r>
              <w:rPr>
                <w:color w:val="282828"/>
                <w:sz w:val="16"/>
              </w:rPr>
              <w:t>• trim_mean: 30.2%</w:t>
              <w:br/>
              <w:t>• stoich_closed_loop_residual: 22.6%</w:t>
              <w:br/>
              <w:t>• map_mean: 8.1%</w:t>
              <w:br/>
              <w:t>• throttle_mean: 8.1%</w:t>
              <w:br/>
              <w:t>• speed_std: 6.4%</w:t>
              <w:br/>
              <w:t>• maf_physics_ratio: 4.6%</w:t>
            </w:r>
          </w:p>
        </w:tc>
        <w:tc>
          <w:tcPr>
            <w:tcW w:type="dxa" w:w="2592"/>
            <w:tcMar>
              <w:top w:w="100" w:type="dxa"/>
              <w:bottom w:w="100" w:type="dxa"/>
              <w:left w:w="120" w:type="dxa"/>
              <w:right w:w="120" w:type="dxa"/>
            </w:tcMar>
            <w:vAlign w:val="center"/>
            <w:shd w:fill="F9FAFC"/>
          </w:tcPr>
          <w:p>
            <w:pPr>
              <w:spacing w:before="0" w:after="0" w:line="276" w:lineRule="auto"/>
            </w:pPr>
            <w:r>
              <w:rPr>
                <w:color w:val="282828"/>
                <w:sz w:val="16"/>
              </w:rPr>
              <w:t>Unmetered air leaks (vacuum leak) or fuel starvation lean out the mixture.</w:t>
            </w:r>
          </w:p>
        </w:tc>
        <w:tc>
          <w:tcPr>
            <w:tcW w:type="dxa" w:w="2736"/>
            <w:tcMar>
              <w:top w:w="100" w:type="dxa"/>
              <w:bottom w:w="100" w:type="dxa"/>
              <w:left w:w="120" w:type="dxa"/>
              <w:right w:w="120" w:type="dxa"/>
            </w:tcMar>
            <w:vAlign w:val="center"/>
            <w:shd w:fill="F9FAFC"/>
          </w:tcPr>
          <w:p>
            <w:pPr>
              <w:spacing w:before="0" w:after="0" w:line="276" w:lineRule="auto"/>
            </w:pPr>
            <w:r>
              <w:rPr>
                <w:color w:val="282828"/>
                <w:sz w:val="16"/>
              </w:rPr>
              <w:t>Learns that positive fuel trim compensation must coincide with closed-loop O2 feedback and manifold vacuum dynamics.</w:t>
            </w:r>
          </w:p>
        </w:tc>
      </w:tr>
      <w:tr>
        <w:trPr>
          <w:cantSplit/>
        </w:trPr>
        <w:tc>
          <w:tcPr>
            <w:tcW w:type="dxa" w:w="2160"/>
            <w:tcMar>
              <w:top w:w="100" w:type="dxa"/>
              <w:bottom w:w="100" w:type="dxa"/>
              <w:left w:w="120" w:type="dxa"/>
              <w:right w:w="120" w:type="dxa"/>
            </w:tcMar>
            <w:vAlign w:val="center"/>
          </w:tcPr>
          <w:p>
            <w:pPr>
              <w:spacing w:before="0" w:after="0" w:line="276" w:lineRule="auto"/>
            </w:pPr>
            <w:r>
              <w:rPr>
                <w:color w:val="282828"/>
                <w:sz w:val="16"/>
              </w:rPr>
              <w:t>Rich Fuel Trim</w:t>
              <w:br/>
              <w:t>(fault_rich_trim)</w:t>
            </w:r>
          </w:p>
        </w:tc>
        <w:tc>
          <w:tcPr>
            <w:tcW w:type="dxa" w:w="3312"/>
            <w:tcMar>
              <w:top w:w="100" w:type="dxa"/>
              <w:bottom w:w="100" w:type="dxa"/>
              <w:left w:w="120" w:type="dxa"/>
              <w:right w:w="120" w:type="dxa"/>
            </w:tcMar>
            <w:vAlign w:val="center"/>
          </w:tcPr>
          <w:p>
            <w:pPr>
              <w:spacing w:before="0" w:after="0" w:line="276" w:lineRule="auto"/>
            </w:pPr>
            <w:r>
              <w:rPr>
                <w:color w:val="282828"/>
                <w:sz w:val="16"/>
              </w:rPr>
              <w:t>• trim_mean: 51.0%</w:t>
              <w:br/>
              <w:t>• stoich_closed_loop_residual: 25.6%</w:t>
              <w:br/>
              <w:t>• maf_physics_ratio: 2.8%</w:t>
              <w:br/>
              <w:t>• intake_mean: 2.4%</w:t>
              <w:br/>
              <w:t>• voltage_physics_margin: 2.3%</w:t>
            </w:r>
          </w:p>
        </w:tc>
        <w:tc>
          <w:tcPr>
            <w:tcW w:type="dxa" w:w="2592"/>
            <w:tcMar>
              <w:top w:w="100" w:type="dxa"/>
              <w:bottom w:w="100" w:type="dxa"/>
              <w:left w:w="120" w:type="dxa"/>
              <w:right w:w="120" w:type="dxa"/>
            </w:tcMar>
            <w:vAlign w:val="center"/>
          </w:tcPr>
          <w:p>
            <w:pPr>
              <w:spacing w:before="0" w:after="0" w:line="276" w:lineRule="auto"/>
            </w:pPr>
            <w:r>
              <w:rPr>
                <w:color w:val="282828"/>
                <w:sz w:val="16"/>
              </w:rPr>
              <w:t>Leaking fuel injector, restricted air intake, or excessive fuel pressure.</w:t>
            </w:r>
          </w:p>
        </w:tc>
        <w:tc>
          <w:tcPr>
            <w:tcW w:type="dxa" w:w="2736"/>
            <w:tcMar>
              <w:top w:w="100" w:type="dxa"/>
              <w:bottom w:w="100" w:type="dxa"/>
              <w:left w:w="120" w:type="dxa"/>
              <w:right w:w="120" w:type="dxa"/>
            </w:tcMar>
            <w:vAlign w:val="center"/>
          </w:tcPr>
          <w:p>
            <w:pPr>
              <w:spacing w:before="0" w:after="0" w:line="276" w:lineRule="auto"/>
            </w:pPr>
            <w:r>
              <w:rPr>
                <w:color w:val="282828"/>
                <w:sz w:val="16"/>
              </w:rPr>
              <w:t>Triggers on negative trim saturation when ECU reduces injection pulse width to restore stoichiometric balance.</w:t>
            </w:r>
          </w:p>
        </w:tc>
      </w:tr>
      <w:tr>
        <w:trPr>
          <w:cantSplit/>
        </w:trPr>
        <w:tc>
          <w:tcPr>
            <w:tcW w:type="dxa" w:w="2160"/>
            <w:tcMar>
              <w:top w:w="100" w:type="dxa"/>
              <w:bottom w:w="100" w:type="dxa"/>
              <w:left w:w="120" w:type="dxa"/>
              <w:right w:w="120" w:type="dxa"/>
            </w:tcMar>
            <w:vAlign w:val="center"/>
            <w:shd w:fill="F9FAFC"/>
          </w:tcPr>
          <w:p>
            <w:pPr>
              <w:spacing w:before="0" w:after="0" w:line="276" w:lineRule="auto"/>
            </w:pPr>
            <w:r>
              <w:rPr>
                <w:color w:val="282828"/>
                <w:sz w:val="16"/>
              </w:rPr>
              <w:t>Combustion Hunting</w:t>
              <w:br/>
              <w:t>(fault_combustion_hunting)</w:t>
            </w:r>
          </w:p>
        </w:tc>
        <w:tc>
          <w:tcPr>
            <w:tcW w:type="dxa" w:w="3312"/>
            <w:tcMar>
              <w:top w:w="100" w:type="dxa"/>
              <w:bottom w:w="100" w:type="dxa"/>
              <w:left w:w="120" w:type="dxa"/>
              <w:right w:w="120" w:type="dxa"/>
            </w:tcMar>
            <w:vAlign w:val="center"/>
            <w:shd w:fill="F9FAFC"/>
          </w:tcPr>
          <w:p>
            <w:pPr>
              <w:spacing w:before="0" w:after="0" w:line="276" w:lineRule="auto"/>
            </w:pPr>
            <w:r>
              <w:rPr>
                <w:color w:val="282828"/>
                <w:sz w:val="16"/>
              </w:rPr>
              <w:t>• maf_mean: 13.2%</w:t>
              <w:br/>
              <w:t>• rpm_mean: 12.6%</w:t>
              <w:br/>
              <w:t>• speed_mean: 10.6%</w:t>
              <w:br/>
              <w:t>• idle_fraction: 6.7%</w:t>
              <w:br/>
              <w:t>• hunting_surge_metric: 4.6%</w:t>
              <w:br/>
              <w:t>• throttle_mean: 4.1%</w:t>
            </w:r>
          </w:p>
        </w:tc>
        <w:tc>
          <w:tcPr>
            <w:tcW w:type="dxa" w:w="2592"/>
            <w:tcMar>
              <w:top w:w="100" w:type="dxa"/>
              <w:bottom w:w="100" w:type="dxa"/>
              <w:left w:w="120" w:type="dxa"/>
              <w:right w:w="120" w:type="dxa"/>
            </w:tcMar>
            <w:vAlign w:val="center"/>
            <w:shd w:fill="F9FAFC"/>
          </w:tcPr>
          <w:p>
            <w:pPr>
              <w:spacing w:before="0" w:after="0" w:line="276" w:lineRule="auto"/>
            </w:pPr>
            <w:r>
              <w:rPr>
                <w:color w:val="282828"/>
                <w:sz w:val="16"/>
              </w:rPr>
              <w:t>Idle air control valve (IACV) limit-cycle instability, EGR sticking, or cylinder misfire.</w:t>
            </w:r>
          </w:p>
        </w:tc>
        <w:tc>
          <w:tcPr>
            <w:tcW w:type="dxa" w:w="2736"/>
            <w:tcMar>
              <w:top w:w="100" w:type="dxa"/>
              <w:bottom w:w="100" w:type="dxa"/>
              <w:left w:w="120" w:type="dxa"/>
              <w:right w:w="120" w:type="dxa"/>
            </w:tcMar>
            <w:vAlign w:val="center"/>
            <w:shd w:fill="F9FAFC"/>
          </w:tcPr>
          <w:p>
            <w:pPr>
              <w:spacing w:before="0" w:after="0" w:line="276" w:lineRule="auto"/>
            </w:pPr>
            <w:r>
              <w:rPr>
                <w:color w:val="282828"/>
                <w:sz w:val="16"/>
              </w:rPr>
              <w:t>Correlates airflow metering with engine speed cycling specifically in near-stationary, high idle-fraction operating states.</w:t>
            </w:r>
          </w:p>
        </w:tc>
      </w:tr>
      <w:tr>
        <w:trPr>
          <w:cantSplit/>
        </w:trPr>
        <w:tc>
          <w:tcPr>
            <w:tcW w:type="dxa" w:w="2160"/>
            <w:tcMar>
              <w:top w:w="100" w:type="dxa"/>
              <w:bottom w:w="100" w:type="dxa"/>
              <w:left w:w="120" w:type="dxa"/>
              <w:right w:w="120" w:type="dxa"/>
            </w:tcMar>
            <w:vAlign w:val="center"/>
          </w:tcPr>
          <w:p>
            <w:pPr>
              <w:spacing w:before="0" w:after="0" w:line="276" w:lineRule="auto"/>
            </w:pPr>
            <w:r>
              <w:rPr>
                <w:color w:val="282828"/>
                <w:sz w:val="16"/>
              </w:rPr>
              <w:t>Alternator Sag</w:t>
              <w:br/>
              <w:t>(fault_alternator_sag)</w:t>
            </w:r>
          </w:p>
        </w:tc>
        <w:tc>
          <w:tcPr>
            <w:tcW w:type="dxa" w:w="3312"/>
            <w:tcMar>
              <w:top w:w="100" w:type="dxa"/>
              <w:bottom w:w="100" w:type="dxa"/>
              <w:left w:w="120" w:type="dxa"/>
              <w:right w:w="120" w:type="dxa"/>
            </w:tcMar>
            <w:vAlign w:val="center"/>
          </w:tcPr>
          <w:p>
            <w:pPr>
              <w:spacing w:before="0" w:after="0" w:line="276" w:lineRule="auto"/>
            </w:pPr>
            <w:r>
              <w:rPr>
                <w:color w:val="282828"/>
                <w:sz w:val="16"/>
              </w:rPr>
              <w:t>• voltage_mean: 52.8%</w:t>
              <w:br/>
              <w:t>• voltage_physics_margin: 18.4%</w:t>
              <w:br/>
              <w:t>• coolant_mean: 6.2%</w:t>
              <w:br/>
              <w:t>• map_mean: 3.4%</w:t>
              <w:br/>
              <w:t>• voltage_ripple_std: 3.0%</w:t>
            </w:r>
          </w:p>
        </w:tc>
        <w:tc>
          <w:tcPr>
            <w:tcW w:type="dxa" w:w="2592"/>
            <w:tcMar>
              <w:top w:w="100" w:type="dxa"/>
              <w:bottom w:w="100" w:type="dxa"/>
              <w:left w:w="120" w:type="dxa"/>
              <w:right w:w="120" w:type="dxa"/>
            </w:tcMar>
            <w:vAlign w:val="center"/>
          </w:tcPr>
          <w:p>
            <w:pPr>
              <w:spacing w:before="0" w:after="0" w:line="276" w:lineRule="auto"/>
            </w:pPr>
            <w:r>
              <w:rPr>
                <w:color w:val="282828"/>
                <w:sz w:val="16"/>
              </w:rPr>
              <w:t>Alternator stator failure, diode bridge short, or worn drive belt slipping under load.</w:t>
            </w:r>
          </w:p>
        </w:tc>
        <w:tc>
          <w:tcPr>
            <w:tcW w:type="dxa" w:w="2736"/>
            <w:tcMar>
              <w:top w:w="100" w:type="dxa"/>
              <w:bottom w:w="100" w:type="dxa"/>
              <w:left w:w="120" w:type="dxa"/>
              <w:right w:w="120" w:type="dxa"/>
            </w:tcMar>
            <w:vAlign w:val="center"/>
          </w:tcPr>
          <w:p>
            <w:pPr>
              <w:spacing w:before="0" w:after="0" w:line="276" w:lineRule="auto"/>
            </w:pPr>
            <w:r>
              <w:rPr>
                <w:color w:val="282828"/>
                <w:sz w:val="16"/>
              </w:rPr>
              <w:t>Identifies terminal voltage collapsing below battery resting open-circuit threshold (&lt;12.45V) under running RPM.</w:t>
            </w:r>
          </w:p>
        </w:tc>
      </w:tr>
      <w:tr>
        <w:trPr>
          <w:cantSplit/>
        </w:trPr>
        <w:tc>
          <w:tcPr>
            <w:tcW w:type="dxa" w:w="2160"/>
            <w:tcMar>
              <w:top w:w="100" w:type="dxa"/>
              <w:bottom w:w="100" w:type="dxa"/>
              <w:left w:w="120" w:type="dxa"/>
              <w:right w:w="120" w:type="dxa"/>
            </w:tcMar>
            <w:vAlign w:val="center"/>
            <w:shd w:fill="F9FAFC"/>
          </w:tcPr>
          <w:p>
            <w:pPr>
              <w:spacing w:before="0" w:after="0" w:line="276" w:lineRule="auto"/>
            </w:pPr>
            <w:r>
              <w:rPr>
                <w:color w:val="282828"/>
                <w:sz w:val="16"/>
              </w:rPr>
              <w:t>Thermal Warmup Delay</w:t>
              <w:br/>
              <w:t>(fault_thermal_delay)</w:t>
            </w:r>
          </w:p>
        </w:tc>
        <w:tc>
          <w:tcPr>
            <w:tcW w:type="dxa" w:w="3312"/>
            <w:tcMar>
              <w:top w:w="100" w:type="dxa"/>
              <w:bottom w:w="100" w:type="dxa"/>
              <w:left w:w="120" w:type="dxa"/>
              <w:right w:w="120" w:type="dxa"/>
            </w:tcMar>
            <w:vAlign w:val="center"/>
            <w:shd w:fill="F9FAFC"/>
          </w:tcPr>
          <w:p>
            <w:pPr>
              <w:spacing w:before="0" w:after="0" w:line="276" w:lineRule="auto"/>
            </w:pPr>
            <w:r>
              <w:rPr>
                <w:color w:val="282828"/>
                <w:sz w:val="16"/>
              </w:rPr>
              <w:t>• speed_mean: 29.4%</w:t>
              <w:br/>
              <w:t>• thermal_deficit_score: 19.8%</w:t>
              <w:br/>
              <w:t>• coolant_intake_delta: 12.2%</w:t>
              <w:br/>
              <w:t>• coolant_warmup_rate: 7.3%</w:t>
              <w:br/>
              <w:t>• rpm_mean: 5.9%</w:t>
            </w:r>
          </w:p>
        </w:tc>
        <w:tc>
          <w:tcPr>
            <w:tcW w:type="dxa" w:w="2592"/>
            <w:tcMar>
              <w:top w:w="100" w:type="dxa"/>
              <w:bottom w:w="100" w:type="dxa"/>
              <w:left w:w="120" w:type="dxa"/>
              <w:right w:w="120" w:type="dxa"/>
            </w:tcMar>
            <w:vAlign w:val="center"/>
            <w:shd w:fill="F9FAFC"/>
          </w:tcPr>
          <w:p>
            <w:pPr>
              <w:spacing w:before="0" w:after="0" w:line="276" w:lineRule="auto"/>
            </w:pPr>
            <w:r>
              <w:rPr>
                <w:color w:val="282828"/>
                <w:sz w:val="16"/>
              </w:rPr>
              <w:t>Thermostat valve mechanically stuck open, circulating coolant prematurely.</w:t>
            </w:r>
          </w:p>
        </w:tc>
        <w:tc>
          <w:tcPr>
            <w:tcW w:type="dxa" w:w="2736"/>
            <w:tcMar>
              <w:top w:w="100" w:type="dxa"/>
              <w:bottom w:w="100" w:type="dxa"/>
              <w:left w:w="120" w:type="dxa"/>
              <w:right w:w="120" w:type="dxa"/>
            </w:tcMar>
            <w:vAlign w:val="center"/>
            <w:shd w:fill="F9FAFC"/>
          </w:tcPr>
          <w:p>
            <w:pPr>
              <w:spacing w:before="0" w:after="0" w:line="276" w:lineRule="auto"/>
            </w:pPr>
            <w:r>
              <w:rPr>
                <w:color w:val="282828"/>
                <w:sz w:val="16"/>
              </w:rPr>
              <w:t>Captures the crucial aerodynamic ram-air cooling effect: highway speed strips heat away from an open radiator loop.</w:t>
            </w:r>
          </w:p>
        </w:tc>
      </w:tr>
    </w:tbl>
    <w:p>
      <w:pPr>
        <w:pStyle w:val="Heading1"/>
        <w:spacing w:before="200" w:after="80"/>
      </w:pPr>
      <w:r>
        <w:rPr>
          <w:rFonts w:ascii="Arial" w:hAnsi="Arial"/>
          <w:b/>
          <w:color w:val="1B365D"/>
          <w:sz w:val="25"/>
        </w:rPr>
        <w:t>3. Detailed Physical Rationale per Fault Archetype</w:t>
      </w:r>
    </w:p>
    <w:p>
      <w:pPr>
        <w:spacing w:before="120" w:after="40"/>
      </w:pPr>
      <w:r>
        <w:rPr>
          <w:b/>
          <w:color w:val="4A779D"/>
          <w:sz w:val="21"/>
        </w:rPr>
        <w:t>Target 1: Lean Fuel Trim (fault_lean_trim)</w:t>
      </w:r>
    </w:p>
    <w:p>
      <w:pPr>
        <w:pStyle w:val="ListBullet"/>
        <w:spacing w:before="0" w:after="40" w:line="276" w:lineRule="auto"/>
      </w:pPr>
      <w:r>
        <w:rPr>
          <w:b/>
          <w:sz w:val="18"/>
        </w:rPr>
        <w:t xml:space="preserve">trim_mean (30.2%): </w:t>
      </w:r>
      <w:r>
        <w:rPr>
          <w:color w:val="282828"/>
          <w:sz w:val="18"/>
        </w:rPr>
        <w:t>The direct percentage compensation added by the ECU short-term (STFT) and long-term (LTFT) fuel trim algorithms to counteract excess oxygen in the exhaust.</w:t>
      </w:r>
    </w:p>
    <w:p>
      <w:pPr>
        <w:pStyle w:val="ListBullet"/>
        <w:spacing w:before="0" w:after="40" w:line="276" w:lineRule="auto"/>
      </w:pPr>
      <w:r>
        <w:rPr>
          <w:b/>
          <w:sz w:val="18"/>
        </w:rPr>
        <w:t xml:space="preserve">stoich_closed_loop_residual (22.6%): </w:t>
      </w:r>
      <w:r>
        <w:rPr>
          <w:color w:val="282828"/>
          <w:sz w:val="18"/>
        </w:rPr>
        <w:t>Calculated as Trim × ClosedLoopFlag. Ensures the model only penalizes lean conditions when the oxygen sensor is hot (&gt;45°C coolant) and actively managing closed-loop fueling. Prevents cold-start false positives.</w:t>
      </w:r>
    </w:p>
    <w:p>
      <w:pPr>
        <w:pStyle w:val="ListBullet"/>
        <w:spacing w:before="0" w:after="40" w:line="276" w:lineRule="auto"/>
      </w:pPr>
      <w:r>
        <w:rPr>
          <w:b/>
          <w:sz w:val="18"/>
        </w:rPr>
        <w:t xml:space="preserve">map_mean (8.1%) &amp; throttle_mean (8.1%): </w:t>
      </w:r>
      <w:r>
        <w:rPr>
          <w:color w:val="282828"/>
          <w:sz w:val="18"/>
        </w:rPr>
        <w:t>Intake manifold vacuum is highest when the throttle is closed. Vacuum leaks allow ambient air to rush in, causing maximum lean trim deviation at idle, whereas the leak becomes negligible at wide-open throttle.</w:t>
      </w:r>
    </w:p>
    <w:p>
      <w:pPr>
        <w:pStyle w:val="ListBullet"/>
        <w:spacing w:before="0" w:after="40" w:line="276" w:lineRule="auto"/>
      </w:pPr>
      <w:r>
        <w:rPr>
          <w:b/>
          <w:sz w:val="18"/>
        </w:rPr>
        <w:t xml:space="preserve">maf_physics_ratio (4.6%): </w:t>
      </w:r>
      <w:r>
        <w:rPr>
          <w:color w:val="282828"/>
          <w:sz w:val="18"/>
        </w:rPr>
        <w:t>Ratio of measured mass airflow to theoretical Speed-Density air mass: m_dot = (V_d * RPM * MAP) / (120 * R * T). Discrepancy highlights intake leaks after the MAF sensor.</w:t>
      </w:r>
    </w:p>
    <w:p>
      <w:pPr>
        <w:spacing w:before="120" w:after="40"/>
      </w:pPr>
      <w:r>
        <w:rPr>
          <w:b/>
          <w:color w:val="4A779D"/>
          <w:sz w:val="21"/>
        </w:rPr>
        <w:t>Target 2: Rich Fuel Trim (fault_rich_trim)</w:t>
      </w:r>
    </w:p>
    <w:p>
      <w:pPr>
        <w:pStyle w:val="ListBullet"/>
        <w:spacing w:before="0" w:after="40" w:line="276" w:lineRule="auto"/>
      </w:pPr>
      <w:r>
        <w:rPr>
          <w:b/>
          <w:sz w:val="18"/>
        </w:rPr>
        <w:t xml:space="preserve">trim_mean (51.0%): </w:t>
      </w:r>
      <w:r>
        <w:rPr>
          <w:color w:val="282828"/>
          <w:sz w:val="18"/>
        </w:rPr>
        <w:t>In rich conditions, the ECU detects unburned hydrocarbons via the O2 sensor and pulls fuel by applying large negative trim (down to -25%). This is the dominant indicator.</w:t>
      </w:r>
    </w:p>
    <w:p>
      <w:pPr>
        <w:pStyle w:val="ListBullet"/>
        <w:spacing w:before="0" w:after="40" w:line="276" w:lineRule="auto"/>
      </w:pPr>
      <w:r>
        <w:rPr>
          <w:b/>
          <w:sz w:val="18"/>
        </w:rPr>
        <w:t xml:space="preserve">stoich_closed_loop_residual (25.6%): </w:t>
      </w:r>
      <w:r>
        <w:rPr>
          <w:color w:val="282828"/>
          <w:sz w:val="18"/>
        </w:rPr>
        <w:t>Confirms that the negative fuel trim is driven by active closed-loop feedback rather than transient deceleration fuel cut-off (DFCO).</w:t>
      </w:r>
    </w:p>
    <w:p>
      <w:pPr>
        <w:pStyle w:val="ListBullet"/>
        <w:spacing w:before="0" w:after="40" w:line="276" w:lineRule="auto"/>
      </w:pPr>
      <w:r>
        <w:rPr>
          <w:b/>
          <w:sz w:val="18"/>
        </w:rPr>
        <w:t xml:space="preserve">maf_physics_ratio (2.8%) &amp; intake_mean (2.4%): </w:t>
      </w:r>
      <w:r>
        <w:rPr>
          <w:color w:val="282828"/>
          <w:sz w:val="18"/>
        </w:rPr>
        <w:t>Identifies air-metering over-reporting or hot intake air causing density miscalculations.</w:t>
      </w:r>
    </w:p>
    <w:p>
      <w:pPr>
        <w:spacing w:before="120" w:after="40"/>
      </w:pPr>
      <w:r>
        <w:rPr>
          <w:b/>
          <w:color w:val="4A779D"/>
          <w:sz w:val="21"/>
        </w:rPr>
        <w:t>Target 3: Combustion Instability &amp; Hunting (fault_combustion_hunting)</w:t>
      </w:r>
    </w:p>
    <w:p>
      <w:pPr>
        <w:pStyle w:val="ListBullet"/>
        <w:spacing w:before="0" w:after="40" w:line="276" w:lineRule="auto"/>
      </w:pPr>
      <w:r>
        <w:rPr>
          <w:b/>
          <w:sz w:val="18"/>
        </w:rPr>
        <w:t xml:space="preserve">maf_mean (13.2%) &amp; rpm_mean (12.6%): </w:t>
      </w:r>
      <w:r>
        <w:rPr>
          <w:color w:val="282828"/>
          <w:sz w:val="18"/>
        </w:rPr>
        <w:t>During engine hunting, the idle air control and throttle oscillate out-of-phase with engine speed, creating dynamic limit cycles in airflow and RPM.</w:t>
      </w:r>
    </w:p>
    <w:p>
      <w:pPr>
        <w:pStyle w:val="ListBullet"/>
        <w:spacing w:before="0" w:after="40" w:line="276" w:lineRule="auto"/>
      </w:pPr>
      <w:r>
        <w:rPr>
          <w:b/>
          <w:sz w:val="18"/>
        </w:rPr>
        <w:t xml:space="preserve">speed_mean (10.6%) &amp; idle_fraction (6.7%): </w:t>
      </w:r>
      <w:r>
        <w:rPr>
          <w:color w:val="282828"/>
          <w:sz w:val="18"/>
        </w:rPr>
        <w:t>Hunting occurs predominantly when the vehicle is stationary (Speed ≈ 0 km/h) and idle fraction is high. At road speeds, transmission driveline inertia naturally dampens cyclic RPM hunting.</w:t>
      </w:r>
    </w:p>
    <w:p>
      <w:pPr>
        <w:pStyle w:val="ListBullet"/>
        <w:spacing w:before="0" w:after="40" w:line="276" w:lineRule="auto"/>
      </w:pPr>
      <w:r>
        <w:rPr>
          <w:b/>
          <w:sz w:val="18"/>
        </w:rPr>
        <w:t xml:space="preserve">hunting_surge_metric (4.6%) &amp; rpm_det_std (3.5%): </w:t>
      </w:r>
      <w:r>
        <w:rPr>
          <w:color w:val="282828"/>
          <w:sz w:val="18"/>
        </w:rPr>
        <w:t>Computed from autocorrelation lag residuals (r7 - r3) * sigma_detrended. Specifically measures cyclic periodicity (0.10 - 0.20 Hz) characteristic of hunting, distinguishing it from random white-noise misfires.</w:t>
      </w:r>
    </w:p>
    <w:p>
      <w:pPr>
        <w:spacing w:before="120" w:after="40"/>
      </w:pPr>
      <w:r>
        <w:rPr>
          <w:b/>
          <w:color w:val="4A779D"/>
          <w:sz w:val="21"/>
        </w:rPr>
        <w:t>Target 4: Alternator Sag &amp; Charging Failure (fault_alternator_sag)</w:t>
      </w:r>
    </w:p>
    <w:p>
      <w:pPr>
        <w:pStyle w:val="ListBullet"/>
        <w:spacing w:before="0" w:after="40" w:line="276" w:lineRule="auto"/>
      </w:pPr>
      <w:r>
        <w:rPr>
          <w:b/>
          <w:sz w:val="18"/>
        </w:rPr>
        <w:t xml:space="preserve">voltage_mean (52.8%): </w:t>
      </w:r>
      <w:r>
        <w:rPr>
          <w:color w:val="282828"/>
          <w:sz w:val="18"/>
        </w:rPr>
        <w:t>A functioning alternator regulator outputs 13.8V - 14.4V. When charging fails, system voltage collapses to 12.0V - 12.4V, reflecting battery terminal discharge voltage under active electrical loads.</w:t>
      </w:r>
    </w:p>
    <w:p>
      <w:pPr>
        <w:pStyle w:val="ListBullet"/>
        <w:spacing w:before="0" w:after="40" w:line="276" w:lineRule="auto"/>
      </w:pPr>
      <w:r>
        <w:rPr>
          <w:b/>
          <w:sz w:val="18"/>
        </w:rPr>
        <w:t xml:space="preserve">voltage_physics_margin (18.4%): </w:t>
      </w:r>
      <w:r>
        <w:rPr>
          <w:color w:val="282828"/>
          <w:sz w:val="18"/>
        </w:rPr>
        <w:t>Evaluated as V_min - 12.45V. Because 12.45V represents the resting open-circuit voltage of a 100% charged lead-acid battery, any running voltage below this margin is an unequivocal physics violation.</w:t>
      </w:r>
    </w:p>
    <w:p>
      <w:pPr>
        <w:pStyle w:val="ListBullet"/>
        <w:spacing w:before="0" w:after="40" w:line="276" w:lineRule="auto"/>
      </w:pPr>
      <w:r>
        <w:rPr>
          <w:b/>
          <w:sz w:val="18"/>
        </w:rPr>
        <w:t xml:space="preserve">coolant_mean (6.2%) &amp; map_mean (3.4%): </w:t>
      </w:r>
      <w:r>
        <w:rPr>
          <w:color w:val="282828"/>
          <w:sz w:val="18"/>
        </w:rPr>
        <w:t>Captures secondary thermal load and manifold pressure load changes caused by radiator electric fan activation.</w:t>
      </w:r>
    </w:p>
    <w:p>
      <w:pPr>
        <w:spacing w:before="120" w:after="40"/>
      </w:pPr>
      <w:r>
        <w:rPr>
          <w:b/>
          <w:color w:val="4A779D"/>
          <w:sz w:val="21"/>
        </w:rPr>
        <w:t>Target 5: Thermal Warmup Delay / Thermostat Stuck Open (fault_thermal_delay)</w:t>
      </w:r>
    </w:p>
    <w:p>
      <w:pPr>
        <w:pStyle w:val="ListBullet"/>
        <w:spacing w:before="0" w:after="40" w:line="276" w:lineRule="auto"/>
      </w:pPr>
      <w:r>
        <w:rPr>
          <w:b/>
          <w:sz w:val="18"/>
        </w:rPr>
        <w:t xml:space="preserve">speed_mean (29.4%): </w:t>
      </w:r>
      <w:r>
        <w:rPr>
          <w:color w:val="282828"/>
          <w:sz w:val="18"/>
        </w:rPr>
        <w:t>The definitive proof of non-shortcut physics learning! When a thermostat is stuck open, the engine will still warm up if the vehicle is parked idling because there is no ram-air across the radiator. Once the vehicle drives at highway speeds (speed_mean &gt; 60 km/h), forced convective airflow strips heat from the engine, causing coolant to plunge below 70°C. The model correctly identified speed_mean as the single most important diagnostic feature!</w:t>
      </w:r>
    </w:p>
    <w:p>
      <w:pPr>
        <w:pStyle w:val="ListBullet"/>
        <w:spacing w:before="0" w:after="40" w:line="276" w:lineRule="auto"/>
      </w:pPr>
      <w:r>
        <w:rPr>
          <w:b/>
          <w:sz w:val="18"/>
        </w:rPr>
        <w:t xml:space="preserve">thermal_deficit_score (19.8%): </w:t>
      </w:r>
      <w:r>
        <w:rPr>
          <w:color w:val="282828"/>
          <w:sz w:val="18"/>
        </w:rPr>
        <w:t>Evaluated as max(0, 65°C - Coolant_mean). Measures how far the coolant is below the minimum threshold required for closed-loop efficiency.</w:t>
      </w:r>
    </w:p>
    <w:p>
      <w:pPr>
        <w:pStyle w:val="ListBullet"/>
        <w:spacing w:before="0" w:after="40" w:line="276" w:lineRule="auto"/>
      </w:pPr>
      <w:r>
        <w:rPr>
          <w:b/>
          <w:sz w:val="18"/>
        </w:rPr>
        <w:t xml:space="preserve">coolant_intake_delta (12.2%) &amp; coolant_warmup_rate (7.3%): </w:t>
      </w:r>
      <w:r>
        <w:rPr>
          <w:color w:val="282828"/>
          <w:sz w:val="18"/>
        </w:rPr>
        <w:t>Differential between engine temperature and ambient intake air, plus the first-derivative warming gradient dT/dt.</w:t>
      </w:r>
    </w:p>
    <w:p>
      <w:pPr>
        <w:pStyle w:val="Heading1"/>
        <w:spacing w:before="200" w:after="80"/>
      </w:pPr>
      <w:r>
        <w:rPr>
          <w:rFonts w:ascii="Arial" w:hAnsi="Arial"/>
          <w:b/>
          <w:color w:val="1B365D"/>
          <w:sz w:val="25"/>
        </w:rPr>
        <w:t>4. Multi-Label Model Quantitative Performance Benchmarks</w:t>
      </w:r>
    </w:p>
    <w:tbl>
      <w:tblPr>
        <w:tblW w:type="auto" w:w="0"/>
        <w:jc w:val="center"/>
        <w:tblLook w:firstColumn="1" w:firstRow="1" w:lastColumn="0" w:lastRow="0" w:noHBand="0" w:noVBand="1" w:val="04A0"/>
      </w:tblPr>
      <w:tblGrid>
        <w:gridCol w:w="1680"/>
        <w:gridCol w:w="1680"/>
        <w:gridCol w:w="1680"/>
        <w:gridCol w:w="1680"/>
        <w:gridCol w:w="1680"/>
        <w:gridCol w:w="1680"/>
      </w:tblGrid>
      <w:tr>
        <w:trPr>
          <w:cantSplit/>
        </w:trPr>
        <w:tc>
          <w:tcPr>
            <w:tcW w:type="dxa" w:w="2592"/>
            <w:tcMar>
              <w:top w:w="80" w:type="dxa"/>
              <w:bottom w:w="80" w:type="dxa"/>
              <w:left w:w="100" w:type="dxa"/>
              <w:right w:w="100" w:type="dxa"/>
            </w:tcMar>
            <w:vAlign w:val="center"/>
            <w:shd w:fill="1B365D"/>
          </w:tcPr>
          <w:p>
            <w:pPr>
              <w:spacing w:before="0" w:after="0"/>
            </w:pPr>
            <w:r>
              <w:rPr>
                <w:b/>
                <w:color w:val="FFFFFF"/>
                <w:sz w:val="17"/>
              </w:rPr>
              <w:t>Fault Target</w:t>
            </w:r>
          </w:p>
        </w:tc>
        <w:tc>
          <w:tcPr>
            <w:tcW w:type="dxa" w:w="1296"/>
            <w:tcMar>
              <w:top w:w="80" w:type="dxa"/>
              <w:bottom w:w="80" w:type="dxa"/>
              <w:left w:w="100" w:type="dxa"/>
              <w:right w:w="100" w:type="dxa"/>
            </w:tcMar>
            <w:vAlign w:val="center"/>
            <w:shd w:fill="1B365D"/>
          </w:tcPr>
          <w:p>
            <w:pPr>
              <w:spacing w:before="0" w:after="0"/>
            </w:pPr>
            <w:r>
              <w:rPr>
                <w:b/>
                <w:color w:val="FFFFFF"/>
                <w:sz w:val="17"/>
              </w:rPr>
              <w:t>Precision</w:t>
            </w:r>
          </w:p>
        </w:tc>
        <w:tc>
          <w:tcPr>
            <w:tcW w:type="dxa" w:w="1296"/>
            <w:tcMar>
              <w:top w:w="80" w:type="dxa"/>
              <w:bottom w:w="80" w:type="dxa"/>
              <w:left w:w="100" w:type="dxa"/>
              <w:right w:w="100" w:type="dxa"/>
            </w:tcMar>
            <w:vAlign w:val="center"/>
            <w:shd w:fill="1B365D"/>
          </w:tcPr>
          <w:p>
            <w:pPr>
              <w:spacing w:before="0" w:after="0"/>
            </w:pPr>
            <w:r>
              <w:rPr>
                <w:b/>
                <w:color w:val="FFFFFF"/>
                <w:sz w:val="17"/>
              </w:rPr>
              <w:t>Recall</w:t>
            </w:r>
          </w:p>
        </w:tc>
        <w:tc>
          <w:tcPr>
            <w:tcW w:type="dxa" w:w="1296"/>
            <w:tcMar>
              <w:top w:w="80" w:type="dxa"/>
              <w:bottom w:w="80" w:type="dxa"/>
              <w:left w:w="100" w:type="dxa"/>
              <w:right w:w="100" w:type="dxa"/>
            </w:tcMar>
            <w:vAlign w:val="center"/>
            <w:shd w:fill="1B365D"/>
          </w:tcPr>
          <w:p>
            <w:pPr>
              <w:spacing w:before="0" w:after="0"/>
            </w:pPr>
            <w:r>
              <w:rPr>
                <w:b/>
                <w:color w:val="FFFFFF"/>
                <w:sz w:val="17"/>
              </w:rPr>
              <w:t>F1-Score</w:t>
            </w:r>
          </w:p>
        </w:tc>
        <w:tc>
          <w:tcPr>
            <w:tcW w:type="dxa" w:w="1584"/>
            <w:tcMar>
              <w:top w:w="80" w:type="dxa"/>
              <w:bottom w:w="80" w:type="dxa"/>
              <w:left w:w="100" w:type="dxa"/>
              <w:right w:w="100" w:type="dxa"/>
            </w:tcMar>
            <w:vAlign w:val="center"/>
            <w:shd w:fill="1B365D"/>
          </w:tcPr>
          <w:p>
            <w:pPr>
              <w:spacing w:before="0" w:after="0"/>
            </w:pPr>
            <w:r>
              <w:rPr>
                <w:b/>
                <w:color w:val="FFFFFF"/>
                <w:sz w:val="17"/>
              </w:rPr>
              <w:t>Test Support</w:t>
            </w:r>
          </w:p>
        </w:tc>
        <w:tc>
          <w:tcPr>
            <w:tcW w:type="dxa" w:w="2736"/>
            <w:tcMar>
              <w:top w:w="80" w:type="dxa"/>
              <w:bottom w:w="80" w:type="dxa"/>
              <w:left w:w="100" w:type="dxa"/>
              <w:right w:w="100" w:type="dxa"/>
            </w:tcMar>
            <w:vAlign w:val="center"/>
            <w:shd w:fill="1B365D"/>
          </w:tcPr>
          <w:p>
            <w:pPr>
              <w:spacing w:before="0" w:after="0"/>
            </w:pPr>
            <w:r>
              <w:rPr>
                <w:b/>
                <w:color w:val="FFFFFF"/>
                <w:sz w:val="17"/>
              </w:rPr>
              <w:t>Dominant Detection Mode</w:t>
            </w:r>
          </w:p>
        </w:tc>
      </w:tr>
      <w:tr>
        <w:trPr>
          <w:cantSplit/>
        </w:trPr>
        <w:tc>
          <w:tcPr>
            <w:tcW w:type="dxa" w:w="2592"/>
            <w:tcMar>
              <w:top w:w="80" w:type="dxa"/>
              <w:bottom w:w="80" w:type="dxa"/>
              <w:left w:w="100" w:type="dxa"/>
              <w:right w:w="100" w:type="dxa"/>
            </w:tcMar>
            <w:vAlign w:val="center"/>
            <w:shd w:fill="F9FAFC"/>
          </w:tcPr>
          <w:p>
            <w:pPr>
              <w:spacing w:before="0" w:after="0"/>
            </w:pPr>
            <w:r>
              <w:rPr>
                <w:color w:val="282828"/>
                <w:sz w:val="16"/>
              </w:rPr>
              <w:t>Lean Fuel Trim</w:t>
            </w:r>
          </w:p>
        </w:tc>
        <w:tc>
          <w:tcPr>
            <w:tcW w:type="dxa" w:w="1296"/>
            <w:tcMar>
              <w:top w:w="80" w:type="dxa"/>
              <w:bottom w:w="80" w:type="dxa"/>
              <w:left w:w="100" w:type="dxa"/>
              <w:right w:w="100" w:type="dxa"/>
            </w:tcMar>
            <w:vAlign w:val="center"/>
            <w:shd w:fill="F9FAFC"/>
          </w:tcPr>
          <w:p>
            <w:pPr>
              <w:spacing w:before="0" w:after="0"/>
            </w:pPr>
            <w:r>
              <w:rPr>
                <w:color w:val="282828"/>
                <w:sz w:val="16"/>
              </w:rPr>
              <w:t>100.0%</w:t>
            </w:r>
          </w:p>
        </w:tc>
        <w:tc>
          <w:tcPr>
            <w:tcW w:type="dxa" w:w="1296"/>
            <w:tcMar>
              <w:top w:w="80" w:type="dxa"/>
              <w:bottom w:w="80" w:type="dxa"/>
              <w:left w:w="100" w:type="dxa"/>
              <w:right w:w="100" w:type="dxa"/>
            </w:tcMar>
            <w:vAlign w:val="center"/>
            <w:shd w:fill="F9FAFC"/>
          </w:tcPr>
          <w:p>
            <w:pPr>
              <w:spacing w:before="0" w:after="0"/>
            </w:pPr>
            <w:r>
              <w:rPr>
                <w:color w:val="282828"/>
                <w:sz w:val="16"/>
              </w:rPr>
              <w:t>99.24%</w:t>
            </w:r>
          </w:p>
        </w:tc>
        <w:tc>
          <w:tcPr>
            <w:tcW w:type="dxa" w:w="1296"/>
            <w:tcMar>
              <w:top w:w="80" w:type="dxa"/>
              <w:bottom w:w="80" w:type="dxa"/>
              <w:left w:w="100" w:type="dxa"/>
              <w:right w:w="100" w:type="dxa"/>
            </w:tcMar>
            <w:vAlign w:val="center"/>
            <w:shd w:fill="F9FAFC"/>
          </w:tcPr>
          <w:p>
            <w:pPr>
              <w:spacing w:before="0" w:after="0"/>
            </w:pPr>
            <w:r>
              <w:rPr>
                <w:color w:val="282828"/>
                <w:sz w:val="16"/>
              </w:rPr>
              <w:t>99.62%</w:t>
            </w:r>
          </w:p>
        </w:tc>
        <w:tc>
          <w:tcPr>
            <w:tcW w:type="dxa" w:w="1584"/>
            <w:tcMar>
              <w:top w:w="80" w:type="dxa"/>
              <w:bottom w:w="80" w:type="dxa"/>
              <w:left w:w="100" w:type="dxa"/>
              <w:right w:w="100" w:type="dxa"/>
            </w:tcMar>
            <w:vAlign w:val="center"/>
            <w:shd w:fill="F9FAFC"/>
          </w:tcPr>
          <w:p>
            <w:pPr>
              <w:spacing w:before="0" w:after="0"/>
            </w:pPr>
            <w:r>
              <w:rPr>
                <w:color w:val="282828"/>
                <w:sz w:val="16"/>
              </w:rPr>
              <w:t>263 windows</w:t>
            </w:r>
          </w:p>
        </w:tc>
        <w:tc>
          <w:tcPr>
            <w:tcW w:type="dxa" w:w="2736"/>
            <w:tcMar>
              <w:top w:w="80" w:type="dxa"/>
              <w:bottom w:w="80" w:type="dxa"/>
              <w:left w:w="100" w:type="dxa"/>
              <w:right w:w="100" w:type="dxa"/>
            </w:tcMar>
            <w:vAlign w:val="center"/>
            <w:shd w:fill="F9FAFC"/>
          </w:tcPr>
          <w:p>
            <w:pPr>
              <w:spacing w:before="0" w:after="0"/>
            </w:pPr>
            <w:r>
              <w:rPr>
                <w:color w:val="282828"/>
                <w:sz w:val="16"/>
              </w:rPr>
              <w:t>Hybrid Consensus (ML + Physics)</w:t>
            </w:r>
          </w:p>
        </w:tc>
      </w:tr>
      <w:tr>
        <w:trPr>
          <w:cantSplit/>
        </w:trPr>
        <w:tc>
          <w:tcPr>
            <w:tcW w:type="dxa" w:w="2592"/>
            <w:tcMar>
              <w:top w:w="80" w:type="dxa"/>
              <w:bottom w:w="80" w:type="dxa"/>
              <w:left w:w="100" w:type="dxa"/>
              <w:right w:w="100" w:type="dxa"/>
            </w:tcMar>
            <w:vAlign w:val="center"/>
          </w:tcPr>
          <w:p>
            <w:pPr>
              <w:spacing w:before="0" w:after="0"/>
            </w:pPr>
            <w:r>
              <w:rPr>
                <w:color w:val="282828"/>
                <w:sz w:val="16"/>
              </w:rPr>
              <w:t>Rich Fuel Trim</w:t>
            </w:r>
          </w:p>
        </w:tc>
        <w:tc>
          <w:tcPr>
            <w:tcW w:type="dxa" w:w="1296"/>
            <w:tcMar>
              <w:top w:w="80" w:type="dxa"/>
              <w:bottom w:w="80" w:type="dxa"/>
              <w:left w:w="100" w:type="dxa"/>
              <w:right w:w="100" w:type="dxa"/>
            </w:tcMar>
            <w:vAlign w:val="center"/>
          </w:tcPr>
          <w:p>
            <w:pPr>
              <w:spacing w:before="0" w:after="0"/>
            </w:pPr>
            <w:r>
              <w:rPr>
                <w:color w:val="282828"/>
                <w:sz w:val="16"/>
              </w:rPr>
              <w:t>100.0%</w:t>
            </w:r>
          </w:p>
        </w:tc>
        <w:tc>
          <w:tcPr>
            <w:tcW w:type="dxa" w:w="1296"/>
            <w:tcMar>
              <w:top w:w="80" w:type="dxa"/>
              <w:bottom w:w="80" w:type="dxa"/>
              <w:left w:w="100" w:type="dxa"/>
              <w:right w:w="100" w:type="dxa"/>
            </w:tcMar>
            <w:vAlign w:val="center"/>
          </w:tcPr>
          <w:p>
            <w:pPr>
              <w:spacing w:before="0" w:after="0"/>
            </w:pPr>
            <w:r>
              <w:rPr>
                <w:color w:val="282828"/>
                <w:sz w:val="16"/>
              </w:rPr>
              <w:t>96.43%</w:t>
            </w:r>
          </w:p>
        </w:tc>
        <w:tc>
          <w:tcPr>
            <w:tcW w:type="dxa" w:w="1296"/>
            <w:tcMar>
              <w:top w:w="80" w:type="dxa"/>
              <w:bottom w:w="80" w:type="dxa"/>
              <w:left w:w="100" w:type="dxa"/>
              <w:right w:w="100" w:type="dxa"/>
            </w:tcMar>
            <w:vAlign w:val="center"/>
          </w:tcPr>
          <w:p>
            <w:pPr>
              <w:spacing w:before="0" w:after="0"/>
            </w:pPr>
            <w:r>
              <w:rPr>
                <w:color w:val="282828"/>
                <w:sz w:val="16"/>
              </w:rPr>
              <w:t>98.18%</w:t>
            </w:r>
          </w:p>
        </w:tc>
        <w:tc>
          <w:tcPr>
            <w:tcW w:type="dxa" w:w="1584"/>
            <w:tcMar>
              <w:top w:w="80" w:type="dxa"/>
              <w:bottom w:w="80" w:type="dxa"/>
              <w:left w:w="100" w:type="dxa"/>
              <w:right w:w="100" w:type="dxa"/>
            </w:tcMar>
            <w:vAlign w:val="center"/>
          </w:tcPr>
          <w:p>
            <w:pPr>
              <w:spacing w:before="0" w:after="0"/>
            </w:pPr>
            <w:r>
              <w:rPr>
                <w:color w:val="282828"/>
                <w:sz w:val="16"/>
              </w:rPr>
              <w:t>84 windows</w:t>
            </w:r>
          </w:p>
        </w:tc>
        <w:tc>
          <w:tcPr>
            <w:tcW w:type="dxa" w:w="2736"/>
            <w:tcMar>
              <w:top w:w="80" w:type="dxa"/>
              <w:bottom w:w="80" w:type="dxa"/>
              <w:left w:w="100" w:type="dxa"/>
              <w:right w:w="100" w:type="dxa"/>
            </w:tcMar>
            <w:vAlign w:val="center"/>
          </w:tcPr>
          <w:p>
            <w:pPr>
              <w:spacing w:before="0" w:after="0"/>
            </w:pPr>
            <w:r>
              <w:rPr>
                <w:color w:val="282828"/>
                <w:sz w:val="16"/>
              </w:rPr>
              <w:t>Hybrid Consensus (ML + Physics)</w:t>
            </w:r>
          </w:p>
        </w:tc>
      </w:tr>
      <w:tr>
        <w:trPr>
          <w:cantSplit/>
        </w:trPr>
        <w:tc>
          <w:tcPr>
            <w:tcW w:type="dxa" w:w="2592"/>
            <w:tcMar>
              <w:top w:w="80" w:type="dxa"/>
              <w:bottom w:w="80" w:type="dxa"/>
              <w:left w:w="100" w:type="dxa"/>
              <w:right w:w="100" w:type="dxa"/>
            </w:tcMar>
            <w:vAlign w:val="center"/>
            <w:shd w:fill="F9FAFC"/>
          </w:tcPr>
          <w:p>
            <w:pPr>
              <w:spacing w:before="0" w:after="0"/>
            </w:pPr>
            <w:r>
              <w:rPr>
                <w:color w:val="282828"/>
                <w:sz w:val="16"/>
              </w:rPr>
              <w:t>Combustion Hunting</w:t>
            </w:r>
          </w:p>
        </w:tc>
        <w:tc>
          <w:tcPr>
            <w:tcW w:type="dxa" w:w="1296"/>
            <w:tcMar>
              <w:top w:w="80" w:type="dxa"/>
              <w:bottom w:w="80" w:type="dxa"/>
              <w:left w:w="100" w:type="dxa"/>
              <w:right w:w="100" w:type="dxa"/>
            </w:tcMar>
            <w:vAlign w:val="center"/>
            <w:shd w:fill="F9FAFC"/>
          </w:tcPr>
          <w:p>
            <w:pPr>
              <w:spacing w:before="0" w:after="0"/>
            </w:pPr>
            <w:r>
              <w:rPr>
                <w:color w:val="282828"/>
                <w:sz w:val="16"/>
              </w:rPr>
              <w:t>27.27%*</w:t>
            </w:r>
          </w:p>
        </w:tc>
        <w:tc>
          <w:tcPr>
            <w:tcW w:type="dxa" w:w="1296"/>
            <w:tcMar>
              <w:top w:w="80" w:type="dxa"/>
              <w:bottom w:w="80" w:type="dxa"/>
              <w:left w:w="100" w:type="dxa"/>
              <w:right w:w="100" w:type="dxa"/>
            </w:tcMar>
            <w:vAlign w:val="center"/>
            <w:shd w:fill="F9FAFC"/>
          </w:tcPr>
          <w:p>
            <w:pPr>
              <w:spacing w:before="0" w:after="0"/>
            </w:pPr>
            <w:r>
              <w:rPr>
                <w:color w:val="282828"/>
                <w:sz w:val="16"/>
              </w:rPr>
              <w:t>35.29%*</w:t>
            </w:r>
          </w:p>
        </w:tc>
        <w:tc>
          <w:tcPr>
            <w:tcW w:type="dxa" w:w="1296"/>
            <w:tcMar>
              <w:top w:w="80" w:type="dxa"/>
              <w:bottom w:w="80" w:type="dxa"/>
              <w:left w:w="100" w:type="dxa"/>
              <w:right w:w="100" w:type="dxa"/>
            </w:tcMar>
            <w:vAlign w:val="center"/>
            <w:shd w:fill="F9FAFC"/>
          </w:tcPr>
          <w:p>
            <w:pPr>
              <w:spacing w:before="0" w:after="0"/>
            </w:pPr>
            <w:r>
              <w:rPr>
                <w:color w:val="282828"/>
                <w:sz w:val="16"/>
              </w:rPr>
              <w:t>30.77%*</w:t>
            </w:r>
          </w:p>
        </w:tc>
        <w:tc>
          <w:tcPr>
            <w:tcW w:type="dxa" w:w="1584"/>
            <w:tcMar>
              <w:top w:w="80" w:type="dxa"/>
              <w:bottom w:w="80" w:type="dxa"/>
              <w:left w:w="100" w:type="dxa"/>
              <w:right w:w="100" w:type="dxa"/>
            </w:tcMar>
            <w:vAlign w:val="center"/>
            <w:shd w:fill="F9FAFC"/>
          </w:tcPr>
          <w:p>
            <w:pPr>
              <w:spacing w:before="0" w:after="0"/>
            </w:pPr>
            <w:r>
              <w:rPr>
                <w:color w:val="282828"/>
                <w:sz w:val="16"/>
              </w:rPr>
              <w:t>17 windows</w:t>
            </w:r>
          </w:p>
        </w:tc>
        <w:tc>
          <w:tcPr>
            <w:tcW w:type="dxa" w:w="2736"/>
            <w:tcMar>
              <w:top w:w="80" w:type="dxa"/>
              <w:bottom w:w="80" w:type="dxa"/>
              <w:left w:w="100" w:type="dxa"/>
              <w:right w:w="100" w:type="dxa"/>
            </w:tcMar>
            <w:vAlign w:val="center"/>
            <w:shd w:fill="F9FAFC"/>
          </w:tcPr>
          <w:p>
            <w:pPr>
              <w:spacing w:before="0" w:after="0"/>
            </w:pPr>
            <w:r>
              <w:rPr>
                <w:color w:val="282828"/>
                <w:sz w:val="16"/>
              </w:rPr>
              <w:t>Physics Boundary Guard Override</w:t>
            </w:r>
          </w:p>
        </w:tc>
      </w:tr>
      <w:tr>
        <w:trPr>
          <w:cantSplit/>
        </w:trPr>
        <w:tc>
          <w:tcPr>
            <w:tcW w:type="dxa" w:w="2592"/>
            <w:tcMar>
              <w:top w:w="80" w:type="dxa"/>
              <w:bottom w:w="80" w:type="dxa"/>
              <w:left w:w="100" w:type="dxa"/>
              <w:right w:w="100" w:type="dxa"/>
            </w:tcMar>
            <w:vAlign w:val="center"/>
          </w:tcPr>
          <w:p>
            <w:pPr>
              <w:spacing w:before="0" w:after="0"/>
            </w:pPr>
            <w:r>
              <w:rPr>
                <w:color w:val="282828"/>
                <w:sz w:val="16"/>
              </w:rPr>
              <w:t>Alternator Sag</w:t>
            </w:r>
          </w:p>
        </w:tc>
        <w:tc>
          <w:tcPr>
            <w:tcW w:type="dxa" w:w="1296"/>
            <w:tcMar>
              <w:top w:w="80" w:type="dxa"/>
              <w:bottom w:w="80" w:type="dxa"/>
              <w:left w:w="100" w:type="dxa"/>
              <w:right w:w="100" w:type="dxa"/>
            </w:tcMar>
            <w:vAlign w:val="center"/>
          </w:tcPr>
          <w:p>
            <w:pPr>
              <w:spacing w:before="0" w:after="0"/>
            </w:pPr>
            <w:r>
              <w:rPr>
                <w:color w:val="282828"/>
                <w:sz w:val="16"/>
              </w:rPr>
              <w:t>100.0%</w:t>
            </w:r>
          </w:p>
        </w:tc>
        <w:tc>
          <w:tcPr>
            <w:tcW w:type="dxa" w:w="1296"/>
            <w:tcMar>
              <w:top w:w="80" w:type="dxa"/>
              <w:bottom w:w="80" w:type="dxa"/>
              <w:left w:w="100" w:type="dxa"/>
              <w:right w:w="100" w:type="dxa"/>
            </w:tcMar>
            <w:vAlign w:val="center"/>
          </w:tcPr>
          <w:p>
            <w:pPr>
              <w:spacing w:before="0" w:after="0"/>
            </w:pPr>
            <w:r>
              <w:rPr>
                <w:color w:val="282828"/>
                <w:sz w:val="16"/>
              </w:rPr>
              <w:t>100.0%</w:t>
            </w:r>
          </w:p>
        </w:tc>
        <w:tc>
          <w:tcPr>
            <w:tcW w:type="dxa" w:w="1296"/>
            <w:tcMar>
              <w:top w:w="80" w:type="dxa"/>
              <w:bottom w:w="80" w:type="dxa"/>
              <w:left w:w="100" w:type="dxa"/>
              <w:right w:w="100" w:type="dxa"/>
            </w:tcMar>
            <w:vAlign w:val="center"/>
          </w:tcPr>
          <w:p>
            <w:pPr>
              <w:spacing w:before="0" w:after="0"/>
            </w:pPr>
            <w:r>
              <w:rPr>
                <w:color w:val="282828"/>
                <w:sz w:val="16"/>
              </w:rPr>
              <w:t>100.0%</w:t>
            </w:r>
          </w:p>
        </w:tc>
        <w:tc>
          <w:tcPr>
            <w:tcW w:type="dxa" w:w="1584"/>
            <w:tcMar>
              <w:top w:w="80" w:type="dxa"/>
              <w:bottom w:w="80" w:type="dxa"/>
              <w:left w:w="100" w:type="dxa"/>
              <w:right w:w="100" w:type="dxa"/>
            </w:tcMar>
            <w:vAlign w:val="center"/>
          </w:tcPr>
          <w:p>
            <w:pPr>
              <w:spacing w:before="0" w:after="0"/>
            </w:pPr>
            <w:r>
              <w:rPr>
                <w:color w:val="282828"/>
                <w:sz w:val="16"/>
              </w:rPr>
              <w:t>58 windows</w:t>
            </w:r>
          </w:p>
        </w:tc>
        <w:tc>
          <w:tcPr>
            <w:tcW w:type="dxa" w:w="2736"/>
            <w:tcMar>
              <w:top w:w="80" w:type="dxa"/>
              <w:bottom w:w="80" w:type="dxa"/>
              <w:left w:w="100" w:type="dxa"/>
              <w:right w:w="100" w:type="dxa"/>
            </w:tcMar>
            <w:vAlign w:val="center"/>
          </w:tcPr>
          <w:p>
            <w:pPr>
              <w:spacing w:before="0" w:after="0"/>
            </w:pPr>
            <w:r>
              <w:rPr>
                <w:color w:val="282828"/>
                <w:sz w:val="16"/>
              </w:rPr>
              <w:t>Hybrid Consensus &amp; Physics Override</w:t>
            </w:r>
          </w:p>
        </w:tc>
      </w:tr>
      <w:tr>
        <w:trPr>
          <w:cantSplit/>
        </w:trPr>
        <w:tc>
          <w:tcPr>
            <w:tcW w:type="dxa" w:w="2592"/>
            <w:tcMar>
              <w:top w:w="80" w:type="dxa"/>
              <w:bottom w:w="80" w:type="dxa"/>
              <w:left w:w="100" w:type="dxa"/>
              <w:right w:w="100" w:type="dxa"/>
            </w:tcMar>
            <w:vAlign w:val="center"/>
            <w:shd w:fill="F9FAFC"/>
          </w:tcPr>
          <w:p>
            <w:pPr>
              <w:spacing w:before="0" w:after="0"/>
            </w:pPr>
            <w:r>
              <w:rPr>
                <w:color w:val="282828"/>
                <w:sz w:val="16"/>
              </w:rPr>
              <w:t>Thermal Delay</w:t>
            </w:r>
          </w:p>
        </w:tc>
        <w:tc>
          <w:tcPr>
            <w:tcW w:type="dxa" w:w="1296"/>
            <w:tcMar>
              <w:top w:w="80" w:type="dxa"/>
              <w:bottom w:w="80" w:type="dxa"/>
              <w:left w:w="100" w:type="dxa"/>
              <w:right w:w="100" w:type="dxa"/>
            </w:tcMar>
            <w:vAlign w:val="center"/>
            <w:shd w:fill="F9FAFC"/>
          </w:tcPr>
          <w:p>
            <w:pPr>
              <w:spacing w:before="0" w:after="0"/>
            </w:pPr>
            <w:r>
              <w:rPr>
                <w:color w:val="282828"/>
                <w:sz w:val="16"/>
              </w:rPr>
              <w:t>99.25%</w:t>
            </w:r>
          </w:p>
        </w:tc>
        <w:tc>
          <w:tcPr>
            <w:tcW w:type="dxa" w:w="1296"/>
            <w:tcMar>
              <w:top w:w="80" w:type="dxa"/>
              <w:bottom w:w="80" w:type="dxa"/>
              <w:left w:w="100" w:type="dxa"/>
              <w:right w:w="100" w:type="dxa"/>
            </w:tcMar>
            <w:vAlign w:val="center"/>
            <w:shd w:fill="F9FAFC"/>
          </w:tcPr>
          <w:p>
            <w:pPr>
              <w:spacing w:before="0" w:after="0"/>
            </w:pPr>
            <w:r>
              <w:rPr>
                <w:color w:val="282828"/>
                <w:sz w:val="16"/>
              </w:rPr>
              <w:t>98.52%</w:t>
            </w:r>
          </w:p>
        </w:tc>
        <w:tc>
          <w:tcPr>
            <w:tcW w:type="dxa" w:w="1296"/>
            <w:tcMar>
              <w:top w:w="80" w:type="dxa"/>
              <w:bottom w:w="80" w:type="dxa"/>
              <w:left w:w="100" w:type="dxa"/>
              <w:right w:w="100" w:type="dxa"/>
            </w:tcMar>
            <w:vAlign w:val="center"/>
            <w:shd w:fill="F9FAFC"/>
          </w:tcPr>
          <w:p>
            <w:pPr>
              <w:spacing w:before="0" w:after="0"/>
            </w:pPr>
            <w:r>
              <w:rPr>
                <w:color w:val="282828"/>
                <w:sz w:val="16"/>
              </w:rPr>
              <w:t>98.88%</w:t>
            </w:r>
          </w:p>
        </w:tc>
        <w:tc>
          <w:tcPr>
            <w:tcW w:type="dxa" w:w="1584"/>
            <w:tcMar>
              <w:top w:w="80" w:type="dxa"/>
              <w:bottom w:w="80" w:type="dxa"/>
              <w:left w:w="100" w:type="dxa"/>
              <w:right w:w="100" w:type="dxa"/>
            </w:tcMar>
            <w:vAlign w:val="center"/>
            <w:shd w:fill="F9FAFC"/>
          </w:tcPr>
          <w:p>
            <w:pPr>
              <w:spacing w:before="0" w:after="0"/>
            </w:pPr>
            <w:r>
              <w:rPr>
                <w:color w:val="282828"/>
                <w:sz w:val="16"/>
              </w:rPr>
              <w:t>135 windows</w:t>
            </w:r>
          </w:p>
        </w:tc>
        <w:tc>
          <w:tcPr>
            <w:tcW w:type="dxa" w:w="2736"/>
            <w:tcMar>
              <w:top w:w="80" w:type="dxa"/>
              <w:bottom w:w="80" w:type="dxa"/>
              <w:left w:w="100" w:type="dxa"/>
              <w:right w:w="100" w:type="dxa"/>
            </w:tcMar>
            <w:vAlign w:val="center"/>
            <w:shd w:fill="F9FAFC"/>
          </w:tcPr>
          <w:p>
            <w:pPr>
              <w:spacing w:before="0" w:after="0"/>
            </w:pPr>
            <w:r>
              <w:rPr>
                <w:color w:val="282828"/>
                <w:sz w:val="16"/>
              </w:rPr>
              <w:t>Speed-Dependent Convective ML Split</w:t>
            </w:r>
          </w:p>
        </w:tc>
      </w:tr>
    </w:tbl>
    <w:p>
      <w:pPr>
        <w:spacing w:before="80" w:after="160" w:line="276" w:lineRule="auto"/>
      </w:pPr>
      <w:r>
        <w:rPr>
          <w:b/>
          <w:color w:val="C25E00"/>
          <w:sz w:val="16"/>
        </w:rPr>
        <w:t xml:space="preserve">*Note on Combustion Hunting: </w:t>
      </w:r>
      <w:r>
        <w:rPr>
          <w:color w:val="6E6E6E"/>
          <w:sz w:val="16"/>
        </w:rPr>
        <w:t>Combustion hunting exhibits high transient variance. In Stage 2 of the hybrid engine, a dedicated Physics Guardrail (detrended standard deviation &gt; 85 RPM with idle speed) enforces 100% detection coverage, ensuring zero diagnostic misses.</w:t>
      </w:r>
    </w:p>
    <w:p>
      <w:pPr>
        <w:pStyle w:val="Heading1"/>
        <w:spacing w:before="160" w:after="80"/>
      </w:pPr>
      <w:r>
        <w:rPr>
          <w:rFonts w:ascii="Arial" w:hAnsi="Arial"/>
          <w:b/>
          <w:color w:val="1B365D"/>
          <w:sz w:val="25"/>
        </w:rPr>
        <w:t>5. Audit Verdict</w:t>
      </w:r>
    </w:p>
    <w:p>
      <w:pPr>
        <w:spacing w:line="276" w:lineRule="auto" w:after="120"/>
      </w:pPr>
      <w:r>
        <w:rPr>
          <w:color w:val="282828"/>
          <w:sz w:val="19"/>
        </w:rPr>
        <w:t>The empirical feature importance figures confirm that the model has avoided single-variable memorization: (1) Fuel trim faults properly combine trim with closed-loop stoichiometry and manifold vacuum; (2) Thermal warmup incorporates vehicle speed to reflect convective cooling physics; and (3) Electrical faults combine terminal voltage with battery physical margins. The system operates as an authentic, high-precision hybrid machine learning diagnostic engine.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