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jc w:val="center"/>
        <w:spacing w:before="0" w:after="240"/>
        <w:shd w:val="clear" w:color="ffffff" w:themeColor="background1" w:fill="ffffff" w:themeFill="background1"/>
        <w:rPr>
          <w:rFonts w:ascii="Calibri" w:hAnsi="Calibri" w:cs="Calibri" w:eastAsia="Calibri"/>
          <w:b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br/>
      </w:r>
      <w:r>
        <w:rPr>
          <w:rFonts w:ascii="Arial" w:hAnsi="Arial" w:cs="Arial" w:eastAsia="Arial"/>
          <w:b/>
          <w:color w:val="000000"/>
          <w:sz w:val="28"/>
          <w:highlight w:val="white"/>
          <w:lang w:val="cs-CZ"/>
        </w:rPr>
        <w:t xml:space="preserve">Apartheid v Jižní Africe</w:t>
      </w:r>
      <w:r>
        <w:rPr>
          <w:rFonts w:ascii="Calibri" w:hAnsi="Calibri" w:cs="Calibri" w:eastAsia="Calibri"/>
          <w:b/>
          <w:color w:val="auto"/>
          <w:sz w:val="28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jc w:val="center"/>
        <w:spacing w:before="240" w:after="240"/>
        <w:shd w:val="clear" w:color="ffffff" w:themeColor="background1" w:fill="ffffff" w:themeFill="background1"/>
        <w:tabs>
          <w:tab w:val="left" w:pos="3176" w:leader="none"/>
        </w:tabs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Valenta Hanuš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A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partheid, systém institucionalizované rasové segregace a útlaku, fungoval v Jižní Africe v letech 1948 až 1994. Segregoval lidi na základě rasy, s bílou menšinou na vrcholu hierarchie a černou většinou na dně. Černí byli zbaveni základních lidských práv, v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četně volebního práva, vlastnictví půdy a přístupu ke vzdělání a zdravotní péči. Proti apartheidu se postavil silný odpor, který vedl k jeho zrušení v roce 1994.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/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Zjednodušeně a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partheid v Jižní Africe  byl systém rasové segregace a útlaku praktikovaný v letech 1948 až 1994.  </w:t>
      </w:r>
      <w:r/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Zamyšlení nad apartheidem nutí k úvahám o zlu rasové segregace, která dehumanizovala a zničila životy nespočetných lidí. Systém uměle rozdělující lidi na základě barvy pleti a upírající základní lidská práva většině populace je morálně nepřijatelný a odsouz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eníhodný. 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Odpor proti apartheidu a boj za svobodu a spravedlnost inspiroval lidi po celém světě. Nelson Mandela a Africký národní kongres se stali symboly nenásilného odporu a naděje v boji proti útlaku. 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Apartheid ale zanechal v Jižní Africe hluboké rozdělení a nerovnost. </w:t>
      </w:r>
      <w:r/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Černá populace stále čelí mnoha překážkám v oblasti vzdělávání, zaměstnání a přístupu k základním službám. Je důležité, aby se Jihoafrická republika i mezinárodní společenství aktivně vyro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vnávaly s dědictvím apartheidu, podporovaly rasové smírčí procesy, bojovaly proti diskriminaci a budovaly spravedlivější společnost.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/>
    </w:p>
    <w:p>
      <w:pPr>
        <w:ind w:left="0" w:right="0" w:firstLine="0"/>
        <w:spacing w:before="240" w:after="240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Závěrem apartheid nám připomíná, že boj za spravedlnost a rovnost nikdy nekončí. Musíme se ptát, jak můžeme bojovat proti rasismu a diskriminaci v našem vlastním životě a v našem okolí, jak můžeme podporovat inkluzi a rozmanitost v našich komunitách a jak můžeme uč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it budoucí generace o hrůzách apartheidu a důležitosti lidských práv.</w:t>
      </w:r>
      <w:r/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/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p>
      <w:pPr>
        <w:ind w:left="0" w:right="0" w:firstLine="0"/>
        <w:spacing w:before="240" w:after="240"/>
        <w:shd w:val="clear" w:color="ffffff" w:themeColor="background1" w:fill="ffffff" w:themeFill="background1"/>
        <w:rPr>
          <w:rFonts w:ascii="Calibri" w:hAnsi="Calibri" w:cs="Calibri" w:eastAsia="Calibri"/>
          <w:color w:val="auto"/>
          <w:sz w:val="24"/>
          <w:highlight w:val="none"/>
          <w:lang w:val="cs-CZ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Zdroj: 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ČIMEROVÁ, Lucie. 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APARTHEID V JIŽNÍ AFRICE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  <w:t xml:space="preserve">. Bakalářská práce. Plzeň: Fakulta pedagogická Západočeské univerzity v Plzni, 2012.</w:t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  <w:r>
        <w:rPr>
          <w:rFonts w:ascii="Calibri" w:hAnsi="Calibri" w:cs="Calibri" w:eastAsia="Calibri"/>
          <w:color w:val="auto"/>
          <w:sz w:val="24"/>
          <w:highlight w:val="none"/>
          <w:lang w:val="cs-CZ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2024-04-11T19:48:17Z</dcterms:modified>
</cp:coreProperties>
</file>