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Reminders for gdb in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x86 is little endian, so entering command x/1wx 0x202dfd40 displays 0x74206968 (“hi t“)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0x202dfd40 = 0x68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0x202dfd41 = 0x69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0x202dfd42 = 0x20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0x202dfd43 = 0x74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easily show this by displaying by byte (x/b)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sploit1.c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The overflow string is divided into three sections: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NOPs, the shellcode, and guessed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AlephOne's shell code is 46 bytes (with NULL byte at end!)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x86 is little-endian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lab has the stack at a fixed address!!!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On ECF machine, the return address of main is 0x202dfe88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buf is located from 0x202dfe10 to 0x202dfe70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distance between buf and return address to overwrite is 0x18 (24)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add to the end of the attack string the return address,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(only need lower 4 bytes) so repeat it 7 times (6 to get to start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return address and 1 more to overwrite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Pad the beginning of the string with NOPs; need 96 - 46 + 1 = 51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* Realize that calculation is such that if you need to pad for one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you need one byte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sploit2.c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 Notes: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Unlike target1, the return address to overwrite is foo(), not lab_main()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On ECF machine, the ret addr of foo() in target2.c is 0x202dfe58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The local variable buf[] in foo() starts at 0x202dfd40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As it 256 chars long, it ends at 0x202dfe40 (0x100)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Distance between *end* of buf and *start* of ret addr is 0x18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Pad beginning of string with enough NOPs: 256 - 46 + 1 = 211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sploit3.c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sploit4.c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