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#louis tsui, 998995057, </w:t>
      </w:r>
      <w:hyperlink r:id="rId5">
        <w:r w:rsidDel="00000000" w:rsidR="00000000" w:rsidRPr="00000000">
          <w:rPr>
            <w:color w:val="1155cc"/>
            <w:u w:val="single"/>
            <w:rtl w:val="0"/>
          </w:rPr>
          <w:t xml:space="preserve">louis.tsui@mail.utoronto.ca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#han wang, 998001638, </w:t>
      </w:r>
      <w:hyperlink r:id="rId6">
        <w:r w:rsidDel="00000000" w:rsidR="00000000" w:rsidRPr="00000000">
          <w:rPr>
            <w:color w:val="1155cc"/>
            <w:u w:val="single"/>
            <w:rtl w:val="0"/>
          </w:rPr>
          <w:t xml:space="preserve">hanwang.wang@mail.utoronto.ca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Much of the code was based off of Eric Rescorla’s tutorials as provided on Blackboard.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client</w:t>
      </w:r>
    </w:p>
    <w:p w:rsidR="00000000" w:rsidDel="00000000" w:rsidP="00000000" w:rsidRDefault="00000000" w:rsidRPr="00000000">
      <w:pPr>
        <w:contextualSpacing w:val="0"/>
      </w:pPr>
      <w:r w:rsidDel="00000000" w:rsidR="00000000" w:rsidRPr="00000000">
        <w:rPr>
          <w:rtl w:val="0"/>
        </w:rPr>
        <w:t xml:space="preserve">To build upon the sockets already in place, we used SSL, BIO, and CTX objects. The CTX object allowed the client to communicate with SSLv3 and TLSv1 only via SSLv23_method and SSL_OP_NO_SSLv2 parameter. SSL_CTX_set_cipher_list set SHA1 as the class of cipher suites to be used. SSL_get_verify_result, the CA_LIST “ece568ca.pem”, and SSL_get_peer_certificate was used to verify the certificate. Failing a SSL_connect causes the client to output errors from the BIO. X509_NAME_get_text_by_NID, X509_get_subject_name, NID_commonName, and NID_pkcs9_emailAddress was used to extract and check the common name and email from the certificate. SSL_write sent the secret and SSL_read got the server response and checked for errors, whether to continue reading, and when the server finished (closed the connection). Upon connection close, the client responds with its own SSL_shutdown. For cleanup, SSL_free and SSL_CTX_free were used. The buf had to be null terminated at the number of bytes read, otherwise unexpected garbage characters could show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server</w:t>
      </w:r>
    </w:p>
    <w:p w:rsidR="00000000" w:rsidDel="00000000" w:rsidP="00000000" w:rsidRDefault="00000000" w:rsidRPr="00000000">
      <w:pPr>
        <w:contextualSpacing w:val="0"/>
      </w:pPr>
      <w:r w:rsidDel="00000000" w:rsidR="00000000" w:rsidRPr="00000000">
        <w:rPr>
          <w:rtl w:val="0"/>
        </w:rPr>
        <w:t xml:space="preserve">It is very similar to the client. Notable differences are that there is child spawned for every client connection to try SSL_accept and output errors from the BIO if it failed. The SSL_read is done first to react to the client’s SSL_write and needs to be iterated until the secret has been completely read. The buf that stores the client’s message needs to be null-terminated at len due to possible unexpected garbage characters. Then the server does an SSL_write to give the answer to the client. The server-side shutdown is a bit different. The first SSL_shutdown will send a close_notify to the client, but not look for the client’s. Next, shutdown is called to send a TCP FIN required for certain clients and then server calls SSL_shutdown a second time.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louis.tsui@mail.utoronto.ca" TargetMode="External"/><Relationship Id="rId6" Type="http://schemas.openxmlformats.org/officeDocument/2006/relationships/hyperlink" Target="mailto:hanwang.wang@mail.utoronto.ca" TargetMode="External"/></Relationships>
</file>