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맑은 고딕" w:hAnsi="맑은 고딕" w:eastAsia="맑은 고딕"/>
          <w:b/>
          <w:color w:val="1F2A44"/>
          <w:sz w:val="30"/>
        </w:rPr>
        <w:t>해외자회사 공시 실적 요약 (1H26)</w:t>
      </w:r>
      <w:r>
        <w:rPr>
          <w:rFonts w:ascii="맑은 고딕" w:hAnsi="맑은 고딕" w:eastAsia="맑은 고딕"/>
          <w:b w:val="0"/>
          <w:color w:val="666666"/>
          <w:sz w:val="17"/>
        </w:rPr>
        <w:t xml:space="preserve">    기준 DART 반기보고서 (2026.06) · 사업보고서 (2025.12) · 단위 KRW 백만원 · 미래전략실 글로벌네트워크팀</w:t>
      </w:r>
    </w:p>
    <w:p>
      <w:pPr>
        <w:spacing w:after="20" w:before="0" w:line="240" w:lineRule="auto"/>
      </w:pPr>
      <w:r>
        <w:rPr>
          <w:rFonts w:ascii="맑은 고딕" w:hAnsi="맑은 고딕" w:eastAsia="맑은 고딕"/>
          <w:b/>
          <w:color w:val="F37321"/>
          <w:sz w:val="20"/>
        </w:rPr>
        <w:t xml:space="preserve">■ 4사 합산  </w:t>
      </w:r>
      <w:r>
        <w:rPr>
          <w:rFonts w:ascii="맑은 고딕" w:hAnsi="맑은 고딕" w:eastAsia="맑은 고딕"/>
          <w:b/>
          <w:sz w:val="19"/>
        </w:rPr>
        <w:t>1H26 영업수익 19,627.0 · 순이익 (1,107.0) · 지배지분 순이익 (863.7) · 연환산 ROE -1.4%   │   FY2025 영업수익 37,036.0 · 지배지분 순이익 4,082.1 · ROE 3.4%</w:t>
      </w:r>
    </w:p>
    <w:p>
      <w:pPr>
        <w:spacing w:after="100" w:before="0" w:line="240" w:lineRule="auto"/>
      </w:pPr>
      <w:r>
        <w:rPr>
          <w:rFonts w:ascii="맑은 고딕" w:hAnsi="맑은 고딕" w:eastAsia="맑은 고딕"/>
          <w:b w:val="0"/>
          <w:sz w:val="18"/>
        </w:rPr>
        <w:t>1H26 흑자 1곳(베트남 법인(PTSV) 1,285.0), 손실 3곳(싱가포르 법인(PTSS) (1,175.0), 인도네시아 증권(CSA) (671.0), 인도네시아 운용(CAM) (546.0)). 인도네시아 운용(CAM)은 FY2025 말 취득이라 사업보고서 손익이 없음.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2381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법인 (지분율)</w:t>
            </w:r>
          </w:p>
        </w:tc>
        <w:tc>
          <w:tcPr>
            <w:tcW w:type="dxa" w:w="2268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주력 사업</w:t>
            </w:r>
          </w:p>
        </w:tc>
        <w:tc>
          <w:tcPr>
            <w:tcW w:type="dxa" w:w="1304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FY2025 영업수익</w:t>
            </w:r>
          </w:p>
        </w:tc>
        <w:tc>
          <w:tcPr>
            <w:tcW w:type="dxa" w:w="1191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FY2025 순이익</w:t>
            </w:r>
          </w:p>
        </w:tc>
        <w:tc>
          <w:tcPr>
            <w:tcW w:type="dxa" w:w="1020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FY2025 ROE</w:t>
            </w:r>
          </w:p>
        </w:tc>
        <w:tc>
          <w:tcPr>
            <w:tcW w:type="dxa" w:w="1304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1H26 영업수익</w:t>
            </w:r>
          </w:p>
        </w:tc>
        <w:tc>
          <w:tcPr>
            <w:tcW w:type="dxa" w:w="1191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1H26 순이익</w:t>
            </w:r>
          </w:p>
        </w:tc>
        <w:tc>
          <w:tcPr>
            <w:tcW w:type="dxa" w:w="1077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1H26 ROE*</w:t>
            </w:r>
          </w:p>
        </w:tc>
        <w:tc>
          <w:tcPr>
            <w:tcW w:type="dxa" w:w="1191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자본총계</w:t>
            </w:r>
          </w:p>
        </w:tc>
        <w:tc>
          <w:tcPr>
            <w:tcW w:type="dxa" w:w="1191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장부가액</w:t>
            </w:r>
          </w:p>
        </w:tc>
        <w:tc>
          <w:tcPr>
            <w:tcW w:type="dxa" w:w="1134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순자산/장부가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베트남 법인(PTSV) 99.99%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증권 (브로커리지·신용공여·IB)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21,621.0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3,442.0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3.9%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12,054.0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1,285.0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2.7%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95,917.0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77,034.0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125%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인도네시아 증권(CSA) 80%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증권 (브로커리지·IB)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14,749.0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2,718.0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6.5%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6,362.0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(671.0)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-3.2%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41,831.0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48,646.0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69%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싱가포르 법인(PTSS) 100%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투자자문·IB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666.0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(1,534.0)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-32.4%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268.0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(1,175.0)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-16.1%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14,577.0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14,958.0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97%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인도네시아 운용(CAM) 80%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자산운용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–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–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943.0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(546.0)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-26.5%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4,116.0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16,638.0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20%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4사 합산 (100%)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37,036.0</w:t>
            </w:r>
          </w:p>
        </w:tc>
        <w:tc>
          <w:tcPr>
            <w:tcW w:type="dxa" w:w="1191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4,626.0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3.4%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19,627.0</w:t>
            </w:r>
          </w:p>
        </w:tc>
        <w:tc>
          <w:tcPr>
            <w:tcW w:type="dxa" w:w="1191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(1,107.0)</w:t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-1.4%</w:t>
            </w:r>
          </w:p>
        </w:tc>
        <w:tc>
          <w:tcPr>
            <w:tcW w:type="dxa" w:w="1191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156,441.0</w:t>
            </w:r>
          </w:p>
        </w:tc>
        <w:tc>
          <w:tcPr>
            <w:tcW w:type="dxa" w:w="1191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157,276.0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94%</w:t>
            </w:r>
          </w:p>
        </w:tc>
      </w:tr>
    </w:tbl>
    <w:p>
      <w:pPr>
        <w:spacing w:after="120" w:before="0" w:line="240" w:lineRule="auto"/>
      </w:pPr>
      <w:r>
        <w:rPr>
          <w:rFonts w:ascii="맑은 고딕" w:hAnsi="맑은 고딕" w:eastAsia="맑은 고딕"/>
          <w:b w:val="0"/>
          <w:color w:val="666666"/>
          <w:sz w:val="15"/>
        </w:rPr>
        <w:t>* ROE = 누적 순이익 × (12 ÷ 6) ÷ 기말 자본(자산 − 부채). 순자산/장부가 = 자본총계 × 지분율 ÷ 당사 장부가액(타법인 출자현황). 요약재무정보는 법인 단위·연결 조정 전 금액.</w:t>
      </w:r>
    </w:p>
    <w:p>
      <w:pPr>
        <w:spacing w:after="40" w:before="0" w:line="240" w:lineRule="auto"/>
      </w:pPr>
      <w:r>
        <w:rPr>
          <w:rFonts w:ascii="맑은 고딕" w:hAnsi="맑은 고딕" w:eastAsia="맑은 고딕"/>
          <w:b/>
          <w:color w:val="F37321"/>
          <w:sz w:val="20"/>
        </w:rPr>
        <w:t xml:space="preserve">■ 재무상태  </w:t>
      </w:r>
      <w:r>
        <w:rPr>
          <w:rFonts w:ascii="맑은 고딕" w:hAnsi="맑은 고딕" w:eastAsia="맑은 고딕"/>
          <w:b w:val="0"/>
          <w:color w:val="666666"/>
          <w:sz w:val="16"/>
        </w:rPr>
        <w:t>FY2025 말 · 1H26 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2608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법인</w:t>
            </w:r>
          </w:p>
        </w:tc>
        <w:tc>
          <w:tcPr>
            <w:tcW w:type="dxa" w:w="1928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FY2025 말 자산</w:t>
            </w:r>
          </w:p>
        </w:tc>
        <w:tc>
          <w:tcPr>
            <w:tcW w:type="dxa" w:w="1928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FY2025 말 부채</w:t>
            </w:r>
          </w:p>
        </w:tc>
        <w:tc>
          <w:tcPr>
            <w:tcW w:type="dxa" w:w="1928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FY2025 말 자본</w:t>
            </w:r>
          </w:p>
        </w:tc>
        <w:tc>
          <w:tcPr>
            <w:tcW w:type="dxa" w:w="1928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1H26 말 자산</w:t>
            </w:r>
          </w:p>
        </w:tc>
        <w:tc>
          <w:tcPr>
            <w:tcW w:type="dxa" w:w="1928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1H26 말 부채</w:t>
            </w:r>
          </w:p>
        </w:tc>
        <w:tc>
          <w:tcPr>
            <w:tcW w:type="dxa" w:w="1928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1H26 말 자본</w:t>
            </w:r>
          </w:p>
        </w:tc>
        <w:tc>
          <w:tcPr>
            <w:tcW w:type="dxa" w:w="1077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자본 증감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베트남 법인(PTSV)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261,638.0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173,503.0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88,135.0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258,728.0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162,811.0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95,917.0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+7,782.0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인도네시아 증권(CSA)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65,229.0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23,119.0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42,110.0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63,855.0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22,024.0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41,831.0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(279.0)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싱가포르 법인(PTSS)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5,078.0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346.0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4,732.0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14,822.0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245.0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14,577.0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+9,845.0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인도네시아 운용(CAM)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5,115.0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496.0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4,619.0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4,570.0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454.0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4,116.0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(503.0)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4사 합산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337,060.0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197,464.0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139,596.0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341,975.0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185,534.0</w:t>
            </w:r>
          </w:p>
        </w:tc>
        <w:tc>
          <w:tcPr>
            <w:tcW w:type="dxa" w:w="1928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156,441.0</w:t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+16,845.0</w:t>
            </w:r>
          </w:p>
        </w:tc>
      </w:tr>
    </w:tbl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맑은 고딕" w:hAnsi="맑은 고딕" w:eastAsia="맑은 고딕"/>
          <w:b/>
          <w:color w:val="F37321"/>
          <w:sz w:val="20"/>
        </w:rPr>
        <w:t xml:space="preserve">■ 출자 현황  </w:t>
      </w:r>
      <w:r>
        <w:rPr>
          <w:rFonts w:ascii="맑은 고딕" w:hAnsi="맑은 고딕" w:eastAsia="맑은 고딕"/>
          <w:b w:val="0"/>
          <w:color w:val="666666"/>
          <w:sz w:val="16"/>
        </w:rPr>
        <w:t>DART 반기보고서 (2026.06) 타법인 출자현황</w:t>
      </w:r>
      <w:r>
        <w:rPr>
          <w:rFonts w:ascii="맑은 고딕" w:hAnsi="맑은 고딕" w:eastAsia="맑은 고딕"/>
          <w:b w:val="0"/>
          <w:color w:val="666666"/>
          <w:sz w:val="16"/>
        </w:rPr>
        <w:t xml:space="preserve"> · 회차별 송금은 내부 출자내역 기준(수동)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c>
          <w:tcPr>
            <w:tcW w:type="dxa" w:w="2608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법인</w:t>
            </w:r>
          </w:p>
        </w:tc>
        <w:tc>
          <w:tcPr>
            <w:tcW w:type="dxa" w:w="1361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최초 취득일</w:t>
            </w:r>
          </w:p>
        </w:tc>
        <w:tc>
          <w:tcPr>
            <w:tcW w:type="dxa" w:w="1474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최초 취득금액</w:t>
            </w:r>
          </w:p>
        </w:tc>
        <w:tc>
          <w:tcPr>
            <w:tcW w:type="dxa" w:w="1474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기초 장부가</w:t>
            </w:r>
          </w:p>
        </w:tc>
        <w:tc>
          <w:tcPr>
            <w:tcW w:type="dxa" w:w="1361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증가(감소)</w:t>
            </w:r>
          </w:p>
        </w:tc>
        <w:tc>
          <w:tcPr>
            <w:tcW w:type="dxa" w:w="1474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기말 장부가</w:t>
            </w:r>
          </w:p>
        </w:tc>
        <w:tc>
          <w:tcPr>
            <w:tcW w:type="dxa" w:w="1247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기말 지분율</w:t>
            </w:r>
          </w:p>
        </w:tc>
        <w:tc>
          <w:tcPr>
            <w:tcW w:type="dxa" w:w="1077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출자 회차</w:t>
            </w:r>
          </w:p>
        </w:tc>
        <w:tc>
          <w:tcPr>
            <w:tcW w:type="dxa" w:w="1361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최근 송금</w:t>
            </w:r>
          </w:p>
        </w:tc>
        <w:tc>
          <w:tcPr>
            <w:tcW w:type="dxa" w:w="1814"/>
            <w:shd w:val="clear" w:color="auto" w:fill="1F2A4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누적 원화 취득원가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베트남 법인(PTSV)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2019-04-24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32,900.0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77,034.0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–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77,034.0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99.99%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5회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2022-10-12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77,033.7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인도네시아 증권(CSA)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2024-10-15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48,646.0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48,646.0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–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48,646.0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80.00%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2회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2024-10-14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48,524.5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싱가포르 법인(PTSS)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2020-04-01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1,725.0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4,815.0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10,142.0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14,958.0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100.00%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3회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2026-02-27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20,538.2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인도네시아 운용(CAM)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2025-12-19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16,638.0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16,638.0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–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16,638.0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80.00%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1회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2025-12-15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16,882.4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4사 합계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147,133.0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157,276.0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1814"/>
            <w:shd w:val="clear" w:color="auto" w:fill="F2F2F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162,978.8</w:t>
            </w:r>
          </w:p>
        </w:tc>
      </w:tr>
    </w:tbl>
    <w:p>
      <w:pPr>
        <w:spacing w:after="20" w:before="160" w:line="240" w:lineRule="auto"/>
      </w:pPr>
      <w:r>
        <w:rPr>
          <w:rFonts w:ascii="맑은 고딕" w:hAnsi="맑은 고딕" w:eastAsia="맑은 고딕"/>
          <w:b/>
          <w:color w:val="F37321"/>
          <w:sz w:val="20"/>
        </w:rPr>
        <w:t xml:space="preserve">■ 다음 공시  </w:t>
      </w:r>
      <w:r>
        <w:rPr>
          <w:rFonts w:ascii="맑은 고딕" w:hAnsi="맑은 고딕" w:eastAsia="맑은 고딕"/>
          <w:b w:val="0"/>
          <w:sz w:val="18"/>
        </w:rPr>
        <w:t>2026 3분기보고서 제출 기한 2026-11-16. 공시되면 평일 자동 확인(07:30·16:30) 때 화면과 이 보고서가 새 기간으로 바뀝니다.</w:t>
      </w:r>
    </w:p>
    <w:p>
      <w:pPr>
        <w:spacing w:after="0" w:before="0" w:line="240" w:lineRule="auto"/>
      </w:pPr>
      <w:r>
        <w:rPr>
          <w:rFonts w:ascii="맑은 고딕" w:hAnsi="맑은 고딕" w:eastAsia="맑은 고딕"/>
          <w:b/>
          <w:color w:val="F37321"/>
          <w:sz w:val="20"/>
        </w:rPr>
        <w:t xml:space="preserve">■ 출처  </w:t>
      </w:r>
      <w:r>
        <w:rPr>
          <w:rFonts w:ascii="맑은 고딕" w:hAnsi="맑은 고딕" w:eastAsia="맑은 고딕"/>
          <w:b w:val="0"/>
          <w:color w:val="666666"/>
          <w:sz w:val="16"/>
        </w:rPr>
        <w:t>사업보고서 (2025.12) (접수 2026-03-10) · 반기보고서 (2026.06) (접수 2026-08-13). 공시 자료만 사용하며 사업계획·계획 대비, 현지 결산, 비공시 특이사항은 넣지 않았습니다.</w:t>
      </w:r>
    </w:p>
    <w:sectPr w:rsidR="00FC693F" w:rsidRPr="0006063C" w:rsidSect="00034616">
      <w:pgSz w:w="16838" w:h="11906" w:orient="landscape"/>
      <w:pgMar w:top="624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