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ind w:left="0" w:firstLine="0"/>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b w:val="1"/>
          <w:bCs w:val="1"/>
          <w:color w:val="1a3558"/>
          <w:sz w:val="32"/>
          <w:szCs w:val="32"/>
          <w:rtl w:val="0"/>
        </w:rPr>
        <w:t xml:space="preserve">Project 6 – DiscoveryHub AI Technology Transfer and Innovation Matchmaker</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1"/>
          <w:bCs w:val="1"/>
          <w:i w:val="1"/>
          <w:iCs w:val="1"/>
          <w:color w:val="2e4053"/>
          <w:sz w:val="26"/>
          <w:szCs w:val="26"/>
          <w:rtl w:val="0"/>
        </w:rPr>
        <w:t xml:space="preserve">Using LLMs to Accelerate IP Licensing and Industry Partnership Identification</w:t>
      </w:r>
      <w:r w:rsidDel="00000000" w:rsidR="00000000" w:rsidRPr="00000000">
        <w:rPr>
          <w:rtl w:val="0"/>
        </w:rPr>
      </w:r>
    </w:p>
    <w:p w:rsidR="00000000" w:rsidDel="00000000" w:rsidP="00000000" w:rsidRDefault="00000000" w:rsidRPr="00000000" w14:paraId="00000004">
      <w:pPr>
        <w:spacing w:after="280" w:lineRule="auto"/>
        <w:rPr/>
      </w:pPr>
      <w:r w:rsidDel="00000000" w:rsidR="00000000" w:rsidRPr="00000000">
        <w:rPr>
          <w:b w:val="1"/>
          <w:bCs w:val="1"/>
          <w:rtl w:val="0"/>
        </w:rPr>
        <w:t xml:space="preserve">DSSI Project Proposal</w:t>
      </w:r>
      <w:r w:rsidDel="00000000" w:rsidR="00000000" w:rsidRPr="00000000">
        <w:rPr>
          <w:rtl w:val="0"/>
        </w:rPr>
      </w:r>
    </w:p>
    <w:p w:rsidR="00000000" w:rsidDel="00000000" w:rsidP="00000000" w:rsidRDefault="00000000" w:rsidRPr="00000000" w14:paraId="00000005">
      <w:pPr>
        <w:pBdr>
          <w:bottom w:color="2e4053" w:space="4" w:sz="6" w:val="single"/>
        </w:pBdr>
        <w:spacing w:after="120" w:before="300" w:lineRule="auto"/>
        <w:rPr/>
      </w:pPr>
      <w:r w:rsidDel="00000000" w:rsidR="00000000" w:rsidRPr="00000000">
        <w:rPr>
          <w:b w:val="1"/>
          <w:bCs w:val="1"/>
          <w:sz w:val="30"/>
          <w:szCs w:val="30"/>
          <w:rtl w:val="0"/>
        </w:rPr>
        <w:t xml:space="preserve">Background</w:t>
      </w:r>
      <w:r w:rsidDel="00000000" w:rsidR="00000000" w:rsidRPr="00000000">
        <w:rPr>
          <w:rtl w:val="0"/>
        </w:rPr>
      </w:r>
    </w:p>
    <w:p w:rsidR="00000000" w:rsidDel="00000000" w:rsidP="00000000" w:rsidRDefault="00000000" w:rsidRPr="00000000" w14:paraId="00000006">
      <w:pPr>
        <w:spacing w:after="160" w:line="300" w:lineRule="auto"/>
        <w:jc w:val="both"/>
        <w:rPr/>
      </w:pPr>
      <w:r w:rsidDel="00000000" w:rsidR="00000000" w:rsidRPr="00000000">
        <w:rPr>
          <w:rtl w:val="0"/>
        </w:rPr>
        <w:t xml:space="preserve">One of DiscoveryHub’s core missions is bridging academia and industry by surfacing commercially viable faculty research and connecting it with the right commercial partners. However, identifying commercialization pathways, mapping relevant patent landscapes, and aligning research outputs with specific industry needs requires significant manual effort from technology transfer staff—effort that scales poorly as research output grows. Studies of university technology transfer offices consistently identify partner identification and IP positioning as the two most labor-intensive stages of the commercialization pipeline (Siegel et al., 2004). LLMs, when combined with structured patent and publication databases, have demonstrated the capacity to automate large portions of this workflow: extracting novel claims from scientific text, classifying innovations against patent taxonomy systems, and generating commercially oriented summaries that resonate with non-technical industry audiences (Choi et al., 2022). Despite this potential, no production system has yet integrated a full multi-agent LLM architecture into a university technology transfer platform in a manner that is transparent, auditable, and validated against real commercialization outcomes. A student-led implementation within DiscoveryHub represents a timely and high-impact opportunity to build and rigorously evaluate such a system.</w:t>
      </w:r>
    </w:p>
    <w:p w:rsidR="00000000" w:rsidDel="00000000" w:rsidP="00000000" w:rsidRDefault="00000000" w:rsidRPr="00000000" w14:paraId="00000007">
      <w:pPr>
        <w:spacing w:after="100" w:before="240" w:lineRule="auto"/>
        <w:rPr/>
      </w:pPr>
      <w:r w:rsidDel="00000000" w:rsidR="00000000" w:rsidRPr="00000000">
        <w:rPr>
          <w:b w:val="1"/>
          <w:bCs w:val="1"/>
          <w:sz w:val="26"/>
          <w:szCs w:val="26"/>
          <w:rtl w:val="0"/>
        </w:rPr>
        <w:t xml:space="preserve">Goal: Develop an AI-powered Technology Transfer Engine embedded within DiscoveryHub that automates the identification, classification, and industry matching of faculty research outputs.</w:t>
      </w:r>
      <w:r w:rsidDel="00000000" w:rsidR="00000000" w:rsidRPr="00000000">
        <w:rPr>
          <w:rtl w:val="0"/>
        </w:rPr>
      </w:r>
    </w:p>
    <w:p w:rsidR="00000000" w:rsidDel="00000000" w:rsidP="00000000" w:rsidRDefault="00000000" w:rsidRPr="00000000" w14:paraId="00000008">
      <w:pPr>
        <w:spacing w:after="160" w:line="300" w:lineRule="auto"/>
        <w:jc w:val="both"/>
        <w:rPr/>
      </w:pPr>
      <w:r w:rsidDel="00000000" w:rsidR="00000000" w:rsidRPr="00000000">
        <w:rPr>
          <w:rtl w:val="0"/>
        </w:rPr>
        <w:t xml:space="preserve">The student researcher will design and implement a four-agent LLM architecture integrated into DiscoveryHub’s backend. Agent 1 (Research Analyzer) ingests faculty publications and grant abstracts, extracting key technical contributions, methodological novelties, and application domains using structured prompting over domain-adapted LLMs. Agent 2 (Patent Landscape Mapper) queries the USPTO and EPO patent APIs to identify prior art, white spaces, and related patent families, classifying the faculty innovation within the International Patent Classification (IPC) taxonomy. Agent 3 (Industry Match Predictor) uses a retrieval-augmented generation approach to align the innovation’s application domains with industry sector databases and corporate R&amp;D focus areas, generating a ranked list of potential commercial partners. Agent 4 (Commercial Summary Generator) synthesizes outputs from the prior agents into a two-page commercialization brief—including a plain-language technology description, key differentiators, market opportunity summary, and a preliminary licensing framework—formatted for direct distribution to industry contacts. The student will validate system accuracy by comparing agent-generated commercialization briefs against expert TTO staff assessments using a structured rubric, and will measure downstream impact by tracking partner inquiry rates for disclosures processed through the engine versus a historical baseline. Results will be submitted to the AUTM Annual Meeting and integrated into DiscoveryHub’s production IP marketplace.</w:t>
      </w:r>
    </w:p>
    <w:p w:rsidR="00000000" w:rsidDel="00000000" w:rsidP="00000000" w:rsidRDefault="00000000" w:rsidRPr="00000000" w14:paraId="00000009">
      <w:pPr>
        <w:pBdr>
          <w:bottom w:color="2e4053" w:space="4" w:sz="6" w:val="single"/>
        </w:pBdr>
        <w:spacing w:after="120" w:before="300" w:lineRule="auto"/>
        <w:rPr/>
      </w:pPr>
      <w:r w:rsidDel="00000000" w:rsidR="00000000" w:rsidRPr="00000000">
        <w:rPr>
          <w:b w:val="1"/>
          <w:bCs w:val="1"/>
          <w:sz w:val="30"/>
          <w:szCs w:val="30"/>
          <w:rtl w:val="0"/>
        </w:rPr>
        <w:t xml:space="preserve">Expected Impact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Increased rate of faculty invention disclosures reaching active commercialization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Reduced staff time per technology assessment, enabling TTO to process more disclosures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Improved quality and consistency of industry-facing technology profiles on DiscoveryHub</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Revenue generation opportunities through accelerated licensing pipeline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Publishable contribution to the emerging field of AI-assisted technology transfer</w:t>
      </w:r>
    </w:p>
    <w:p w:rsidR="00000000" w:rsidDel="00000000" w:rsidP="00000000" w:rsidRDefault="00000000" w:rsidRPr="00000000" w14:paraId="0000000F">
      <w:pPr>
        <w:pBdr>
          <w:bottom w:color="2e4053" w:space="4" w:sz="6" w:val="single"/>
        </w:pBdr>
        <w:spacing w:after="120" w:before="300" w:lineRule="auto"/>
        <w:rPr/>
      </w:pPr>
      <w:r w:rsidDel="00000000" w:rsidR="00000000" w:rsidRPr="00000000">
        <w:rPr>
          <w:b w:val="1"/>
          <w:bCs w:val="1"/>
          <w:sz w:val="30"/>
          <w:szCs w:val="30"/>
          <w:rtl w:val="0"/>
        </w:rPr>
        <w:t xml:space="preserve">References</w:t>
      </w:r>
      <w:r w:rsidDel="00000000" w:rsidR="00000000" w:rsidRPr="00000000">
        <w:rPr>
          <w:rtl w:val="0"/>
        </w:rPr>
      </w:r>
    </w:p>
    <w:p w:rsidR="00000000" w:rsidDel="00000000" w:rsidP="00000000" w:rsidRDefault="00000000" w:rsidRPr="00000000" w14:paraId="00000010">
      <w:pPr>
        <w:spacing w:after="120" w:lineRule="auto"/>
        <w:ind w:left="720" w:hanging="720"/>
        <w:rPr/>
      </w:pPr>
      <w:r w:rsidDel="00000000" w:rsidR="00000000" w:rsidRPr="00000000">
        <w:rPr>
          <w:rtl w:val="0"/>
        </w:rPr>
        <w:t xml:space="preserve">Choi, J., Kim, S., &amp; Park, H. (2022). Automated patent classification using transformer-based language models. World Patent Information, 69, 102115.</w:t>
      </w:r>
    </w:p>
    <w:p w:rsidR="00000000" w:rsidDel="00000000" w:rsidP="00000000" w:rsidRDefault="00000000" w:rsidRPr="00000000" w14:paraId="00000011">
      <w:pPr>
        <w:spacing w:after="120" w:lineRule="auto"/>
        <w:ind w:left="720" w:hanging="720"/>
        <w:rPr/>
      </w:pPr>
      <w:r w:rsidDel="00000000" w:rsidR="00000000" w:rsidRPr="00000000">
        <w:rPr>
          <w:rtl w:val="0"/>
        </w:rPr>
        <w:t xml:space="preserve">Fischer, T., &amp; Ringler, P. (2023). Multi-agent LLM systems for knowledge work automation: A framework and empirical assessment. Journal of Artificial Intelligence Research, 76, 441–480.</w:t>
      </w:r>
    </w:p>
    <w:p w:rsidR="00000000" w:rsidDel="00000000" w:rsidP="00000000" w:rsidRDefault="00000000" w:rsidRPr="00000000" w14:paraId="00000012">
      <w:pPr>
        <w:spacing w:after="120" w:lineRule="auto"/>
        <w:ind w:left="720" w:hanging="720"/>
        <w:rPr/>
      </w:pPr>
      <w:r w:rsidDel="00000000" w:rsidR="00000000" w:rsidRPr="00000000">
        <w:rPr>
          <w:rtl w:val="0"/>
        </w:rPr>
        <w:t xml:space="preserve">Siegel, D. S., Waldman, D. A., Atwater, L. E., &amp; Link, A. N. (2004). Toward a model of the effective transfer of scientific knowledge from academicians to practitioners. Journal of Engineering and Technology Management, 21(1-2), 115–142.</w:t>
      </w:r>
    </w:p>
    <w:p w:rsidR="00000000" w:rsidDel="00000000" w:rsidP="00000000" w:rsidRDefault="00000000" w:rsidRPr="00000000" w14:paraId="00000013">
      <w:pPr>
        <w:spacing w:after="120" w:lineRule="auto"/>
        <w:ind w:left="720" w:hanging="720"/>
        <w:rPr/>
      </w:pPr>
      <w:r w:rsidDel="00000000" w:rsidR="00000000" w:rsidRPr="00000000">
        <w:rPr>
          <w:rtl w:val="0"/>
        </w:rPr>
        <w:t xml:space="preserve">Trippe, A. J. (2015). Patinformatics: Tasks to tools. World Patent Information, 40, 4–16.</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FQeV4Oq2z7NiHtow55dkW0SBuA==">CgMxLjA4AHIhMXhrbVh4OXdhbTBRS09Vd2NCUUlhNnhmSXh4X2w4ZXM0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2026-02-19T19:37:00Z</dcterms:created>
  <dc:creator>Un-named</dc:creator>
</cp:coreProperties>
</file>