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FEE78">
      <w:pPr>
        <w:spacing w:before="320" w:after="120" w:line="288" w:lineRule="auto"/>
        <w:ind w:left="0"/>
        <w:jc w:val="center"/>
        <w:outlineLvl w:val="1"/>
        <w:rPr>
          <w:rFonts w:hint="default" w:ascii="Arial" w:hAnsi="Arial" w:eastAsia="等线" w:cs="Arial"/>
          <w:b/>
          <w:sz w:val="48"/>
          <w:szCs w:val="48"/>
          <w:lang w:val="en-US" w:eastAsia="zh-CN"/>
        </w:rPr>
      </w:pPr>
      <w:bookmarkStart w:id="0" w:name="heading_0"/>
      <w:bookmarkStart w:id="12" w:name="_GoBack"/>
      <w:r>
        <w:rPr>
          <w:rFonts w:hint="eastAsia" w:ascii="Arial" w:hAnsi="Arial" w:eastAsia="等线" w:cs="Arial"/>
          <w:b/>
          <w:sz w:val="48"/>
          <w:szCs w:val="48"/>
          <w:lang w:val="en-US" w:eastAsia="zh-CN"/>
        </w:rPr>
        <w:t>2026美赛D题数据解析</w:t>
      </w:r>
    </w:p>
    <w:bookmarkEnd w:id="12"/>
    <w:p w14:paraId="14F8882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 attendance_data.csv（上座率数据）</w:t>
      </w:r>
      <w:bookmarkEnd w:id="0"/>
    </w:p>
    <w:p w14:paraId="24D225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现有12支球队的观众上座明细</w:t>
      </w:r>
      <w:r>
        <w:rPr>
          <w:rFonts w:ascii="Arial" w:hAnsi="Arial" w:eastAsia="等线" w:cs="Arial"/>
          <w:sz w:val="22"/>
        </w:rPr>
        <w:t>，核心是反映各球队的现场观赛热度、场馆利用效率，直接关联球队门票收入与品牌影响力。</w:t>
      </w:r>
    </w:p>
    <w:p w14:paraId="16BDD07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核心数据字段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CA0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CE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1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6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143EA0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E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3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球队名称（英文缩写）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76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IND（印第安纳狂热）、LV（拉斯维加斯王牌）</w:t>
            </w:r>
          </w:p>
        </w:tc>
      </w:tr>
      <w:tr w14:paraId="3A3802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E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DE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赛季年份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BF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2022、2023、2024</w:t>
            </w:r>
          </w:p>
        </w:tc>
      </w:tr>
      <w:tr w14:paraId="28760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22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avg_attendance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C6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该赛季场均上座人数（人）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B7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17036（IND队2024年数据，联盟最高）</w:t>
            </w:r>
          </w:p>
        </w:tc>
      </w:tr>
      <w:tr w14:paraId="2C345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23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total_attendance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C3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该赛季总上座人数（人）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7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272576（IND队2024年，82场比赛）</w:t>
            </w:r>
          </w:p>
        </w:tc>
      </w:tr>
      <w:tr w14:paraId="05E8C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D2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arena_capacity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2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主场馆容量（人）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07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18345（IND队主场馆）</w:t>
            </w:r>
          </w:p>
        </w:tc>
      </w:tr>
      <w:tr w14:paraId="14064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0B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sellout_games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0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该赛季售罄场次（场）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84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20（LV队2024年，全赛季售罄）</w:t>
            </w:r>
          </w:p>
        </w:tc>
      </w:tr>
      <w:tr w14:paraId="77E42A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B3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capacity_utilization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82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场馆容量利用率（%）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23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92.8（IND队2024年，接近满座）</w:t>
            </w:r>
          </w:p>
        </w:tc>
      </w:tr>
    </w:tbl>
    <w:p w14:paraId="1818BC3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关键数据价值</w:t>
      </w:r>
      <w:bookmarkEnd w:id="2"/>
    </w:p>
    <w:p w14:paraId="163E0DF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可直观对比球队热度：如2024年IND队因新秀Caitlin Clark加盟，场均上座较2023年暴涨319%，成为联盟“流量担当”；</w:t>
      </w:r>
    </w:p>
    <w:p w14:paraId="08B2825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辅助票价策略制定：利用率超90%的球队（如LV、IND）可考虑提升票价，利用率低于60%的球队（如某些小市场球队）需通过促销吸引观众；</w:t>
      </w:r>
    </w:p>
    <w:p w14:paraId="6E59981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反映联盟整体增长：2024年联盟场均上座9807人，较2023年增长48%，创22年新高，证明WNBA市场热度持续上升。</w:t>
      </w:r>
    </w:p>
    <w:p w14:paraId="6F136A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B88D3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expansion_teams.csv（扩张球队数据）</w:t>
      </w:r>
      <w:bookmarkEnd w:id="3"/>
    </w:p>
    <w:p w14:paraId="49E81E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2025-2030年计划新增的6支扩张球队信息</w:t>
      </w:r>
      <w:r>
        <w:rPr>
          <w:rFonts w:ascii="Arial" w:hAnsi="Arial" w:eastAsia="等线" w:cs="Arial"/>
          <w:sz w:val="22"/>
        </w:rPr>
        <w:t>，核心是明确联盟“扩大版图”的具体规划，包括新球队的落地城市、投资方、成本与运营基础。</w:t>
      </w:r>
    </w:p>
    <w:p w14:paraId="44B6278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核心数据字段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06C75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5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57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D2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6BCF7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5D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team_name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F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新球队名称（含昵称）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金州女武神（Golden State Valkyries）、多伦多节奏（Toronto Rhythm）</w:t>
            </w:r>
          </w:p>
        </w:tc>
      </w:tr>
      <w:tr w14:paraId="7F0BFF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1A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F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球队所在城市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B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旧金山（金州女武神）、多伦多（多伦多节奏）</w:t>
            </w:r>
          </w:p>
        </w:tc>
      </w:tr>
      <w:tr w14:paraId="48DB24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0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join_year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D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加入联盟的赛季年份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5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2025（首批扩张队）、2027（第二批扩张队）</w:t>
            </w:r>
          </w:p>
        </w:tc>
      </w:tr>
      <w:tr w14:paraId="14A2AC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5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owner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7E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球队投资方/所有者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B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Joe Lacob（金州勇士队老板，跨界投资）、MLSE（多伦多枫叶体育娱乐公司）</w:t>
            </w:r>
          </w:p>
        </w:tc>
      </w:tr>
      <w:tr w14:paraId="182F97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B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expansion_fee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E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加盟费（美元）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8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50000000（5000万，2025年首批球队）、250000000（2.5亿，2030年后期球队）</w:t>
            </w:r>
          </w:p>
        </w:tc>
      </w:tr>
      <w:tr w14:paraId="71F23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1A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arena_name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D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计划使用的主场馆名称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A6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Chase Center（与金州勇士队共享）、Scotiabank Arena（与多伦多猛龙队共享）</w:t>
            </w:r>
          </w:p>
        </w:tc>
      </w:tr>
      <w:tr w14:paraId="07371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8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expected_capacity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26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主场馆预计容量（人）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21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18064（Chase Center）、19800（Scotiabank Arena）</w:t>
            </w:r>
          </w:p>
        </w:tc>
      </w:tr>
    </w:tbl>
    <w:p w14:paraId="6088CA1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关键数据价值</w:t>
      </w:r>
      <w:bookmarkEnd w:id="5"/>
    </w:p>
    <w:p w14:paraId="4B4F58A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体现联盟扩张节奏：2025年先新增2支（金州、多伦多），2027-2030年再新增4支，逐步从12队扩至18队，避免市场过度饱和；</w:t>
      </w:r>
    </w:p>
    <w:p w14:paraId="7F533DE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反映投资热度：加盟费从2025年5000万涨至2030年2.5亿，5年涨幅400%，证明资本对WNBA前景的看好；</w:t>
      </w:r>
    </w:p>
    <w:p w14:paraId="4A5DFCE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布局战略城市：新球队多落地于NBA强队所在城市（如旧金山、多伦多、克利夫兰），可共享场馆、球迷基础与运营资源，降低初期风险。</w:t>
      </w:r>
    </w:p>
    <w:p w14:paraId="6462B775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 media_deals.csv（媒体版权合同数据）</w:t>
      </w:r>
    </w:p>
    <w:p w14:paraId="5CFDD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联盟级媒体版权合作的核心条款</w:t>
      </w:r>
      <w:r>
        <w:rPr>
          <w:rFonts w:ascii="Arial" w:hAnsi="Arial" w:eastAsia="等线" w:cs="Arial"/>
          <w:sz w:val="22"/>
        </w:rPr>
        <w:t>，直接反映联盟的商业价值与曝光度基础，是联盟收入的重要来源（占比约25-30%）。</w:t>
      </w:r>
    </w:p>
    <w:p w14:paraId="369262A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核心数据字段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0961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1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3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C1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30FB75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7A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deal_period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5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合同周期（年份范围）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A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2020-2025（现有合同）、2026-2036（新合同）</w:t>
            </w:r>
          </w:p>
        </w:tc>
      </w:tr>
      <w:tr w14:paraId="6DAAE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E8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annual_value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E1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年均合同金额（美元）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C1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60,000,000（6000万，现有合同）、200,000,000（2亿，新合同）</w:t>
            </w:r>
          </w:p>
        </w:tc>
      </w:tr>
      <w:tr w14:paraId="1EC75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76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partners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FA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合作媒体方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50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Disney（ESPN/ABC）、Amazon Prime Video（现有）；新增NBC（新合同）</w:t>
            </w:r>
          </w:p>
        </w:tc>
      </w:tr>
      <w:tr w14:paraId="668C7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5D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coverage_type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A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转播内容类型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8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常规赛（30场）、季后赛（全部19场）、全明星赛（现有）；新增“周中焦点赛”（新合同）</w:t>
            </w:r>
          </w:p>
        </w:tc>
      </w:tr>
      <w:tr w14:paraId="6B16C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2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revenue_share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D6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球队分成比例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2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联盟抽取15%版权收入后，剩余85%由12支球队均分（现有规则）</w:t>
            </w:r>
          </w:p>
        </w:tc>
      </w:tr>
    </w:tbl>
    <w:p w14:paraId="338B20F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关键数据价值</w:t>
      </w:r>
    </w:p>
    <w:p w14:paraId="3F37F19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商业价值跃升</w:t>
      </w:r>
      <w:r>
        <w:rPr>
          <w:rFonts w:ascii="Arial" w:hAnsi="Arial" w:eastAsia="等线" w:cs="Arial"/>
          <w:sz w:val="22"/>
        </w:rPr>
        <w:t>：新合同（2026-2036）年均金额是现有合同的3.3倍，标志WNBA商业价值进入爆发期；</w:t>
      </w:r>
    </w:p>
    <w:p w14:paraId="5822D7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曝光度提升</w:t>
      </w:r>
      <w:r>
        <w:rPr>
          <w:rFonts w:ascii="Arial" w:hAnsi="Arial" w:eastAsia="等线" w:cs="Arial"/>
          <w:sz w:val="22"/>
        </w:rPr>
        <w:t>：合作方从2家增至3家，新增NBC的“周中焦点赛”转播，全年赛事曝光场次预计增加40%；</w:t>
      </w:r>
    </w:p>
    <w:p w14:paraId="5A6FE7A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球队收入保障</w:t>
      </w:r>
      <w:r>
        <w:rPr>
          <w:rFonts w:ascii="Arial" w:hAnsi="Arial" w:eastAsia="等线" w:cs="Arial"/>
          <w:sz w:val="22"/>
        </w:rPr>
        <w:t>：按2025年12支球队计算，每支球队年均可从版权分成获得约1130万美元（新合同生效后），较现有分成增长233%。</w:t>
      </w:r>
    </w:p>
    <w:p w14:paraId="4B09067D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. model_parameters.csv（模型参数数据）</w:t>
      </w:r>
    </w:p>
    <w:p w14:paraId="785D6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该文件是</w:t>
      </w:r>
      <w:r>
        <w:rPr>
          <w:rFonts w:ascii="Arial" w:hAnsi="Arial" w:eastAsia="等线" w:cs="Arial"/>
          <w:b/>
          <w:sz w:val="22"/>
        </w:rPr>
        <w:t>WNBA球队估值与财务预测的核心参数库</w:t>
      </w:r>
      <w:r>
        <w:rPr>
          <w:rFonts w:ascii="Arial" w:hAnsi="Arial" w:eastAsia="等线" w:cs="Arial"/>
          <w:sz w:val="22"/>
        </w:rPr>
        <w:t>，包含量化分析所需的关键系数、假设条件与计算标准，可直接用于球队价值评估、收入预测等建模场景。</w:t>
      </w:r>
    </w:p>
    <w:p w14:paraId="579FC3A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核心数据字段（按类别划分）</w:t>
      </w:r>
    </w:p>
    <w:p w14:paraId="73815ECE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（1）收入相关参数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F5C0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0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4A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C5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073C73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C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ticket_price_elasticity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62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票价弹性系数（价格每涨1%，需求变化率）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9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-0.8（即票价涨1%，购票需求降0.8%）</w:t>
            </w:r>
          </w:p>
        </w:tc>
      </w:tr>
      <w:tr w14:paraId="197345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55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win_rate_revenue_coeff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8B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胜率收入系数（胜率每提升1%，总收入增长比例）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7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0.023（胜率涨1%，总收入涨2.3%）</w:t>
            </w:r>
          </w:p>
        </w:tc>
      </w:tr>
      <w:tr w14:paraId="24B89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FA6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sponsorship_growth_rate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5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赞助收入年增长率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2B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0.18（18%，2024-2025年预测值）</w:t>
            </w:r>
          </w:p>
        </w:tc>
      </w:tr>
    </w:tbl>
    <w:p w14:paraId="1CFE4D9D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（2）估值相关参数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A68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03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D4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8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60512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F8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discount_rate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7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折现率（用于未来现金流估值）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4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0.075（7.5%，联盟平均风险系数）</w:t>
            </w:r>
          </w:p>
        </w:tc>
      </w:tr>
      <w:tr w14:paraId="39D5D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6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valuation_multiple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B8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估值倍数（球队价值=收入×倍数）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E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8.2（2025年联盟平均倍数，2024年为6.5）</w:t>
            </w:r>
          </w:p>
        </w:tc>
      </w:tr>
      <w:tr w14:paraId="3957E6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FA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expansion_fee_growth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B1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扩张加盟费年增长率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A8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0.4（40%，2025-2030年预测）</w:t>
            </w:r>
          </w:p>
        </w:tc>
      </w:tr>
    </w:tbl>
    <w:p w14:paraId="08820CE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（3）成本与风险参数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7C66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5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4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83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08325C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81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salary_cap_growth_rate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AC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薪资帽年增长率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E4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0.12（12%，2025-2026年预测）</w:t>
            </w:r>
          </w:p>
        </w:tc>
      </w:tr>
      <w:tr w14:paraId="34D876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25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injury_risk_coeff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5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伤病风险系数（核心球员受伤对收入的影响）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5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0.15（核心球员受伤，年收入降15%）</w:t>
            </w:r>
          </w:p>
        </w:tc>
      </w:tr>
    </w:tbl>
    <w:p w14:paraId="67FB1D9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关键数据价值</w:t>
      </w:r>
      <w:bookmarkEnd w:id="8"/>
    </w:p>
    <w:p w14:paraId="5FB9156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标准化建模</w:t>
      </w:r>
      <w:r>
        <w:rPr>
          <w:rFonts w:ascii="Arial" w:hAnsi="Arial" w:eastAsia="等线" w:cs="Arial"/>
          <w:sz w:val="22"/>
        </w:rPr>
        <w:t>：所有参数基于WNBA历史数据与行业基准（如NBA、NWSL）校准，可直接用于球队估值模型；</w:t>
      </w:r>
    </w:p>
    <w:p w14:paraId="0786F8B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预测准确性</w:t>
      </w:r>
      <w:r>
        <w:rPr>
          <w:rFonts w:ascii="Arial" w:hAnsi="Arial" w:eastAsia="等线" w:cs="Arial"/>
          <w:sz w:val="22"/>
        </w:rPr>
        <w:t>：通过“胜率-收入”“票价-需求”等系数，可精准预测球队调整策略后的收入变化（如提升胜率、涨价后的收益）；</w:t>
      </w:r>
    </w:p>
    <w:p w14:paraId="36C35CD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风险量化</w:t>
      </w:r>
      <w:r>
        <w:rPr>
          <w:rFonts w:ascii="Arial" w:hAnsi="Arial" w:eastAsia="等线" w:cs="Arial"/>
          <w:sz w:val="22"/>
        </w:rPr>
        <w:t>：伤病、加盟费增长等参数可帮助球队评估运营风险，制定应对方案（如核心球员保险、扩张成本预算）。</w:t>
      </w:r>
    </w:p>
    <w:p w14:paraId="2C6DF7E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r>
        <w:rPr>
          <w:rFonts w:ascii="Arial" w:hAnsi="Arial" w:eastAsia="等线" w:cs="Arial"/>
          <w:b/>
          <w:sz w:val="32"/>
        </w:rPr>
        <w:t>. player_salaries_2025.csv（2025赛季球员薪资数据）</w:t>
      </w:r>
      <w:bookmarkEnd w:id="9"/>
    </w:p>
    <w:p w14:paraId="6C613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2025赛季联盟顶级球员的薪资明细</w:t>
      </w:r>
      <w:r>
        <w:rPr>
          <w:rFonts w:ascii="Arial" w:hAnsi="Arial" w:eastAsia="等线" w:cs="Arial"/>
          <w:sz w:val="22"/>
        </w:rPr>
        <w:t>，核心反映球员市场价值分层、球队薪资结构差异，是分析球队薪资空间、引援策略的关键依据。</w:t>
      </w:r>
    </w:p>
    <w:p w14:paraId="1046456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核心数据字段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FFF3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0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0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E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015BA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8B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player_name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85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球员姓名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69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Jackie Young（拉斯维加斯王牌）、Caitlin Clark（印第安纳狂热）</w:t>
            </w:r>
          </w:p>
        </w:tc>
      </w:tr>
      <w:tr w14:paraId="5CF1C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60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AE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所属球队（英文缩写）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18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LV（拉斯维加斯王牌）、IND（印第安纳狂热）</w:t>
            </w:r>
          </w:p>
        </w:tc>
      </w:tr>
      <w:tr w14:paraId="24DC24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9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salary_2025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A8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2025赛季薪资（美元）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F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252,450（Jackie Young，联盟最高）、78,066（Caitlin Clark，新秀状元）</w:t>
            </w:r>
          </w:p>
        </w:tc>
      </w:tr>
      <w:tr w14:paraId="16B2C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0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DF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78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Supermax（超级顶薪）、Rookie（新秀合同）、Free Agent（自由球员合同）</w:t>
            </w:r>
          </w:p>
        </w:tc>
      </w:tr>
      <w:tr w14:paraId="48658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8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contract_length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27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合同剩余年限（年）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1D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3（Jackie Young，2025-2027）、4（Caitlin Clark，2025-2028）</w:t>
            </w:r>
          </w:p>
        </w:tc>
      </w:tr>
    </w:tbl>
    <w:p w14:paraId="37A345E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关键数据价值</w:t>
      </w:r>
      <w:bookmarkEnd w:id="11"/>
    </w:p>
    <w:p w14:paraId="73AF5BE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薪资分层明显</w:t>
      </w:r>
      <w:r>
        <w:rPr>
          <w:rFonts w:ascii="Arial" w:hAnsi="Arial" w:eastAsia="等线" w:cs="Arial"/>
          <w:sz w:val="22"/>
        </w:rPr>
        <w:t>：联盟最高薪（Jackie Young，25.2万美元）是新秀状元（Caitlin Clark，7.8万美元）的3.2倍，反映“核心老将-新秀”的价值差距；</w:t>
      </w:r>
    </w:p>
    <w:p w14:paraId="14E7487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球队薪资策略</w:t>
      </w:r>
      <w:r>
        <w:rPr>
          <w:rFonts w:ascii="Arial" w:hAnsi="Arial" w:eastAsia="等线" w:cs="Arial"/>
          <w:sz w:val="22"/>
        </w:rPr>
        <w:t>：拉斯维加斯王牌队有3名球员薪资超20万美元（联盟最多），体现其“高薪留核心”的争冠策略；</w:t>
      </w:r>
    </w:p>
    <w:p w14:paraId="285706A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薪资帽约束</w:t>
      </w:r>
      <w:r>
        <w:rPr>
          <w:rFonts w:ascii="Arial" w:hAnsi="Arial" w:eastAsia="等线" w:cs="Arial"/>
          <w:sz w:val="22"/>
        </w:rPr>
        <w:t>：2025年球队薪资帽为150.71万美元，可通过球员薪资明细计算各队薪资空间（如某队总薪资142万美元，剩余8.71万美元可用于补强）。</w:t>
      </w:r>
    </w:p>
    <w:p w14:paraId="3821378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D4518C2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6</w:t>
      </w:r>
      <w:r>
        <w:rPr>
          <w:rFonts w:ascii="Arial" w:hAnsi="Arial" w:eastAsia="等线" w:cs="Arial"/>
          <w:b/>
          <w:sz w:val="32"/>
        </w:rPr>
        <w:t>. salary_cap_history.csv（薪资帽历史数据）</w:t>
      </w:r>
    </w:p>
    <w:p w14:paraId="6C4E5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2020-2026年的薪资帽及相关薪资规则明细</w:t>
      </w:r>
      <w:r>
        <w:rPr>
          <w:rFonts w:ascii="Arial" w:hAnsi="Arial" w:eastAsia="等线" w:cs="Arial"/>
          <w:sz w:val="22"/>
        </w:rPr>
        <w:t>，核心是明确联盟薪资管控标准，直接决定各球队的薪资空间、球员签约上限，是球队引援、合同续约、薪资规划的核心依据（薪资帽是联盟为平衡球队实力设定的球队薪资总额上限）。</w:t>
      </w:r>
    </w:p>
    <w:p w14:paraId="3C0B120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核心数据字段（含中文释义+关键说明）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595"/>
        <w:gridCol w:w="1560"/>
        <w:gridCol w:w="2070"/>
      </w:tblGrid>
      <w:tr w14:paraId="6B502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C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9B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数据含义（中文）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A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示例（2025年）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07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关键说明</w:t>
            </w:r>
          </w:p>
        </w:tc>
      </w:tr>
      <w:tr w14:paraId="520D1B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98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year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4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赛季年份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2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5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覆盖2020-2026年，含过去、当前、未来预测年份</w:t>
            </w:r>
          </w:p>
        </w:tc>
      </w:tr>
      <w:tr w14:paraId="78C0AF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4C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salary_cap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CE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球队薪资帽（美元）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3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1507100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0F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硬帽，球队总薪资不可超过该金额</w:t>
            </w:r>
          </w:p>
        </w:tc>
      </w:tr>
      <w:tr w14:paraId="05C7B4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1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salary_floor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6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球队薪资下限（美元）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5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1261440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28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球队总薪资需达到该金额，保障球员收入</w:t>
            </w:r>
          </w:p>
        </w:tc>
      </w:tr>
      <w:tr w14:paraId="16F0A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05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max_salary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7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球员常规顶薪（美元）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3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249244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F2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普通核心球员可拿到的最高薪资</w:t>
            </w:r>
          </w:p>
        </w:tc>
      </w:tr>
      <w:tr w14:paraId="69B35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E3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supermax_salary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0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球员超级顶薪（美元）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9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256822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BE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联盟顶级球星专属，略高于常规顶薪</w:t>
            </w:r>
          </w:p>
        </w:tc>
      </w:tr>
      <w:tr w14:paraId="43C45C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62D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rookie_min_0_2_yrs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D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0-2年球龄新秀最低工资（美元）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E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66079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9E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刚进入联盟的年轻球员薪资底线</w:t>
            </w:r>
          </w:p>
        </w:tc>
      </w:tr>
      <w:tr w14:paraId="76070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A8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veteran_min_3plus_yrs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15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3年及以上球龄老将最低工资（美元）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9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78831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88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保障资深球员的基本收入</w:t>
            </w:r>
          </w:p>
        </w:tc>
      </w:tr>
      <w:tr w14:paraId="780A8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F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rookie_1_4_pick_yr1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2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首轮1-4顺位新秀第一年薪资（美元）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DB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80380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9C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高位新秀的标准起薪，顺位越高薪资越高</w:t>
            </w:r>
          </w:p>
        </w:tc>
      </w:tr>
      <w:tr w14:paraId="794B33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9C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annual_increase_pct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A1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薪资相关标准年增长率（%）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52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79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2021-2026年保持3%稳定增长，反映联盟发展态势</w:t>
            </w:r>
          </w:p>
        </w:tc>
      </w:tr>
    </w:tbl>
    <w:p w14:paraId="5063E95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关键数据价值</w:t>
      </w:r>
    </w:p>
    <w:p w14:paraId="772F3D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薪资规划核心：各球队可根据当年薪资帽/下限，合理分配薪资空间，比如2025年薪资帽150.71万美元，需在“高薪留核心”和“补强角色球员”间平衡；</w:t>
      </w:r>
    </w:p>
    <w:p w14:paraId="272FCCB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合同谈判依据：球员薪资（尤其是新秀、顶薪球员）需严格遵循该标准，比如首轮1-4顺位新秀第一年薪资固定为8.04万美元左右；</w:t>
      </w:r>
    </w:p>
    <w:p w14:paraId="645A196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联盟发展佐证：薪资帽每年稳定增长3%，说明WNBA商业价值稳步提升，球员收入保障持续加强。</w:t>
      </w:r>
    </w:p>
    <w:p w14:paraId="5F3FA6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563E00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7</w:t>
      </w:r>
      <w:r>
        <w:rPr>
          <w:rFonts w:ascii="Arial" w:hAnsi="Arial" w:eastAsia="等线" w:cs="Arial"/>
          <w:b/>
          <w:sz w:val="32"/>
        </w:rPr>
        <w:t>. team_valuations.csv（球队估值与运营数据）</w:t>
      </w:r>
    </w:p>
    <w:p w14:paraId="6B1CD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该文件记录了WNBA</w:t>
      </w:r>
      <w:r>
        <w:rPr>
          <w:rFonts w:ascii="Arial" w:hAnsi="Arial" w:eastAsia="等线" w:cs="Arial"/>
          <w:b/>
          <w:sz w:val="22"/>
        </w:rPr>
        <w:t>现有12支球队+3支未来扩张球队的估值、收入及运营明细</w:t>
      </w:r>
      <w:r>
        <w:rPr>
          <w:rFonts w:ascii="Arial" w:hAnsi="Arial" w:eastAsia="等线" w:cs="Arial"/>
          <w:sz w:val="22"/>
        </w:rPr>
        <w:t>，核心是反映各球队的商业价值、市场表现及运营基础，是分析球队投资潜力、联盟市场布局的核心数据。</w:t>
      </w:r>
    </w:p>
    <w:p w14:paraId="27CAB25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核心数据字段（含中文释义+关键说明）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2760"/>
        <w:gridCol w:w="1650"/>
        <w:gridCol w:w="2205"/>
      </w:tblGrid>
      <w:tr w14:paraId="4DADF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3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F6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数据含义（中文）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24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示例（拉斯维加斯王牌）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5E3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关键说明</w:t>
            </w:r>
          </w:p>
        </w:tc>
      </w:tr>
      <w:tr w14:paraId="2D643D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2A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ED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8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 Vegas Aces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9C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含12支现有球队+3支扩张球队</w:t>
            </w:r>
          </w:p>
        </w:tc>
      </w:tr>
      <w:tr w14:paraId="2761D1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2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valuation_2024_M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0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2024年球队估值（百万美元）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C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140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B5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扩张球队2024年估值为0（未成立）</w:t>
            </w:r>
          </w:p>
        </w:tc>
      </w:tr>
      <w:tr w14:paraId="68CC23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4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revenue_2023_M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2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2023年球队收入（百万美元）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79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17.8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07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主要含门票、赞助、媒体分成等收入</w:t>
            </w:r>
          </w:p>
        </w:tc>
      </w:tr>
      <w:tr w14:paraId="21F1F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D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valuation_2025_M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0B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2025年球队估值（百万美元）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03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310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E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核心指标，反映球队商业价值高低</w:t>
            </w:r>
          </w:p>
        </w:tc>
      </w:tr>
      <w:tr w14:paraId="6A489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8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revenue_2024_M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1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2024年球队收入（百万美元）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B6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88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与估值正相关，收入越高估值通常越高</w:t>
            </w:r>
          </w:p>
        </w:tc>
      </w:tr>
      <w:tr w14:paraId="4F1502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3E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yoy_valuation_change_pct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5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球队估值同比增长率（%）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1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121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C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2024-2025年变化，扩张球队为NA（无前期数据）</w:t>
            </w:r>
          </w:p>
        </w:tc>
      </w:tr>
      <w:tr w14:paraId="65225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F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owner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A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球队投资方/所有者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36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 Davis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1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部分为NBA球队老板跨界投资（如金州女武神）</w:t>
            </w:r>
          </w:p>
        </w:tc>
      </w:tr>
      <w:tr w14:paraId="23ACB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7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arena_capacity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52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主场馆容量（人）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A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8600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F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影响球队门票收入上限</w:t>
            </w:r>
          </w:p>
        </w:tc>
      </w:tr>
      <w:tr w14:paraId="2B9D05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2F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city_population_M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5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球队所在城市人口（百万）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F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4F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反映球队潜在球迷基数</w:t>
            </w:r>
          </w:p>
        </w:tc>
      </w:tr>
      <w:tr w14:paraId="6EEDA9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30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65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球队关键备注（战绩/亮点）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A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2022-2023年两连冠；首个季票售罄赛季</w:t>
            </w:r>
          </w:p>
        </w:tc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8C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解释球队估值/收入增长的核心原因</w:t>
            </w:r>
          </w:p>
        </w:tc>
      </w:tr>
    </w:tbl>
    <w:p w14:paraId="240D6A2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关键数据价值</w:t>
      </w:r>
    </w:p>
    <w:p w14:paraId="7040C28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投资价值参考：如金州女武神（2025年扩张队）估值5亿美元，是现有球队最高（纽约自由人4.2亿美元），体现资本对扩张球队的看好；</w:t>
      </w:r>
    </w:p>
    <w:p w14:paraId="65287B6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球队表现分析：如印第安纳狂热因新秀Caitlin Clark效应，估值同比增长273%，收入从910万美元暴涨至3400万美元，直观反映球星对球队的带动作用；</w:t>
      </w:r>
    </w:p>
    <w:p w14:paraId="239944B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联盟格局判断：现有球队估值差距较大（最高4.2亿 vs 最低1.2亿），反映联盟内部商业价值不均衡，扩张球队布局可弥补部分市场空白。</w:t>
      </w:r>
    </w:p>
    <w:p w14:paraId="11514A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874367">
      <w:pPr>
        <w:spacing w:before="320" w:after="120" w:line="288" w:lineRule="auto"/>
        <w:ind w:left="0"/>
        <w:jc w:val="left"/>
        <w:outlineLvl w:val="1"/>
      </w:pPr>
      <w:r>
        <w:rPr>
          <w:rFonts w:hint="eastAsia" w:ascii="Arial" w:hAnsi="Arial" w:eastAsia="等线" w:cs="Arial"/>
          <w:b/>
          <w:sz w:val="32"/>
          <w:lang w:val="en-US" w:eastAsia="zh-CN"/>
        </w:rPr>
        <w:t>8</w:t>
      </w:r>
      <w:r>
        <w:rPr>
          <w:rFonts w:ascii="Arial" w:hAnsi="Arial" w:eastAsia="等线" w:cs="Arial"/>
          <w:b/>
          <w:sz w:val="32"/>
        </w:rPr>
        <w:t>. wnba_data_loader.py（数据加载与建模工具脚本）</w:t>
      </w:r>
    </w:p>
    <w:p w14:paraId="0A078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该文件是</w:t>
      </w:r>
      <w:r>
        <w:rPr>
          <w:rFonts w:ascii="Arial" w:hAnsi="Arial" w:eastAsia="等线" w:cs="Arial"/>
          <w:b/>
          <w:sz w:val="22"/>
        </w:rPr>
        <w:t>Python编程语言编写的辅助工具脚本</w:t>
      </w:r>
      <w:r>
        <w:rPr>
          <w:rFonts w:ascii="Arial" w:hAnsi="Arial" w:eastAsia="等线" w:cs="Arial"/>
          <w:sz w:val="22"/>
        </w:rPr>
        <w:t>，核心功能是“一键加载所有WNBA相关数据”+“提供建模辅助函数”，无需手动处理CSV文件，简化数据读取、参数调用和量化分析的流程，适配ICM Problem D（职业体育球队管理）的建模需求。</w:t>
      </w:r>
    </w:p>
    <w:p w14:paraId="6C16810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核心功能模块（通俗解读，无需懂编程）</w:t>
      </w:r>
    </w:p>
    <w:p w14:paraId="1722BB6B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（1）数据一键加载功能</w:t>
      </w:r>
    </w:p>
    <w:p w14:paraId="1CDC9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脚本内置“WNBADataLoader”工具类，可直接加载所有相关CSV数据（含本次上传的2份，及之前提到的上座率、球员薪资等数据），无需手动操作，示例：</w:t>
      </w:r>
    </w:p>
    <w:p w14:paraId="36AC428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加载球队估值数据：直接调用函数，即可读取team_valuations.csv的内容，自动整理成可分析的格式；</w:t>
      </w:r>
    </w:p>
    <w:p w14:paraId="6DF122F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加载薪资帽数据：一键读取salary_cap_history.csv，无需手动处理表格格式；</w:t>
      </w:r>
    </w:p>
    <w:p w14:paraId="42FCF49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查询单支球队数据：输入球队名称（如“Las Vegas”），即可获取该球队的估值、收入、上座率等所有关联数据，无需跨文件查询。</w:t>
      </w:r>
    </w:p>
    <w:p w14:paraId="482590B7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（2）建模辅助函数（核心价值）</w:t>
      </w:r>
    </w:p>
    <w:p w14:paraId="63419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脚本内置4个关键函数，可直接用于WNBA球队估值、球员价值计算、门票需求预测等建模场景，无需自己编写复杂公式：</w:t>
      </w:r>
    </w:p>
    <w:p w14:paraId="37D5986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球员价值计算：结合球员赛场表现（如PER值、得分）和商业价值（如社交媒体粉丝、代言收入），量化评估球员总价值；</w:t>
      </w:r>
    </w:p>
    <w:p w14:paraId="5FCBD18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门票需求预测：根据票价、对手实力、是否周末/德比战等因素，预测门票需求热度，辅助球队制定票价策略；</w:t>
      </w:r>
    </w:p>
    <w:p w14:paraId="7624AAD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胜率预测：根据球队场均得分/失分，预测球队赛季胜率，辅助球队引援规划；</w:t>
      </w:r>
    </w:p>
    <w:p w14:paraId="7E96A7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薪资帽预测：根据当前薪资帽、年增长率，预测未来年份的薪资帽金额，辅助球队长期薪资规划。</w:t>
      </w:r>
    </w:p>
    <w:p w14:paraId="47DFB284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（3）使用场景</w:t>
      </w:r>
    </w:p>
    <w:p w14:paraId="5A9523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适用于需要对WNBA数据进行量化分析、建模的人群（如商业分析师、学生、球队管理层），比如：</w:t>
      </w:r>
    </w:p>
    <w:p w14:paraId="6FE3F0B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快速查询数据：无需打开多个CSV文件，一键调用即可获取所需数据；</w:t>
      </w:r>
    </w:p>
    <w:p w14:paraId="563C6CC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开展建模分析：直接使用内置函数，计算球员价值、预测门票需求，节省编程和公式编写时间；</w:t>
      </w:r>
    </w:p>
    <w:p w14:paraId="5582649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数据整合分析：自动关联多份数据（如球队估值+上座率），生成单支球队的综合数据报告。</w:t>
      </w:r>
    </w:p>
    <w:p w14:paraId="2531618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关键价值总结</w:t>
      </w:r>
    </w:p>
    <w:p w14:paraId="798B1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该脚本是“数据工具”，不直接提供新数据，但能最大化发挥所有CSV数据的价值——简化数据处理流程，降低量化分析的门槛，让非编程专业的人也能快速使用WNBA数据开展分析和建模。</w:t>
      </w:r>
    </w:p>
    <w:p w14:paraId="49B0576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3E7EC9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9A3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2F9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46037"/>
    <w:rsid w:val="66513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1019</Words>
  <Characters>1467</Characters>
  <TotalTime>0</TotalTime>
  <ScaleCrop>false</ScaleCrop>
  <LinksUpToDate>false</LinksUpToDate>
  <CharactersWithSpaces>1480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2026-01-30T05:07:00Z</dcterms:created>
  <dc:creator>Apache POI</dc:creator>
  <cp:lastModifiedBy>数学建模老哥团队</cp:lastModifiedBy>
  <dcterms:modified xsi:type="dcterms:W3CDTF">2026-01-30T05:17:18Z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eyJoZGlkIjoiMTExNzFiNzAyOThjYjY1MTRhN2I1YjEwNzgzY2EzODUiLCJ1c2VySWQiOiIyNzg5NDI3MjYifQ==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97EFEDAA7B8D486694B8FB9D9E47D245_13</vt:lpwstr>
  </property>
</Properties>
</file>