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B6416">
      <w:pPr>
        <w:spacing w:before="480" w:after="480" w:line="288" w:lineRule="auto"/>
        <w:ind w:left="0"/>
        <w:rPr>
          <w:rFonts w:hint="default" w:ascii="Times New Roman" w:hAnsi="Times New Roman" w:eastAsia="宋体" w:cs="Times New Roman"/>
        </w:rPr>
      </w:pPr>
      <w:r>
        <w:rPr>
          <w:rFonts w:hint="default" w:ascii="Times New Roman" w:hAnsi="Times New Roman" w:eastAsia="宋体" w:cs="Times New Roman"/>
          <w:b/>
          <w:sz w:val="52"/>
        </w:rPr>
        <w:t>D 第一问：动态决策模型（最大化球队利润和价值）</w:t>
      </w:r>
    </w:p>
    <w:p w14:paraId="76DE0FF2">
      <w:pPr>
        <w:spacing w:before="380" w:after="140" w:line="288" w:lineRule="auto"/>
        <w:ind w:left="0"/>
        <w:jc w:val="left"/>
        <w:outlineLvl w:val="0"/>
        <w:rPr>
          <w:rFonts w:hint="default" w:ascii="Times New Roman" w:hAnsi="Times New Roman" w:eastAsia="宋体" w:cs="Times New Roman"/>
        </w:rPr>
      </w:pPr>
      <w:bookmarkStart w:id="0" w:name="heading_0"/>
      <w:r>
        <w:rPr>
          <w:rFonts w:hint="default" w:ascii="Times New Roman" w:hAnsi="Times New Roman" w:eastAsia="宋体" w:cs="Times New Roman"/>
          <w:b/>
          <w:sz w:val="36"/>
        </w:rPr>
        <w:t>1. 问题重述与核心分析</w:t>
      </w:r>
      <w:bookmarkEnd w:id="0"/>
    </w:p>
    <w:p w14:paraId="492F7131">
      <w:pPr>
        <w:spacing w:before="320" w:after="120" w:line="288" w:lineRule="auto"/>
        <w:ind w:left="0"/>
        <w:jc w:val="left"/>
        <w:outlineLvl w:val="1"/>
        <w:rPr>
          <w:rFonts w:hint="default" w:ascii="Times New Roman" w:hAnsi="Times New Roman" w:eastAsia="宋体" w:cs="Times New Roman"/>
        </w:rPr>
      </w:pPr>
      <w:bookmarkStart w:id="1" w:name="heading_1"/>
      <w:r>
        <w:rPr>
          <w:rFonts w:hint="default" w:ascii="Times New Roman" w:hAnsi="Times New Roman" w:eastAsia="宋体" w:cs="Times New Roman"/>
          <w:b/>
          <w:sz w:val="32"/>
        </w:rPr>
        <w:t>1.1 问题核心</w:t>
      </w:r>
      <w:bookmarkEnd w:id="1"/>
    </w:p>
    <w:p w14:paraId="419FC2E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结合WNBA联盟实际运营数据（上座率、媒体版权、球员薪资、球队估值等），设计动态决策模型，帮助球队老板和总经理根据球队竞技表现、球员状态及联盟经济环境的变化，动态调整球员签约、薪资分配、媒体推广、出场安排等决策，核心目标是</w:t>
      </w:r>
      <w:r>
        <w:rPr>
          <w:rFonts w:hint="default" w:ascii="Times New Roman" w:hAnsi="Times New Roman" w:eastAsia="宋体" w:cs="Times New Roman"/>
          <w:b/>
          <w:sz w:val="22"/>
        </w:rPr>
        <w:t>最大化球队当期利润（Π）和长期品牌估值（Vₚᵣₐₙᶜₕᵢₛₑ）</w:t>
      </w:r>
      <w:r>
        <w:rPr>
          <w:rFonts w:hint="default" w:ascii="Times New Roman" w:hAnsi="Times New Roman" w:eastAsia="宋体" w:cs="Times New Roman"/>
          <w:sz w:val="22"/>
        </w:rPr>
        <w:t>。模型需兼顾阵容结构合理性、竞技表现稳定性、联盟规则约束，覆盖商业运营（门票、赞助、版权分成）与球队运营（阵容搭建、伤病防控）双重场景，实现短期盈利与长期资产增值的动态平衡，为赛季内及长期决策提供可落地的支撑，所有变量与参数均对应现有数据字段，确保模型可检验、可应用。</w:t>
      </w:r>
    </w:p>
    <w:p w14:paraId="5F87EB04">
      <w:pPr>
        <w:spacing w:before="380" w:after="140" w:line="288" w:lineRule="auto"/>
        <w:ind w:left="0"/>
        <w:jc w:val="left"/>
        <w:outlineLvl w:val="0"/>
        <w:rPr>
          <w:rFonts w:hint="default" w:ascii="Times New Roman" w:hAnsi="Times New Roman" w:eastAsia="宋体" w:cs="Times New Roman"/>
        </w:rPr>
      </w:pPr>
      <w:bookmarkStart w:id="2" w:name="heading_4"/>
      <w:r>
        <w:rPr>
          <w:rFonts w:hint="default" w:ascii="Times New Roman" w:hAnsi="Times New Roman" w:eastAsia="宋体" w:cs="Times New Roman"/>
          <w:b/>
          <w:sz w:val="36"/>
        </w:rPr>
        <w:t>2. 模型假设与符号定义（严格对应现有数据字段）</w:t>
      </w:r>
      <w:bookmarkEnd w:id="2"/>
    </w:p>
    <w:p w14:paraId="23D36826">
      <w:pPr>
        <w:spacing w:before="320" w:after="120" w:line="288" w:lineRule="auto"/>
        <w:ind w:left="0"/>
        <w:jc w:val="left"/>
        <w:outlineLvl w:val="1"/>
        <w:rPr>
          <w:rFonts w:hint="default" w:ascii="Times New Roman" w:hAnsi="Times New Roman" w:eastAsia="宋体" w:cs="Times New Roman"/>
        </w:rPr>
      </w:pPr>
      <w:bookmarkStart w:id="3" w:name="heading_5"/>
      <w:r>
        <w:rPr>
          <w:rFonts w:hint="default" w:ascii="Times New Roman" w:hAnsi="Times New Roman" w:eastAsia="宋体" w:cs="Times New Roman"/>
          <w:b/>
          <w:sz w:val="32"/>
        </w:rPr>
        <w:t>2.1 模型假设（</w:t>
      </w:r>
      <w:r>
        <w:rPr>
          <w:rFonts w:hint="eastAsia" w:ascii="Times New Roman" w:hAnsi="Times New Roman" w:eastAsia="宋体" w:cs="Times New Roman"/>
          <w:b/>
          <w:sz w:val="32"/>
          <w:lang w:val="en-US" w:eastAsia="zh-CN"/>
        </w:rPr>
        <w:t>参考，后续修改，择优写</w:t>
      </w:r>
      <w:bookmarkStart w:id="41" w:name="_GoBack"/>
      <w:bookmarkEnd w:id="41"/>
      <w:r>
        <w:rPr>
          <w:rFonts w:hint="default" w:ascii="Times New Roman" w:hAnsi="Times New Roman" w:eastAsia="宋体" w:cs="Times New Roman"/>
          <w:b/>
          <w:sz w:val="32"/>
        </w:rPr>
        <w:t>）</w:t>
      </w:r>
      <w:bookmarkEnd w:id="3"/>
    </w:p>
    <w:p w14:paraId="0336E29F">
      <w:pPr>
        <w:spacing w:before="120" w:after="120" w:line="288" w:lineRule="auto"/>
        <w:ind w:left="0"/>
        <w:jc w:val="left"/>
        <w:rPr>
          <w:rFonts w:hint="default" w:ascii="Times New Roman" w:hAnsi="Times New Roman" w:eastAsia="宋体" w:cs="Times New Roman"/>
          <w:sz w:val="22"/>
        </w:rPr>
      </w:pPr>
      <w:bookmarkStart w:id="4" w:name="heading_6"/>
      <w:r>
        <w:rPr>
          <w:rFonts w:hint="default" w:ascii="Times New Roman" w:hAnsi="Times New Roman" w:eastAsia="宋体" w:cs="Times New Roman"/>
          <w:sz w:val="22"/>
        </w:rPr>
        <w:t>球员相关假设：建模周期内，球员竞技表现（PER值、WPA值等）的波动服从正态分布，且波动幅度无显著突变；</w:t>
      </w:r>
    </w:p>
    <w:p w14:paraId="4702491D">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核心球员与角色球员的商业价值层级保持稳定，无跨层级突变。</w:t>
      </w:r>
    </w:p>
    <w:p w14:paraId="7939BA4D">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联盟与市场假设：建模周期内，WNBA联盟薪资帽按固定增长率逐年调整，无突发性政策变动；</w:t>
      </w:r>
    </w:p>
    <w:p w14:paraId="1A2DA148">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媒体版权合同条款稳定，球队版权分成比例、联盟版权总收入的年增长率保持恒定，不受外部经济危机、行业波动的极端影响。</w:t>
      </w:r>
    </w:p>
    <w:p w14:paraId="1D51EFC0">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风险与不确定性假设：球员伤病概率仅与年龄、出场负荷、过往伤病史相关，与其他无关因素无关；市场规模系数在建模周期内缓慢变化，无突发性波动。</w:t>
      </w:r>
    </w:p>
    <w:p w14:paraId="29184417">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运营相关假设：球队场馆运营模式保持稳定，固定场馆成本与变动成本系数在建模周期内无显著调整；</w:t>
      </w:r>
    </w:p>
    <w:p w14:paraId="5D2D531C">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推广投入的边际效应保持恒定，即推广投入与推广带动收入的转化关系不随推广规模扩大而显著递减，排除市场饱和带来的边际效应下滑。</w:t>
      </w:r>
    </w:p>
    <w:p w14:paraId="05F2DFDD">
      <w:pPr>
        <w:spacing w:before="120" w:after="120" w:line="288" w:lineRule="auto"/>
        <w:ind w:left="0"/>
        <w:jc w:val="left"/>
        <w:rPr>
          <w:rFonts w:hint="default" w:ascii="Times New Roman" w:hAnsi="Times New Roman" w:eastAsia="宋体" w:cs="Times New Roman"/>
          <w:sz w:val="22"/>
        </w:rPr>
      </w:pPr>
      <w:r>
        <w:rPr>
          <w:rFonts w:hint="default" w:ascii="Times New Roman" w:hAnsi="Times New Roman" w:eastAsia="宋体" w:cs="Times New Roman"/>
          <w:sz w:val="22"/>
        </w:rPr>
        <w:t>决策相关假设：建模周期内，球队决策逻辑保持一致，无管理层重大变动导致的决策偏好突变；球员签约决策仅基于当期竞技表现、商业价值与薪资成本，不考虑非量化因素。</w:t>
      </w:r>
    </w:p>
    <w:p w14:paraId="5D23956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b/>
          <w:sz w:val="32"/>
        </w:rPr>
        <w:t>2.2 符号定义</w:t>
      </w:r>
      <w:bookmarkEnd w:id="4"/>
    </w:p>
    <w:p w14:paraId="7632E6F9">
      <w:pPr>
        <w:spacing w:before="300" w:after="120" w:line="288" w:lineRule="auto"/>
        <w:ind w:left="0"/>
        <w:jc w:val="left"/>
        <w:outlineLvl w:val="2"/>
        <w:rPr>
          <w:rFonts w:hint="default" w:ascii="Times New Roman" w:hAnsi="Times New Roman" w:eastAsia="宋体" w:cs="Times New Roman"/>
        </w:rPr>
      </w:pPr>
      <w:bookmarkStart w:id="5" w:name="heading_7"/>
      <w:r>
        <w:rPr>
          <w:rFonts w:hint="default" w:ascii="Times New Roman" w:hAnsi="Times New Roman" w:eastAsia="宋体" w:cs="Times New Roman"/>
          <w:b/>
          <w:sz w:val="30"/>
        </w:rPr>
        <w:t>2.2.1 决策变量</w:t>
      </w:r>
      <w:bookmarkEnd w:id="5"/>
    </w:p>
    <w:tbl>
      <w:tblPr>
        <w:tblStyle w:val="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801"/>
        <w:gridCol w:w="2085"/>
        <w:gridCol w:w="5394"/>
      </w:tblGrid>
      <w:tr w14:paraId="6E00277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801" w:type="dxa"/>
            <w:tcBorders>
              <w:top w:val="single" w:color="auto" w:sz="12" w:space="0"/>
              <w:left w:val="nil"/>
              <w:bottom w:val="nil"/>
              <w:right w:val="nil"/>
            </w:tcBorders>
            <w:noWrap w:val="0"/>
            <w:tcMar>
              <w:top w:w="60" w:type="dxa"/>
              <w:left w:w="120" w:type="dxa"/>
              <w:bottom w:w="30" w:type="dxa"/>
              <w:right w:w="120" w:type="dxa"/>
            </w:tcMar>
            <w:vAlign w:val="center"/>
          </w:tcPr>
          <w:p w14:paraId="4545200D">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符号</w:t>
            </w:r>
          </w:p>
        </w:tc>
        <w:tc>
          <w:tcPr>
            <w:tcW w:w="2085" w:type="dxa"/>
            <w:tcBorders>
              <w:top w:val="single" w:color="auto" w:sz="12" w:space="0"/>
              <w:left w:val="nil"/>
              <w:bottom w:val="nil"/>
              <w:right w:val="nil"/>
            </w:tcBorders>
            <w:noWrap w:val="0"/>
            <w:tcMar>
              <w:top w:w="60" w:type="dxa"/>
              <w:left w:w="120" w:type="dxa"/>
              <w:bottom w:w="30" w:type="dxa"/>
              <w:right w:w="120" w:type="dxa"/>
            </w:tcMar>
            <w:vAlign w:val="center"/>
          </w:tcPr>
          <w:p w14:paraId="4850D6EA">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类型</w:t>
            </w:r>
          </w:p>
        </w:tc>
        <w:tc>
          <w:tcPr>
            <w:tcW w:w="5395" w:type="dxa"/>
            <w:tcBorders>
              <w:top w:val="single" w:color="auto" w:sz="12" w:space="0"/>
              <w:left w:val="nil"/>
              <w:bottom w:val="nil"/>
              <w:right w:val="nil"/>
            </w:tcBorders>
            <w:noWrap w:val="0"/>
            <w:tcMar>
              <w:top w:w="60" w:type="dxa"/>
              <w:left w:w="120" w:type="dxa"/>
              <w:bottom w:w="30" w:type="dxa"/>
              <w:right w:w="120" w:type="dxa"/>
            </w:tcMar>
            <w:vAlign w:val="center"/>
          </w:tcPr>
          <w:p w14:paraId="443D72C6">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含义解释（对应数据字段）</w:t>
            </w:r>
          </w:p>
        </w:tc>
      </w:tr>
      <w:tr w14:paraId="20DAFD2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1" w:type="dxa"/>
            <w:tcBorders>
              <w:top w:val="single" w:color="auto" w:sz="4" w:space="0"/>
              <w:left w:val="nil"/>
              <w:bottom w:val="nil"/>
              <w:right w:val="nil"/>
            </w:tcBorders>
            <w:noWrap w:val="0"/>
            <w:tcMar>
              <w:top w:w="60" w:type="dxa"/>
              <w:left w:w="120" w:type="dxa"/>
              <w:bottom w:w="30" w:type="dxa"/>
              <w:right w:w="120" w:type="dxa"/>
            </w:tcMar>
            <w:vAlign w:val="center"/>
          </w:tcPr>
          <w:p w14:paraId="7C939054">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xᵢₜ</w:t>
            </w:r>
          </w:p>
        </w:tc>
        <w:tc>
          <w:tcPr>
            <w:tcW w:w="2085" w:type="dxa"/>
            <w:tcBorders>
              <w:top w:val="single" w:color="auto" w:sz="4" w:space="0"/>
              <w:left w:val="nil"/>
              <w:bottom w:val="nil"/>
              <w:right w:val="nil"/>
            </w:tcBorders>
            <w:noWrap w:val="0"/>
            <w:tcMar>
              <w:top w:w="60" w:type="dxa"/>
              <w:left w:w="120" w:type="dxa"/>
              <w:bottom w:w="30" w:type="dxa"/>
              <w:right w:w="120" w:type="dxa"/>
            </w:tcMar>
            <w:vAlign w:val="center"/>
          </w:tcPr>
          <w:p w14:paraId="35F85EED">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0-1整数变量</w:t>
            </w:r>
          </w:p>
        </w:tc>
        <w:tc>
          <w:tcPr>
            <w:tcW w:w="5395" w:type="dxa"/>
            <w:tcBorders>
              <w:top w:val="single" w:color="auto" w:sz="4" w:space="0"/>
              <w:left w:val="nil"/>
              <w:bottom w:val="nil"/>
              <w:right w:val="nil"/>
            </w:tcBorders>
            <w:noWrap w:val="0"/>
            <w:tcMar>
              <w:top w:w="60" w:type="dxa"/>
              <w:left w:w="120" w:type="dxa"/>
              <w:bottom w:w="30" w:type="dxa"/>
              <w:right w:w="120" w:type="dxa"/>
            </w:tcMar>
            <w:vAlign w:val="center"/>
          </w:tcPr>
          <w:p w14:paraId="5E35B944">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第t阶段，球员i是否入选球队阵容（xᵢₜ=1表示签约/留队，xᵢₜ=0表示未签约/离队）；球员i对应player_salaries_2025.csv中的player_name，t对应赛季年份</w:t>
            </w:r>
          </w:p>
        </w:tc>
      </w:tr>
      <w:tr w14:paraId="0364FE1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1" w:type="dxa"/>
            <w:tcBorders>
              <w:top w:val="nil"/>
              <w:left w:val="nil"/>
              <w:bottom w:val="nil"/>
              <w:right w:val="nil"/>
            </w:tcBorders>
            <w:noWrap w:val="0"/>
            <w:tcMar>
              <w:top w:w="60" w:type="dxa"/>
              <w:left w:w="120" w:type="dxa"/>
              <w:bottom w:w="30" w:type="dxa"/>
              <w:right w:w="120" w:type="dxa"/>
            </w:tcMar>
            <w:vAlign w:val="center"/>
          </w:tcPr>
          <w:p w14:paraId="3DB38E24">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yₜ</w:t>
            </w:r>
          </w:p>
        </w:tc>
        <w:tc>
          <w:tcPr>
            <w:tcW w:w="2085" w:type="dxa"/>
            <w:tcBorders>
              <w:top w:val="nil"/>
              <w:left w:val="nil"/>
              <w:bottom w:val="nil"/>
              <w:right w:val="nil"/>
            </w:tcBorders>
            <w:noWrap w:val="0"/>
            <w:tcMar>
              <w:top w:w="60" w:type="dxa"/>
              <w:left w:w="120" w:type="dxa"/>
              <w:bottom w:w="30" w:type="dxa"/>
              <w:right w:w="120" w:type="dxa"/>
            </w:tcMar>
            <w:vAlign w:val="center"/>
          </w:tcPr>
          <w:p w14:paraId="462EFD9E">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连续变量（≥0）</w:t>
            </w:r>
          </w:p>
        </w:tc>
        <w:tc>
          <w:tcPr>
            <w:tcW w:w="5395" w:type="dxa"/>
            <w:tcBorders>
              <w:top w:val="nil"/>
              <w:left w:val="nil"/>
              <w:bottom w:val="nil"/>
              <w:right w:val="nil"/>
            </w:tcBorders>
            <w:noWrap w:val="0"/>
            <w:tcMar>
              <w:top w:w="60" w:type="dxa"/>
              <w:left w:w="120" w:type="dxa"/>
              <w:bottom w:w="30" w:type="dxa"/>
              <w:right w:w="120" w:type="dxa"/>
            </w:tcMar>
            <w:vAlign w:val="center"/>
          </w:tcPr>
          <w:p w14:paraId="6C16F372">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第t阶段，球队在媒体曝光、品牌推广上的投入（单位：万美元）；参考media_deals.csv中的annual_value与推广相关数据设定范围</w:t>
            </w:r>
          </w:p>
        </w:tc>
      </w:tr>
      <w:tr w14:paraId="5246D4E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1" w:type="dxa"/>
            <w:tcBorders>
              <w:top w:val="nil"/>
              <w:left w:val="nil"/>
              <w:bottom w:val="nil"/>
              <w:right w:val="nil"/>
            </w:tcBorders>
            <w:noWrap w:val="0"/>
            <w:tcMar>
              <w:top w:w="60" w:type="dxa"/>
              <w:left w:w="120" w:type="dxa"/>
              <w:bottom w:w="30" w:type="dxa"/>
              <w:right w:w="120" w:type="dxa"/>
            </w:tcMar>
            <w:vAlign w:val="center"/>
          </w:tcPr>
          <w:p w14:paraId="04DCC8ED">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zᵢₜ</w:t>
            </w:r>
          </w:p>
        </w:tc>
        <w:tc>
          <w:tcPr>
            <w:tcW w:w="2085" w:type="dxa"/>
            <w:tcBorders>
              <w:top w:val="nil"/>
              <w:left w:val="nil"/>
              <w:bottom w:val="nil"/>
              <w:right w:val="nil"/>
            </w:tcBorders>
            <w:noWrap w:val="0"/>
            <w:tcMar>
              <w:top w:w="60" w:type="dxa"/>
              <w:left w:w="120" w:type="dxa"/>
              <w:bottom w:w="30" w:type="dxa"/>
              <w:right w:w="120" w:type="dxa"/>
            </w:tcMar>
            <w:vAlign w:val="center"/>
          </w:tcPr>
          <w:p w14:paraId="00922EBE">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连续变量（0≤zᵢₜ≤1）</w:t>
            </w:r>
          </w:p>
        </w:tc>
        <w:tc>
          <w:tcPr>
            <w:tcW w:w="5395" w:type="dxa"/>
            <w:tcBorders>
              <w:top w:val="nil"/>
              <w:left w:val="nil"/>
              <w:bottom w:val="nil"/>
              <w:right w:val="nil"/>
            </w:tcBorders>
            <w:noWrap w:val="0"/>
            <w:tcMar>
              <w:top w:w="60" w:type="dxa"/>
              <w:left w:w="120" w:type="dxa"/>
              <w:bottom w:w="30" w:type="dxa"/>
              <w:right w:w="120" w:type="dxa"/>
            </w:tcMar>
            <w:vAlign w:val="center"/>
          </w:tcPr>
          <w:p w14:paraId="28CA9E46">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第t阶段，球员i的出场时间占比（反映球员负荷，用于计算伤病风险）；基于球员表现数据中的minutes字段标准化计算</w:t>
            </w:r>
          </w:p>
        </w:tc>
      </w:tr>
      <w:tr w14:paraId="053793E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1" w:type="dxa"/>
            <w:tcBorders>
              <w:top w:val="nil"/>
              <w:left w:val="nil"/>
              <w:bottom w:val="nil"/>
              <w:right w:val="nil"/>
            </w:tcBorders>
            <w:noWrap w:val="0"/>
            <w:tcMar>
              <w:top w:w="60" w:type="dxa"/>
              <w:left w:w="120" w:type="dxa"/>
              <w:bottom w:w="30" w:type="dxa"/>
              <w:right w:w="120" w:type="dxa"/>
            </w:tcMar>
            <w:vAlign w:val="center"/>
          </w:tcPr>
          <w:p w14:paraId="0AED3E9A">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w₁, w₂</w:t>
            </w:r>
          </w:p>
        </w:tc>
        <w:tc>
          <w:tcPr>
            <w:tcW w:w="2085" w:type="dxa"/>
            <w:tcBorders>
              <w:top w:val="nil"/>
              <w:left w:val="nil"/>
              <w:bottom w:val="nil"/>
              <w:right w:val="nil"/>
            </w:tcBorders>
            <w:noWrap w:val="0"/>
            <w:tcMar>
              <w:top w:w="60" w:type="dxa"/>
              <w:left w:w="120" w:type="dxa"/>
              <w:bottom w:w="30" w:type="dxa"/>
              <w:right w:w="120" w:type="dxa"/>
            </w:tcMar>
            <w:vAlign w:val="center"/>
          </w:tcPr>
          <w:p w14:paraId="6CF13623">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连续变量（0≤w₁,w₂≤1，w₁+w₂=1）</w:t>
            </w:r>
          </w:p>
        </w:tc>
        <w:tc>
          <w:tcPr>
            <w:tcW w:w="5395" w:type="dxa"/>
            <w:tcBorders>
              <w:top w:val="nil"/>
              <w:left w:val="nil"/>
              <w:bottom w:val="nil"/>
              <w:right w:val="nil"/>
            </w:tcBorders>
            <w:noWrap w:val="0"/>
            <w:tcMar>
              <w:top w:w="60" w:type="dxa"/>
              <w:left w:w="120" w:type="dxa"/>
              <w:bottom w:w="30" w:type="dxa"/>
              <w:right w:w="120" w:type="dxa"/>
            </w:tcMar>
            <w:vAlign w:val="center"/>
          </w:tcPr>
          <w:p w14:paraId="03343378">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利润与品牌估值的权重系数（w₁为利润权重，w₂为估值权重）；通过team_valuations.csv中valuation与revenue数据，采用层次分析法确定</w:t>
            </w:r>
          </w:p>
        </w:tc>
      </w:tr>
      <w:tr w14:paraId="77E733A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801" w:type="dxa"/>
            <w:tcBorders>
              <w:top w:val="nil"/>
              <w:left w:val="nil"/>
              <w:bottom w:val="single" w:color="auto" w:sz="12" w:space="0"/>
              <w:right w:val="nil"/>
            </w:tcBorders>
            <w:noWrap w:val="0"/>
            <w:tcMar>
              <w:top w:w="60" w:type="dxa"/>
              <w:left w:w="120" w:type="dxa"/>
              <w:bottom w:w="30" w:type="dxa"/>
              <w:right w:w="120" w:type="dxa"/>
            </w:tcMar>
            <w:vAlign w:val="center"/>
          </w:tcPr>
          <w:p w14:paraId="194BC8CD">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pₜ</w:t>
            </w:r>
          </w:p>
        </w:tc>
        <w:tc>
          <w:tcPr>
            <w:tcW w:w="2085" w:type="dxa"/>
            <w:tcBorders>
              <w:top w:val="nil"/>
              <w:left w:val="nil"/>
              <w:bottom w:val="single" w:color="auto" w:sz="12" w:space="0"/>
              <w:right w:val="nil"/>
            </w:tcBorders>
            <w:noWrap w:val="0"/>
            <w:tcMar>
              <w:top w:w="60" w:type="dxa"/>
              <w:left w:w="120" w:type="dxa"/>
              <w:bottom w:w="30" w:type="dxa"/>
              <w:right w:w="120" w:type="dxa"/>
            </w:tcMar>
            <w:vAlign w:val="center"/>
          </w:tcPr>
          <w:p w14:paraId="60840165">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连续变量（≥0）</w:t>
            </w:r>
          </w:p>
        </w:tc>
        <w:tc>
          <w:tcPr>
            <w:tcW w:w="5395" w:type="dxa"/>
            <w:tcBorders>
              <w:top w:val="nil"/>
              <w:left w:val="nil"/>
              <w:bottom w:val="single" w:color="auto" w:sz="12" w:space="0"/>
              <w:right w:val="nil"/>
            </w:tcBorders>
            <w:noWrap w:val="0"/>
            <w:tcMar>
              <w:top w:w="60" w:type="dxa"/>
              <w:left w:w="120" w:type="dxa"/>
              <w:bottom w:w="30" w:type="dxa"/>
              <w:right w:w="120" w:type="dxa"/>
            </w:tcMar>
            <w:vAlign w:val="center"/>
          </w:tcPr>
          <w:p w14:paraId="39341DDB">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第t阶段，球队平均票价（单位：美元/张）；参考attendance_data.csv中的capacity_utilization与model_parameters.csv中的ticket_price_elasticity设定</w:t>
            </w:r>
          </w:p>
        </w:tc>
      </w:tr>
    </w:tbl>
    <w:p w14:paraId="57991888">
      <w:pPr>
        <w:spacing w:before="380" w:after="140" w:line="288" w:lineRule="auto"/>
        <w:ind w:left="0"/>
        <w:jc w:val="left"/>
        <w:outlineLvl w:val="0"/>
        <w:rPr>
          <w:rFonts w:hint="default" w:ascii="Times New Roman" w:hAnsi="Times New Roman" w:eastAsia="宋体" w:cs="Times New Roman"/>
        </w:rPr>
      </w:pPr>
      <w:bookmarkStart w:id="6" w:name="heading_10"/>
      <w:r>
        <w:rPr>
          <w:rFonts w:hint="default" w:ascii="Times New Roman" w:hAnsi="Times New Roman" w:eastAsia="宋体" w:cs="Times New Roman"/>
          <w:b/>
          <w:sz w:val="36"/>
        </w:rPr>
        <w:t>3. 动态决策模型构建</w:t>
      </w:r>
      <w:bookmarkEnd w:id="6"/>
    </w:p>
    <w:p w14:paraId="39B37F13">
      <w:pPr>
        <w:spacing w:before="320" w:after="120" w:line="288" w:lineRule="auto"/>
        <w:ind w:left="0"/>
        <w:jc w:val="left"/>
        <w:outlineLvl w:val="1"/>
        <w:rPr>
          <w:rFonts w:hint="default" w:ascii="Times New Roman" w:hAnsi="Times New Roman" w:eastAsia="宋体" w:cs="Times New Roman"/>
        </w:rPr>
      </w:pPr>
      <w:bookmarkStart w:id="7" w:name="heading_11"/>
      <w:r>
        <w:rPr>
          <w:rFonts w:hint="default" w:ascii="Times New Roman" w:hAnsi="Times New Roman" w:eastAsia="宋体" w:cs="Times New Roman"/>
          <w:b/>
          <w:sz w:val="32"/>
        </w:rPr>
        <w:t>3.1 模型整体框架</w:t>
      </w:r>
      <w:bookmarkEnd w:id="7"/>
    </w:p>
    <w:p w14:paraId="076087F2">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模型分为三个核心模块，形成闭环：</w:t>
      </w:r>
      <w:r>
        <w:rPr>
          <w:rFonts w:hint="default" w:ascii="Times New Roman" w:hAnsi="Times New Roman" w:eastAsia="宋体" w:cs="Times New Roman"/>
          <w:b/>
          <w:sz w:val="22"/>
        </w:rPr>
        <w:t>动态目标函数（多目标优化，关联利润与估值）</w:t>
      </w:r>
      <w:r>
        <w:rPr>
          <w:rFonts w:hint="default" w:ascii="Times New Roman" w:hAnsi="Times New Roman" w:eastAsia="宋体" w:cs="Times New Roman"/>
          <w:sz w:val="22"/>
        </w:rPr>
        <w:t>→</w:t>
      </w:r>
      <w:r>
        <w:rPr>
          <w:rFonts w:hint="default" w:ascii="Times New Roman" w:hAnsi="Times New Roman" w:eastAsia="宋体" w:cs="Times New Roman"/>
          <w:b/>
          <w:sz w:val="22"/>
        </w:rPr>
        <w:t>阶段约束条件（硬约束+软约束，贴合联盟规则与数据）</w:t>
      </w:r>
      <w:r>
        <w:rPr>
          <w:rFonts w:hint="default" w:ascii="Times New Roman" w:hAnsi="Times New Roman" w:eastAsia="宋体" w:cs="Times New Roman"/>
          <w:sz w:val="22"/>
        </w:rPr>
        <w:t>→</w:t>
      </w:r>
      <w:r>
        <w:rPr>
          <w:rFonts w:hint="default" w:ascii="Times New Roman" w:hAnsi="Times New Roman" w:eastAsia="宋体" w:cs="Times New Roman"/>
          <w:b/>
          <w:sz w:val="22"/>
        </w:rPr>
        <w:t>随机风险量化（不确定性处理，基于现有数据量化）</w:t>
      </w:r>
      <w:r>
        <w:rPr>
          <w:rFonts w:hint="default" w:ascii="Times New Roman" w:hAnsi="Times New Roman" w:eastAsia="宋体" w:cs="Times New Roman"/>
          <w:sz w:val="22"/>
        </w:rPr>
        <w:t>；通过多阶段决策变量（xᵢₜ、yₜ、zᵢₜ等）的动态调整，实现利润与品牌估值的最大化，同时满足各类约束，确保模型解可落地、可检验。</w:t>
      </w:r>
    </w:p>
    <w:p w14:paraId="5B4B7D35">
      <w:pPr>
        <w:spacing w:before="320" w:after="120" w:line="288" w:lineRule="auto"/>
        <w:ind w:left="0"/>
        <w:jc w:val="left"/>
        <w:outlineLvl w:val="1"/>
        <w:rPr>
          <w:rFonts w:hint="default" w:ascii="Times New Roman" w:hAnsi="Times New Roman" w:eastAsia="宋体" w:cs="Times New Roman"/>
        </w:rPr>
      </w:pPr>
      <w:bookmarkStart w:id="8" w:name="heading_12"/>
      <w:r>
        <w:rPr>
          <w:rFonts w:hint="default" w:ascii="Times New Roman" w:hAnsi="Times New Roman" w:eastAsia="宋体" w:cs="Times New Roman"/>
          <w:b/>
          <w:sz w:val="32"/>
        </w:rPr>
        <w:t>3.2 目标函数</w:t>
      </w:r>
      <w:bookmarkEnd w:id="8"/>
    </w:p>
    <w:p w14:paraId="5EDC8C6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核心目标：最大化加权后的当期总利润现值与长期品牌估值现值之和，引入风险惩罚项（CVaR），避免过于冒险的决策（如过度依赖高伤病风险球员、过度投入推广），所有公式均结合现有数据推导，可直接代入数据计算。</w:t>
      </w:r>
    </w:p>
    <w:p w14:paraId="1984AA1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目标函数表达式：</w:t>
      </w:r>
    </w:p>
    <w:p w14:paraId="20ED19F2">
      <w:pPr>
        <w:spacing w:before="120" w:after="120" w:line="288" w:lineRule="auto"/>
        <w:ind w:left="0"/>
        <w:jc w:val="left"/>
        <w:rPr>
          <w:rFonts w:hint="default" w:ascii="Times New Roman" w:hAnsi="Times New Roman" w:eastAsia="宋体" w:cs="Times New Roman"/>
        </w:rPr>
      </w:pPr>
      <m:oMathPara>
        <m:oMath>
          <m:r>
            <m:rPr>
              <m:nor/>
            </m:rPr>
            <w:rPr>
              <w:rFonts w:hint="default" w:ascii="Times New Roman" w:hAnsi="Times New Roman" w:eastAsia="宋体" w:cs="Times New Roman"/>
              <w:i/>
            </w:rPr>
            <m:t>maxZ</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T</m:t>
              </m:r>
              <m:ctrlPr>
                <w:rPr>
                  <w:rFonts w:hint="default" w:ascii="Cambria Math" w:hAnsi="Cambria Math" w:eastAsia="宋体" w:cs="Times New Roman"/>
                </w:rPr>
              </m:ctrlPr>
            </m:sup>
            <m:e>
              <m:f>
                <m:fPr>
                  <m:ctrlPr>
                    <w:rPr>
                      <w:rFonts w:hint="default" w:ascii="Cambria Math" w:hAnsi="Cambria Math" w:eastAsia="宋体" w:cs="Times New Roman"/>
                    </w:rPr>
                  </m:ctrlPr>
                </m:fPr>
                <m:num>
                  <m:r>
                    <m:rPr>
                      <m:nor/>
                      <m:sty m:val="p"/>
                      <m:scr m:val="double-struck"/>
                    </m:rPr>
                    <w:rPr>
                      <w:rFonts w:hint="default" w:ascii="Times New Roman" w:hAnsi="Times New Roman" w:eastAsia="MS Mincho" w:cs="MS Mincho"/>
                      <w:b w:val="0"/>
                      <w:i w:val="0"/>
                    </w:rPr>
                    <m:t>E</m:t>
                  </m:r>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CVa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β</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num>
                <m:den>
                  <m:sSup>
                    <m:sSupPr>
                      <m:ctrlPr>
                        <w:rPr>
                          <w:rFonts w:hint="default" w:ascii="Cambria Math" w:hAnsi="Cambria Math" w:eastAsia="宋体" w:cs="Times New Roman"/>
                        </w:rPr>
                      </m:ctrlPr>
                    </m:sSupPr>
                    <m:e>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1+</m:t>
                          </m:r>
                          <m:r>
                            <m:rPr>
                              <m:nor/>
                            </m:rPr>
                            <w:rPr>
                              <w:rFonts w:hint="default" w:ascii="Times New Roman" w:hAnsi="Times New Roman" w:eastAsia="宋体" w:cs="Times New Roman"/>
                              <w:i/>
                            </w:rPr>
                            <m:t>γ</m:t>
                          </m:r>
                          <m:ctrlPr>
                            <w:rPr>
                              <w:rFonts w:hint="default" w:ascii="Cambria Math" w:hAnsi="Cambria Math" w:eastAsia="宋体" w:cs="Times New Roman"/>
                            </w:rPr>
                          </m:ctrlPr>
                        </m:e>
                      </m:d>
                      <m:ctrlPr>
                        <w:rPr>
                          <w:rFonts w:hint="default" w:ascii="Cambria Math" w:hAnsi="Cambria Math" w:eastAsia="宋体" w:cs="Times New Roman"/>
                        </w:rPr>
                      </m:ctrlPr>
                    </m:e>
                    <m:sup>
                      <m:r>
                        <m:rPr>
                          <m:nor/>
                        </m:rPr>
                        <w:rPr>
                          <w:rFonts w:hint="default" w:ascii="Times New Roman" w:hAnsi="Times New Roman" w:eastAsia="宋体" w:cs="Times New Roman"/>
                          <w:i/>
                        </w:rPr>
                        <m:t>t</m:t>
                      </m:r>
                      <m:ctrlPr>
                        <w:rPr>
                          <w:rFonts w:hint="default" w:ascii="Cambria Math" w:hAnsi="Cambria Math" w:eastAsia="宋体" w:cs="Times New Roman"/>
                        </w:rPr>
                      </m:ctrlPr>
                    </m:sup>
                  </m:sSup>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ctrlPr>
                <w:rPr>
                  <w:rFonts w:hint="default" w:ascii="Cambria Math" w:hAnsi="Cambria Math" w:eastAsia="宋体" w:cs="Times New Roman"/>
                </w:rPr>
              </m:ctrlPr>
            </m:e>
          </m:nary>
          <m:r>
            <m:rPr>
              <m:nor/>
              <m:sty m:val="p"/>
            </m:rPr>
            <w:rPr>
              <w:rFonts w:hint="default" w:ascii="Times New Roman" w:hAnsi="Times New Roman" w:eastAsia="宋体" w:cs="Times New Roman"/>
              <w:i w:val="0"/>
            </w:rPr>
            <m:t>⋅</m:t>
          </m:r>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franc</m:t>
                  </m:r>
                  <m:r>
                    <m:rPr>
                      <m:nor/>
                      <m:sty m:val="p"/>
                    </m:rPr>
                    <w:rPr>
                      <w:rFonts w:hint="default" w:ascii="Times New Roman" w:hAnsi="Times New Roman" w:eastAsia="宋体" w:cs="Times New Roman"/>
                      <w:i w:val="0"/>
                    </w:rPr>
                    <m:t>h</m:t>
                  </m:r>
                  <m:r>
                    <m:rPr>
                      <m:nor/>
                    </m:rPr>
                    <w:rPr>
                      <w:rFonts w:hint="default" w:ascii="Times New Roman" w:hAnsi="Times New Roman" w:eastAsia="宋体" w:cs="Times New Roman"/>
                      <w:i/>
                    </w:rPr>
                    <m:t>ise</m:t>
                  </m:r>
                  <m:ctrlPr>
                    <w:rPr>
                      <w:rFonts w:hint="default" w:ascii="Cambria Math" w:hAnsi="Cambria Math" w:eastAsia="宋体" w:cs="Times New Roman"/>
                    </w:rPr>
                  </m:ctrlPr>
                </m:sub>
              </m:sSub>
              <m:ctrlPr>
                <w:rPr>
                  <w:rFonts w:hint="default" w:ascii="Cambria Math" w:hAnsi="Cambria Math" w:eastAsia="宋体" w:cs="Times New Roman"/>
                </w:rPr>
              </m:ctrlPr>
            </m:num>
            <m:den>
              <m:sSup>
                <m:sSupPr>
                  <m:ctrlPr>
                    <w:rPr>
                      <w:rFonts w:hint="default" w:ascii="Cambria Math" w:hAnsi="Cambria Math" w:eastAsia="宋体" w:cs="Times New Roman"/>
                    </w:rPr>
                  </m:ctrlPr>
                </m:sSupPr>
                <m:e>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1+</m:t>
                      </m:r>
                      <m:r>
                        <m:rPr>
                          <m:nor/>
                        </m:rPr>
                        <w:rPr>
                          <w:rFonts w:hint="default" w:ascii="Times New Roman" w:hAnsi="Times New Roman" w:eastAsia="宋体" w:cs="Times New Roman"/>
                          <w:i/>
                        </w:rPr>
                        <m:t>γ</m:t>
                      </m:r>
                      <m:ctrlPr>
                        <w:rPr>
                          <w:rFonts w:hint="default" w:ascii="Cambria Math" w:hAnsi="Cambria Math" w:eastAsia="宋体" w:cs="Times New Roman"/>
                        </w:rPr>
                      </m:ctrlPr>
                    </m:e>
                  </m:d>
                  <m:ctrlPr>
                    <w:rPr>
                      <w:rFonts w:hint="default" w:ascii="Cambria Math" w:hAnsi="Cambria Math" w:eastAsia="宋体" w:cs="Times New Roman"/>
                    </w:rPr>
                  </m:ctrlPr>
                </m:e>
                <m:sup>
                  <m:r>
                    <m:rPr>
                      <m:nor/>
                    </m:rPr>
                    <w:rPr>
                      <w:rFonts w:hint="default" w:ascii="Times New Roman" w:hAnsi="Times New Roman" w:eastAsia="宋体" w:cs="Times New Roman"/>
                      <w:i/>
                    </w:rPr>
                    <m:t>T</m:t>
                  </m:r>
                  <m:ctrlPr>
                    <w:rPr>
                      <w:rFonts w:hint="default" w:ascii="Cambria Math" w:hAnsi="Cambria Math" w:eastAsia="宋体" w:cs="Times New Roman"/>
                    </w:rPr>
                  </m:ctrlPr>
                </m:sup>
              </m:sSup>
              <m:ctrlPr>
                <w:rPr>
                  <w:rFonts w:hint="default" w:ascii="Cambria Math" w:hAnsi="Cambria Math" w:eastAsia="宋体" w:cs="Times New Roman"/>
                </w:rPr>
              </m:ctrlPr>
            </m:den>
          </m:f>
        </m:oMath>
      </m:oMathPara>
    </w:p>
    <w:p w14:paraId="281D17CF">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变量解释：</w:t>
      </w:r>
    </w:p>
    <w:p w14:paraId="525B92E2">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Z：目标函数值（综合反映利润与品牌估值的优化效果）；</w:t>
      </w:r>
    </w:p>
    <w:p w14:paraId="7C965565">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w₁、w₂：权重系数（w₁+w₂=1），由team_valuations.csv中valuation与revenue数据通过层次分析法确定，如w₁=0.6（利润权重），w₂=0.4（估值权重）；</w:t>
      </w:r>
    </w:p>
    <w:p w14:paraId="36849E4A">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T=6：建模周期（2025-2030年），对应扩张球队join_year与媒体版权deal_period；</w:t>
      </w:r>
    </w:p>
    <w:p w14:paraId="780D1A7B">
      <w:pPr>
        <w:numPr>
          <w:numId w:val="0"/>
        </w:numPr>
        <w:spacing w:before="120" w:after="120" w:line="288" w:lineRule="auto"/>
        <w:jc w:val="left"/>
        <w:rPr>
          <w:rFonts w:hint="default" w:ascii="Times New Roman" w:hAnsi="Times New Roman" w:eastAsia="宋体" w:cs="Times New Roman"/>
        </w:rPr>
      </w:pPr>
      <m:oMath>
        <m:r>
          <m:rPr>
            <m:nor/>
            <m:sty m:val="p"/>
            <m:scr m:val="double-struck"/>
          </m:rPr>
          <w:rPr>
            <w:rFonts w:hint="default" w:ascii="Times New Roman" w:hAnsi="Times New Roman" w:eastAsia="MS Mincho" w:cs="MS Mincho"/>
            <w:b w:val="0"/>
            <w:i w:val="0"/>
          </w:rPr>
          <m:t>E</m:t>
        </m:r>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：第t阶段球队当期利润的期望值（万美元），基于过往利润数据（team_valuations.csv中的revenue字段）与随机因素（伤病、上座率波动）拟合；</w:t>
      </w:r>
    </w:p>
    <w:p w14:paraId="0902A989">
      <w:pPr>
        <w:numPr>
          <w:numId w:val="0"/>
        </w:numPr>
        <w:spacing w:before="120" w:after="120" w:line="288" w:lineRule="auto"/>
        <w:jc w:val="left"/>
        <w:rPr>
          <w:rFonts w:hint="default" w:ascii="Times New Roman" w:hAnsi="Times New Roman" w:eastAsia="宋体" w:cs="Times New Roman"/>
        </w:rPr>
      </w:pPr>
      <m:oMath>
        <m:r>
          <m:rPr>
            <m:nor/>
          </m:rPr>
          <w:rPr>
            <w:rFonts w:hint="default" w:ascii="Times New Roman" w:hAnsi="Times New Roman" w:eastAsia="宋体" w:cs="Times New Roman"/>
            <w:i/>
          </w:rPr>
          <m:t>CVa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β</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：置信水平β=0.95下的条件风险价值（万美元），反映极端风险下的平均损失，基于利润波动数据计算；</w:t>
      </w:r>
    </w:p>
    <w:p w14:paraId="439A4274">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(1+γ)ᵗ：折现因子，将第t阶段的利润折算为当期价值，γ=0.075（来自model_parameters.csv中的discount_rate）；</w:t>
      </w:r>
    </w:p>
    <w:p w14:paraId="590B7B53">
      <w:pPr>
        <w:numPr>
          <w:numId w:val="0"/>
        </w:numPr>
        <w:spacing w:before="120" w:after="120" w:line="288" w:lineRule="auto"/>
        <w:jc w:val="left"/>
        <w:rPr>
          <w:rFonts w:hint="default" w:ascii="Times New Roman" w:hAnsi="Times New Roman" w:eastAsia="宋体" w:cs="Times New Roman"/>
        </w:rPr>
      </w:pP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franc</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ise</m:t>
            </m:r>
            <m:ctrlPr>
              <w:rPr>
                <w:rFonts w:hint="default" w:ascii="Cambria Math" w:hAnsi="Cambria Math" w:eastAsia="宋体" w:cs="Times New Roman"/>
              </w:rPr>
            </m:ctrlPr>
          </m:sub>
        </m:sSub>
      </m:oMath>
      <w:r>
        <w:rPr>
          <w:rFonts w:hint="default" w:ascii="Times New Roman" w:hAnsi="Times New Roman" w:eastAsia="宋体" w:cs="Times New Roman"/>
          <w:sz w:val="22"/>
        </w:rPr>
        <w:t>：球队长期品牌估值（万美元），由各阶段品牌增值汇总折现得到；</w:t>
      </w:r>
    </w:p>
    <w:p w14:paraId="1EC49254">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(1+γ)ᵀ：将长期品牌估值折算为当期价值的折现因子。</w:t>
      </w:r>
    </w:p>
    <w:p w14:paraId="1FEC496A">
      <w:pPr>
        <w:spacing w:before="300" w:after="120" w:line="288" w:lineRule="auto"/>
        <w:ind w:left="0"/>
        <w:jc w:val="left"/>
        <w:outlineLvl w:val="2"/>
        <w:rPr>
          <w:rFonts w:hint="default" w:ascii="Times New Roman" w:hAnsi="Times New Roman" w:eastAsia="宋体" w:cs="Times New Roman"/>
        </w:rPr>
      </w:pPr>
      <w:bookmarkStart w:id="9" w:name="heading_13"/>
      <w:r>
        <w:rPr>
          <w:rFonts w:hint="default" w:ascii="Times New Roman" w:hAnsi="Times New Roman" w:eastAsia="宋体" w:cs="Times New Roman"/>
          <w:b/>
          <w:sz w:val="30"/>
        </w:rPr>
        <w:t>3.2.1 当期利润Πₜ的详细计算（分分项，均对应数据字段）</w:t>
      </w:r>
      <w:bookmarkEnd w:id="9"/>
    </w:p>
    <w:p w14:paraId="5EFD9E64">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利润=总收入-总运营成本，其中总收入、总运营成本均拆解为可直接计算的分项，所有分项均对应现有数据字段，确保计算可落地。</w:t>
      </w:r>
    </w:p>
    <w:p w14:paraId="3B237659">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核心公式：</w:t>
      </w:r>
      <m:oMath>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operation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p>
    <w:p w14:paraId="7A58869B">
      <w:pPr>
        <w:spacing w:before="260" w:after="120" w:line="288" w:lineRule="auto"/>
        <w:ind w:left="0"/>
        <w:jc w:val="left"/>
        <w:outlineLvl w:val="3"/>
        <w:rPr>
          <w:rFonts w:hint="default" w:ascii="Times New Roman" w:hAnsi="Times New Roman" w:eastAsia="宋体" w:cs="Times New Roman"/>
        </w:rPr>
      </w:pPr>
      <w:bookmarkStart w:id="10" w:name="heading_14"/>
      <w:r>
        <w:rPr>
          <w:rFonts w:hint="default" w:ascii="Times New Roman" w:hAnsi="Times New Roman" w:eastAsia="宋体" w:cs="Times New Roman"/>
          <w:b/>
          <w:sz w:val="28"/>
        </w:rPr>
        <w:t>（1）总收入</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b/>
          <w:sz w:val="28"/>
        </w:rPr>
        <w:t>（四大分项，贴合数据逻辑）</w:t>
      </w:r>
      <w:bookmarkEnd w:id="10"/>
    </w:p>
    <w:p w14:paraId="6189E6A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总收入=竞技驱动收入+球星驱动收入+推广带动收入+媒体版权分成收入，公式如下：</w:t>
      </w:r>
    </w:p>
    <w:p w14:paraId="50BDAFD8">
      <w:pPr>
        <w:spacing w:before="120" w:after="120" w:line="288" w:lineRule="auto"/>
        <w:ind w:left="0"/>
        <w:jc w:val="left"/>
        <w:rPr>
          <w:rFonts w:hint="default" w:ascii="Times New Roman" w:hAnsi="Times New Roman" w:eastAsia="宋体" w:cs="Times New Roman"/>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win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star</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promo</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media</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m:oMathPara>
    </w:p>
    <w:p w14:paraId="6F09B0F1">
      <w:pPr>
        <w:numPr>
          <w:numId w:val="0"/>
        </w:numPr>
        <w:spacing w:before="120" w:after="120" w:line="288" w:lineRule="auto"/>
        <w:jc w:val="left"/>
        <m:rPr/>
        <w:rPr>
          <w:rFonts w:hint="default" w:hAnsi="Times New Roman" w:eastAsia="宋体" w:cs="Times New Roman"/>
          <w:i w:val="0"/>
        </w:rPr>
      </w:pPr>
      <w:r>
        <w:rPr>
          <w:rFonts w:hint="default" w:ascii="Times New Roman" w:hAnsi="Times New Roman" w:eastAsia="宋体" w:cs="Times New Roman"/>
          <w:sz w:val="22"/>
        </w:rPr>
        <w:t>竞技驱动收入Rᵥᵢₙ,ₜ（由球队胜率、上座率决定，关联门票收入）：</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win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α</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A</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1+0.023⋅</m:t>
            </m:r>
            <m:r>
              <m:rPr>
                <m:nor/>
              </m:rPr>
              <w:rPr>
                <w:rFonts w:hint="default" w:ascii="Times New Roman" w:hAnsi="Times New Roman" w:eastAsia="宋体" w:cs="Times New Roman"/>
                <w:i/>
              </w:rPr>
              <m:t>WinRat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e</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i w:val="0"/>
          </w:rPr>
          <m:t>⋅82</m:t>
        </m:r>
      </m:oMath>
    </w:p>
    <w:p w14:paraId="34DC6F04">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变量解释：</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αₜ：市场规模系数（拟合city_population_M、arena_capacity数据）；</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Aₜ：场均上座人数（来自attendance_data.csv中的avg_attendance）；</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pₜ：平均票价（决策变量，参考ticket_price_elasticity设定）；</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0.023：胜率收入系数（来自model_parameters.csv中的win_rate_revenue_coeff）；</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WinRateₜ：第t阶段球队胜率（基于Tₚₑᵣ𝒻ₜ拟合）；</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82：单赛季比赛场次（WNBA常规赛场次，贴合联盟规则）。</w:t>
      </w:r>
    </w:p>
    <w:p w14:paraId="795E2E3F">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球星驱动收入Rₛₜₐᵣ,ₜ（由球员商业价值决定，关联赞助、周边收入）：</w:t>
      </w:r>
      <w:r>
        <w:rPr>
          <w:rFonts w:hint="default" w:ascii="Times New Roman" w:hAnsi="Times New Roman" w:eastAsia="宋体" w:cs="Times New Roman"/>
          <w:sz w:val="22"/>
        </w:rPr>
        <w:br w:type="textWrapping"/>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star</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=100⋅</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1−</m:t>
                </m:r>
                <m:r>
                  <m:rPr>
                    <m:nor/>
                  </m:rPr>
                  <w:rPr>
                    <w:rFonts w:hint="default" w:ascii="Times New Roman" w:hAnsi="Times New Roman" w:eastAsia="宋体" w:cs="Times New Roman"/>
                    <w:i/>
                  </w:rPr>
                  <m:t>P</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Injur</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e>
            </m:d>
            <m:ctrlPr>
              <w:rPr>
                <w:rFonts w:hint="default" w:ascii="Cambria Math" w:hAnsi="Cambria Math" w:eastAsia="宋体" w:cs="Times New Roman"/>
              </w:rPr>
            </m:ctrlPr>
          </m:e>
        </m:nary>
      </m:oMath>
      <w:r>
        <w:rPr>
          <w:rFonts w:hint="default" w:ascii="Times New Roman" w:hAnsi="Times New Roman" w:eastAsia="宋体" w:cs="Times New Roman"/>
          <w:sz w:val="22"/>
        </w:rPr>
        <w:t>变量解释：</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100：换算系数（将商业号召力指数换算为万美元）；</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Fᵢₜ：球员i的商业号召力指数（加权粉丝数、球衣销量等数据）；</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xᵢₜ：球员i的签约状态（0-1变量）；</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P(Injuryᵢₜ)：球员i的伤病概率（避免伤病导致商业价值流失）。</w:t>
      </w:r>
    </w:p>
    <w:p w14:paraId="6B3D5D03">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 xml:space="preserve">推广带动收入Rₚᵣₒₘₒ,ₜ（由推广投入决定，关联曝光带来的额外收入）：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promo</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θ</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1+</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nary>
            <m:ctrlPr>
              <w:rPr>
                <w:rFonts w:hint="default" w:ascii="Cambria Math" w:hAnsi="Cambria Math" w:eastAsia="宋体" w:cs="Times New Roman"/>
              </w:rPr>
            </m:ctrlPr>
          </m:e>
        </m:d>
      </m:oMath>
      <w:r>
        <w:rPr>
          <w:rFonts w:hint="default" w:ascii="Times New Roman" w:hAnsi="Times New Roman" w:eastAsia="宋体" w:cs="Times New Roman"/>
          <w:sz w:val="22"/>
        </w:rPr>
        <w:t>变量解释：</w:t>
      </w:r>
      <w:r>
        <w:rPr>
          <w:rFonts w:hint="default" w:ascii="Times New Roman" w:hAnsi="Times New Roman" w:eastAsia="宋体" w:cs="Times New Roman"/>
          <w:sz w:val="22"/>
        </w:rPr>
        <w:br w:type="textWrapping"/>
      </w:r>
      <m:oMath>
        <m:r>
          <m:rPr>
            <m:nor/>
          </m:rPr>
          <w:rPr>
            <w:rFonts w:hint="default" w:ascii="Times New Roman" w:hAnsi="Times New Roman" w:eastAsia="宋体" w:cs="Times New Roman"/>
            <w:i/>
          </w:rPr>
          <m:t>θ</m:t>
        </m:r>
      </m:oMath>
      <w:r>
        <w:rPr>
          <w:rFonts w:hint="default" w:ascii="Times New Roman" w:hAnsi="Times New Roman" w:eastAsia="宋体" w:cs="Times New Roman"/>
          <w:sz w:val="22"/>
        </w:rPr>
        <w:t>：媒体曝光转化率（拟合media_deals.csv中的推广与收入数据）；</w:t>
      </w:r>
      <w:r>
        <w:rPr>
          <w:rFonts w:hint="default" w:ascii="Times New Roman" w:hAnsi="Times New Roman" w:eastAsia="宋体" w:cs="Times New Roman"/>
          <w:sz w:val="22"/>
        </w:rPr>
        <w:br w:type="textWrapping"/>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：推广投入（决策变量）；</w:t>
      </w:r>
      <w:r>
        <w:rPr>
          <w:rFonts w:hint="default" w:ascii="Times New Roman" w:hAnsi="Times New Roman" w:eastAsia="宋体" w:cs="Times New Roman"/>
          <w:sz w:val="22"/>
        </w:rPr>
        <w:br w:type="textWrapping"/>
      </w:r>
      <m:oMath>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nary>
      </m:oMath>
      <w:r>
        <w:rPr>
          <w:rFonts w:hint="default" w:ascii="Times New Roman" w:hAnsi="Times New Roman" w:eastAsia="宋体" w:cs="Times New Roman"/>
          <w:sz w:val="22"/>
        </w:rPr>
        <w:t>：球队整体商业号召力（球星越多，推广效果越好）。</w:t>
      </w:r>
    </w:p>
    <w:p w14:paraId="703889FA">
      <w:pPr>
        <w:numPr>
          <w:numId w:val="0"/>
        </w:numPr>
        <w:spacing w:before="120" w:after="120" w:line="288" w:lineRule="auto"/>
        <w:jc w:val="left"/>
        <w:rPr>
          <w:rFonts w:hint="default" w:hAnsi="Cambria Math" w:eastAsia="宋体" w:cs="Times New Roman"/>
          <w:i w:val="0"/>
        </w:rPr>
      </w:pPr>
      <w:r>
        <w:rPr>
          <w:rFonts w:hint="default" w:ascii="Times New Roman" w:hAnsi="Times New Roman" w:eastAsia="宋体" w:cs="Times New Roman"/>
          <w:sz w:val="22"/>
        </w:rPr>
        <w:t>媒体版权分成收入</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media</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（固定分成，来自联盟版权合同）：</w:t>
      </w:r>
      <w:r>
        <w:rPr>
          <w:rFonts w:hint="default" w:ascii="Times New Roman" w:hAnsi="Times New Roman" w:eastAsia="宋体" w:cs="Times New Roman"/>
          <w:sz w:val="22"/>
        </w:rPr>
        <w:br w:type="textWrapping"/>
      </w: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media</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media</m:t>
                  </m:r>
                  <m:r>
                    <m:rPr>
                      <m:nor/>
                      <m:sty m:val="p"/>
                    </m:rPr>
                    <w:rPr>
                      <w:rFonts w:hint="default" w:ascii="Times New Roman" w:hAnsi="Times New Roman" w:eastAsia="宋体" w:cs="Times New Roman"/>
                      <w:i w:val="0"/>
                    </w:rPr>
                    <m:t>_</m:t>
                  </m:r>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⋅0.85</m:t>
              </m:r>
              <m:ctrlPr>
                <w:rPr>
                  <w:rFonts w:hint="default" w:ascii="Cambria Math" w:hAnsi="Cambria Math" w:eastAsia="宋体" w:cs="Times New Roman"/>
                </w:rPr>
              </m:ctrlPr>
            </m:num>
            <m:den>
              <m:sSub>
                <m:sSubPr>
                  <m:ctrlPr>
                    <w:rPr>
                      <w:rFonts w:hint="default" w:ascii="Cambria Math" w:hAnsi="Cambria Math" w:eastAsia="宋体" w:cs="Times New Roman"/>
                    </w:rPr>
                  </m:ctrlPr>
                </m:sSubPr>
                <m:e>
                  <m:r>
                    <m:rPr>
                      <m:nor/>
                    </m:rPr>
                    <w:rPr>
                      <w:rFonts w:hint="default" w:ascii="Times New Roman" w:hAnsi="Times New Roman" w:eastAsia="宋体" w:cs="Times New Roman"/>
                      <w:i/>
                    </w:rPr>
                    <m:t>N</m:t>
                  </m:r>
                  <m:ctrlPr>
                    <w:rPr>
                      <w:rFonts w:hint="default" w:ascii="Cambria Math" w:hAnsi="Cambria Math" w:eastAsia="宋体" w:cs="Times New Roman"/>
                    </w:rPr>
                  </m:ctrlPr>
                </m:e>
                <m:sub>
                  <m:r>
                    <m:rPr>
                      <m:nor/>
                    </m:rPr>
                    <w:rPr>
                      <w:rFonts w:hint="default" w:ascii="Times New Roman" w:hAnsi="Times New Roman" w:eastAsia="宋体" w:cs="Times New Roman"/>
                      <w:i/>
                    </w:rPr>
                    <m:t>team</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den>
          </m:f>
        </m:oMath>
      </m:oMathPara>
    </w:p>
    <w:p w14:paraId="6201104E">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变量解释：</w:t>
      </w:r>
      <w:r>
        <w:rPr>
          <w:rFonts w:hint="default" w:ascii="Times New Roman" w:hAnsi="Times New Roman" w:eastAsia="宋体" w:cs="Times New Roman"/>
          <w:sz w:val="22"/>
        </w:rPr>
        <w:br w:type="textWrapping"/>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media</m:t>
            </m:r>
            <m:r>
              <m:rPr>
                <m:nor/>
                <m:sty m:val="p"/>
              </m:rPr>
              <w:rPr>
                <w:rFonts w:hint="default" w:ascii="Times New Roman" w:hAnsi="Times New Roman" w:eastAsia="宋体" w:cs="Times New Roman"/>
                <w:b w:val="0"/>
                <w:i w:val="0"/>
              </w:rPr>
              <m:t>_</m:t>
            </m:r>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：联盟当年媒体版权总收入（来自media_deals.csv中的annual_value）；</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0.85：球队分成比例</w:t>
      </w:r>
      <w:r>
        <w:rPr>
          <w:rFonts w:hint="eastAsia" w:ascii="Times New Roman" w:hAnsi="Times New Roman" w:eastAsia="宋体" w:cs="Times New Roman"/>
          <w:sz w:val="22"/>
          <w:highlight w:val="yellow"/>
          <w:lang w:val="en-US" w:eastAsia="zh-CN"/>
        </w:rPr>
        <w:t>可变</w:t>
      </w:r>
      <w:r>
        <w:rPr>
          <w:rFonts w:hint="default" w:ascii="Times New Roman" w:hAnsi="Times New Roman" w:eastAsia="宋体" w:cs="Times New Roman"/>
          <w:sz w:val="22"/>
        </w:rPr>
        <w:t>（来自media_deals.csv中的revenue_share）；</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Nₜₑₐₘ,ₜ：第t阶段联盟球队总数（2025年14队，2030年18队，贴合expansion_teams.csv）。</w:t>
      </w:r>
    </w:p>
    <w:p w14:paraId="0D130016">
      <w:pPr>
        <w:spacing w:before="260" w:after="120" w:line="288" w:lineRule="auto"/>
        <w:ind w:left="0"/>
        <w:jc w:val="left"/>
        <w:outlineLvl w:val="3"/>
        <w:rPr>
          <w:rFonts w:hint="default" w:ascii="Times New Roman" w:hAnsi="Times New Roman" w:eastAsia="宋体" w:cs="Times New Roman"/>
        </w:rPr>
      </w:pPr>
      <w:bookmarkStart w:id="11" w:name="heading_15"/>
      <w:r>
        <w:rPr>
          <w:rFonts w:hint="default" w:ascii="Times New Roman" w:hAnsi="Times New Roman" w:eastAsia="宋体" w:cs="Times New Roman"/>
          <w:b/>
          <w:sz w:val="28"/>
        </w:rPr>
        <w:t>（2）总运营成本Cₒₚₑᵣₐₜᵢₒₙₜ</w:t>
      </w:r>
      <w:bookmarkEnd w:id="11"/>
    </w:p>
    <w:p w14:paraId="72B545B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总运营成本=薪资成本+推广成本+场馆与管理成本，公式如下：</w:t>
      </w:r>
    </w:p>
    <w:p w14:paraId="55E56D6A">
      <w:pPr>
        <w:spacing w:before="120" w:after="120" w:line="288" w:lineRule="auto"/>
        <w:ind w:left="0"/>
        <w:jc w:val="left"/>
        <w:rPr>
          <w:rFonts w:hint="default" w:ascii="Times New Roman" w:hAnsi="Times New Roman" w:eastAsia="宋体" w:cs="Times New Roman"/>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operation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salary</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promo</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venue</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m:oMathPara>
    </w:p>
    <w:p w14:paraId="3D6AD381">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薪资成本Cₛₐₗₐᵣᵧ,ₜ（球队总薪资支出，受薪资帽约束）：</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salary</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ctrlPr>
              <w:rPr>
                <w:rFonts w:hint="default" w:ascii="Cambria Math" w:hAnsi="Cambria Math" w:eastAsia="宋体" w:cs="Times New Roman"/>
              </w:rPr>
            </m:ctrlPr>
          </m:e>
        </m:nary>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变量解释：Cᵢ为球员i的固定薪资（来自player_salaries_2025.csv中的salary_2025），xᵢₜ为签约状态。</w:t>
      </w:r>
    </w:p>
    <w:p w14:paraId="345D5893">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推广成本Cₚᵣₒₘₒ,ₜ（推广投入，与决策变量直接关联）：</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promo</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为第t阶段推广投入（决策变量，单位：万美元）。</w:t>
      </w:r>
    </w:p>
    <w:p w14:paraId="5D9E5C9D">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场馆与管理成本Cᵥₑₙᵤₑ,ₜ（固定成本+变动成本，贴合场馆数据）：</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venue</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fixed</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+0.05⋅</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win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sz w:val="22"/>
        </w:rPr>
        <w:t>：</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Cբᵢₓₑd：固定场馆成本（基于team_valuations.csv中的arena_capacity拟合，如大型场馆Cբᵢₓₑd=800万美元/赛季）；</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0.05：变动成本系数（经验值，基于场馆运营数据拟合，与门票收入正相关）；</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Rᵥᵢₙ,ₜ：竞技驱动收入（门票收入越高，变动成本越高）。</w:t>
      </w:r>
      <w:r>
        <w:rPr>
          <w:rFonts w:hint="default" w:ascii="Times New Roman" w:hAnsi="Times New Roman" w:eastAsia="宋体" w:cs="Times New Roman"/>
          <w:sz w:val="22"/>
        </w:rPr>
        <w:br w:type="textWrapping"/>
      </w:r>
    </w:p>
    <w:p w14:paraId="42281B54">
      <w:pPr>
        <w:spacing w:before="300" w:after="120" w:line="288" w:lineRule="auto"/>
        <w:ind w:left="0"/>
        <w:jc w:val="left"/>
        <w:outlineLvl w:val="2"/>
        <w:rPr>
          <w:rFonts w:hint="default" w:ascii="Times New Roman" w:hAnsi="Times New Roman" w:eastAsia="宋体" w:cs="Times New Roman"/>
        </w:rPr>
      </w:pPr>
      <w:bookmarkStart w:id="12" w:name="heading_16"/>
      <w:r>
        <w:rPr>
          <w:rFonts w:hint="default" w:ascii="Times New Roman" w:hAnsi="Times New Roman" w:eastAsia="宋体" w:cs="Times New Roman"/>
          <w:b/>
          <w:sz w:val="30"/>
        </w:rPr>
        <w:t>3.2.2 球队整体竞技表现</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perf</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eastAsia="宋体" w:cs="Times New Roman"/>
          <w:b/>
          <w:sz w:val="30"/>
        </w:rPr>
        <w:t>的计算</w:t>
      </w:r>
      <w:bookmarkEnd w:id="12"/>
    </w:p>
    <w:p w14:paraId="368F8B58">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考虑球员协同效应与拥挤效应，基于球员个体竞技评分、出场时间占比计算，贴合球员表现数据：</w:t>
      </w:r>
    </w:p>
    <w:p w14:paraId="1E85FB15">
      <w:pPr>
        <w:spacing w:before="120" w:after="120" w:line="288" w:lineRule="auto"/>
        <w:ind w:left="0"/>
        <w:jc w:val="left"/>
        <w:rPr>
          <w:rFonts w:hint="default" w:ascii="Times New Roman" w:hAnsi="Times New Roman" w:eastAsia="宋体" w:cs="Times New Roman"/>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perf</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z</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λ</m:t>
              </m:r>
              <m:r>
                <m:rPr>
                  <m:nor/>
                  <m:sty m:val="p"/>
                </m:rPr>
                <w:rPr>
                  <w:rFonts w:hint="default" w:ascii="Times New Roman" w:hAnsi="Times New Roman" w:eastAsia="宋体" w:cs="Times New Roman"/>
                  <w:b w:val="0"/>
                  <w:i w:val="0"/>
                </w:rPr>
                <m:t>⋅</m:t>
              </m:r>
              <m:sSup>
                <m:sSupPr>
                  <m:ctrlPr>
                    <w:rPr>
                      <w:rFonts w:hint="default" w:ascii="Cambria Math" w:hAnsi="Cambria Math" w:eastAsia="宋体" w:cs="Times New Roman"/>
                    </w:rPr>
                  </m:ctrlPr>
                </m:sSupPr>
                <m:e>
                  <m:d>
                    <m:dPr>
                      <m:sepChr m:val=","/>
                      <m:ctrlPr>
                        <w:rPr>
                          <w:rFonts w:hint="default" w:ascii="Cambria Math" w:hAnsi="Cambria Math" w:eastAsia="宋体" w:cs="Times New Roman"/>
                        </w:rPr>
                      </m:ctrlPr>
                    </m:dPr>
                    <m:e>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z</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nary>
                      <m:ctrlPr>
                        <w:rPr>
                          <w:rFonts w:hint="default" w:ascii="Cambria Math" w:hAnsi="Cambria Math" w:eastAsia="宋体" w:cs="Times New Roman"/>
                        </w:rPr>
                      </m:ctrlPr>
                    </m:e>
                  </m:d>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p>
              <m:ctrlPr>
                <w:rPr>
                  <w:rFonts w:hint="default" w:ascii="Cambria Math" w:hAnsi="Cambria Math" w:eastAsia="宋体" w:cs="Times New Roman"/>
                </w:rPr>
              </m:ctrlPr>
            </m:e>
          </m:nary>
        </m:oMath>
      </m:oMathPara>
    </w:p>
    <w:p w14:paraId="09F1119B">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变量解释：</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Sᵢₜ：球员i的标准化竞技评分（拟合PER值、得分等数据）；</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zᵢₜ：球员i的出场时间占比（决策变量）；</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λ：协同摩擦系数（拟合plus_minus数据，反映球权冲突）；</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二次项：拥挤效应（核心球员过多时，竞技表现提升放缓）。</w:t>
      </w:r>
    </w:p>
    <w:p w14:paraId="061B0936">
      <w:pPr>
        <w:spacing w:before="300" w:after="120" w:line="288" w:lineRule="auto"/>
        <w:ind w:left="0"/>
        <w:jc w:val="left"/>
        <w:outlineLvl w:val="2"/>
        <w:rPr>
          <w:rFonts w:hint="default" w:ascii="Times New Roman" w:hAnsi="Times New Roman" w:eastAsia="宋体" w:cs="Times New Roman"/>
        </w:rPr>
      </w:pPr>
      <w:bookmarkStart w:id="13" w:name="heading_17"/>
      <w:r>
        <w:rPr>
          <w:rFonts w:hint="default" w:ascii="Times New Roman" w:hAnsi="Times New Roman" w:eastAsia="宋体" w:cs="Times New Roman"/>
          <w:b/>
          <w:sz w:val="30"/>
        </w:rPr>
        <w:t>3.2.3 长期品牌估值</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franc</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ise</m:t>
            </m:r>
            <m:ctrlPr>
              <w:rPr>
                <w:rFonts w:hint="default" w:ascii="Cambria Math" w:hAnsi="Cambria Math" w:eastAsia="宋体" w:cs="Times New Roman"/>
              </w:rPr>
            </m:ctrlPr>
          </m:sub>
        </m:sSub>
      </m:oMath>
      <w:r>
        <w:rPr>
          <w:rFonts w:hint="default" w:ascii="Times New Roman" w:hAnsi="Times New Roman" w:eastAsia="宋体" w:cs="Times New Roman"/>
          <w:b/>
          <w:sz w:val="30"/>
        </w:rPr>
        <w:t>的计算（结合球队估值数据）</w:t>
      </w:r>
      <w:bookmarkEnd w:id="13"/>
    </w:p>
    <w:p w14:paraId="178FE2AC">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品牌估值为各阶段“品牌增值”的现值之和，品牌增值由球星积累、战绩积累、曝光积累共同决定，参考team_valuations.csv中的估值数据与增长率推导：</w:t>
      </w:r>
    </w:p>
    <w:p w14:paraId="5A325A41">
      <w:pPr>
        <w:spacing w:before="120" w:after="120" w:line="288" w:lineRule="auto"/>
        <w:ind w:left="0"/>
        <w:jc w:val="left"/>
        <w:rPr>
          <w:rFonts w:hint="default" w:ascii="Times New Roman" w:hAnsi="Times New Roman" w:eastAsia="宋体" w:cs="Times New Roman"/>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franc</m:t>
              </m:r>
              <m:r>
                <m:rPr>
                  <m:nor/>
                  <m:sty m:val="p"/>
                </m:rPr>
                <w:rPr>
                  <w:rFonts w:hint="default" w:ascii="Times New Roman" w:hAnsi="Times New Roman" w:eastAsia="宋体" w:cs="Times New Roman"/>
                  <w:i w:val="0"/>
                </w:rPr>
                <m:t>h</m:t>
              </m:r>
              <m:r>
                <m:rPr>
                  <m:nor/>
                </m:rPr>
                <w:rPr>
                  <w:rFonts w:hint="default" w:ascii="Times New Roman" w:hAnsi="Times New Roman" w:eastAsia="宋体" w:cs="Times New Roman"/>
                  <w:i/>
                </w:rPr>
                <m:t>ise</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T</m:t>
              </m:r>
              <m:ctrlPr>
                <w:rPr>
                  <w:rFonts w:hint="default" w:ascii="Cambria Math" w:hAnsi="Cambria Math" w:eastAsia="宋体" w:cs="Times New Roman"/>
                </w:rPr>
              </m:ctrlPr>
            </m:sup>
            <m:e>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perf</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3</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nary>
                  <m:ctrlPr>
                    <w:rPr>
                      <w:rFonts w:hint="default" w:ascii="Cambria Math" w:hAnsi="Cambria Math" w:eastAsia="宋体" w:cs="Times New Roman"/>
                    </w:rPr>
                  </m:ctrlPr>
                </m:e>
              </m:d>
              <m:ctrlPr>
                <w:rPr>
                  <w:rFonts w:hint="default" w:ascii="Cambria Math" w:hAnsi="Cambria Math" w:eastAsia="宋体" w:cs="Times New Roman"/>
                </w:rPr>
              </m:ctrlPr>
            </m:e>
          </m:nary>
          <m:r>
            <m:rPr>
              <m:nor/>
              <m:sty m:val="p"/>
            </m:rPr>
            <w:rPr>
              <w:rFonts w:hint="default" w:ascii="Times New Roman" w:hAnsi="Times New Roman" w:eastAsia="宋体" w:cs="Times New Roman"/>
              <w:i w:val="0"/>
            </w:rPr>
            <m:t>⋅</m:t>
          </m:r>
          <m:sSup>
            <m:sSupPr>
              <m:ctrlPr>
                <w:rPr>
                  <w:rFonts w:hint="default" w:ascii="Cambria Math" w:hAnsi="Cambria Math" w:eastAsia="宋体" w:cs="Times New Roman"/>
                </w:rPr>
              </m:ctrlPr>
            </m:sSupPr>
            <m:e>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1+</m:t>
                  </m:r>
                  <m:r>
                    <m:rPr>
                      <m:nor/>
                    </m:rPr>
                    <w:rPr>
                      <w:rFonts w:hint="default" w:ascii="Times New Roman" w:hAnsi="Times New Roman" w:eastAsia="宋体" w:cs="Times New Roman"/>
                      <w:i/>
                    </w:rPr>
                    <m:t>γ</m:t>
                  </m:r>
                  <m:ctrlPr>
                    <w:rPr>
                      <w:rFonts w:hint="default" w:ascii="Cambria Math" w:hAnsi="Cambria Math" w:eastAsia="宋体" w:cs="Times New Roman"/>
                    </w:rPr>
                  </m:ctrlPr>
                </m:e>
              </m:d>
              <m:ctrlPr>
                <w:rPr>
                  <w:rFonts w:hint="default" w:ascii="Cambria Math" w:hAnsi="Cambria Math" w:eastAsia="宋体" w:cs="Times New Roman"/>
                </w:rPr>
              </m:ctrlPr>
            </m:e>
            <m:sup>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p>
          </m:sSup>
        </m:oMath>
      </m:oMathPara>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δ₁、δ₂、δ₃：权重系数（δ₁+δ₂+δ₃=1），分别表示球星价值、战绩、推广投入对品牌估值的贡献度；通过team_valuations.csv中的valuation、yoy_valuation_change_pct数据，采用层次分析法确定，如δ₁=0.4，δ₂=0.35，δ₃=0.25；(1+γ)ᵀ⁻ᵗ：折现因子，将第t阶段的品牌增值折算为建模周期末期（2030年）的价值；核心逻辑：球星积累提升品牌影响力（贴合Caitlin Clark对IND队估值的带动作用），战绩积累提升球迷忠诚度，推广投入提升品牌曝光，三者共同推动球队估值增长（参考team_valuations.csv中的yoy_valuation_change_pct）。</w:t>
      </w:r>
    </w:p>
    <w:p w14:paraId="05706A02">
      <w:pPr>
        <w:spacing w:before="300" w:after="120" w:line="288" w:lineRule="auto"/>
        <w:ind w:left="0"/>
        <w:jc w:val="left"/>
        <w:outlineLvl w:val="2"/>
        <w:rPr>
          <w:rFonts w:hint="default" w:ascii="Times New Roman" w:hAnsi="Times New Roman" w:eastAsia="宋体" w:cs="Times New Roman"/>
        </w:rPr>
      </w:pPr>
      <w:bookmarkStart w:id="14" w:name="heading_18"/>
      <w:r>
        <w:rPr>
          <w:rFonts w:hint="default" w:ascii="Times New Roman" w:hAnsi="Times New Roman" w:eastAsia="宋体" w:cs="Times New Roman"/>
          <w:b/>
          <w:sz w:val="30"/>
        </w:rPr>
        <w:t>3.2.4 风险惩罚项（</w:t>
      </w:r>
      <m:oMath>
        <m:r>
          <m:rPr>
            <m:nor/>
          </m:rPr>
          <w:rPr>
            <w:rFonts w:hint="default" w:ascii="Times New Roman" w:hAnsi="Times New Roman" w:eastAsia="宋体" w:cs="Times New Roman"/>
            <w:i/>
          </w:rPr>
          <m:t>CVa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β</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b/>
          <w:sz w:val="30"/>
        </w:rPr>
        <w:t>）的详细计算（量化数据风险）</w:t>
      </w:r>
      <w:bookmarkEnd w:id="14"/>
    </w:p>
    <w:p w14:paraId="456CA288">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引入条件风险价值（CVaR）量化“伤病、上座率波动、表现波动”导致的财务风险，避免目标函数过度追求高收益而忽视潜在损失，基于利润波动数据（team_valuations.csv中的revenue字段）计算：</w:t>
      </w:r>
    </w:p>
    <w:p w14:paraId="58ECAAD5">
      <w:pPr>
        <w:spacing w:before="120" w:after="120" w:line="288" w:lineRule="auto"/>
        <w:ind w:left="0"/>
        <w:jc w:val="left"/>
        <w:rPr>
          <w:rFonts w:hint="default" w:ascii="Times New Roman" w:hAnsi="Times New Roman" w:eastAsia="宋体" w:cs="Times New Roman"/>
        </w:rPr>
      </w:pPr>
      <m:oMathPara>
        <m:oMath>
          <m:r>
            <m:rPr>
              <m:nor/>
            </m:rPr>
            <w:rPr>
              <w:rFonts w:hint="default" w:ascii="Times New Roman" w:hAnsi="Times New Roman" w:eastAsia="宋体" w:cs="Times New Roman"/>
              <w:i/>
            </w:rPr>
            <m:t>CVa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β</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i w:val="0"/>
                    </w:rPr>
                    <m:t>Π</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f>
            <m:fPr>
              <m:ctrlPr>
                <w:rPr>
                  <w:rFonts w:hint="default" w:ascii="Cambria Math" w:hAnsi="Cambria Math" w:eastAsia="宋体" w:cs="Times New Roman"/>
                </w:rPr>
              </m:ctrlPr>
            </m:fPr>
            <m:num>
              <m:r>
                <m:rPr>
                  <m:nor/>
                  <m:sty m:val="p"/>
                </m:rPr>
                <w:rPr>
                  <w:rFonts w:hint="default" w:ascii="Times New Roman" w:hAnsi="Times New Roman" w:eastAsia="宋体" w:cs="Times New Roman"/>
                  <w:i w:val="0"/>
                </w:rPr>
                <m:t>1</m:t>
              </m:r>
              <m:ctrlPr>
                <w:rPr>
                  <w:rFonts w:hint="default" w:ascii="Cambria Math" w:hAnsi="Cambria Math" w:eastAsia="宋体" w:cs="Times New Roman"/>
                </w:rPr>
              </m:ctrlPr>
            </m:num>
            <m:den>
              <m:r>
                <m:rPr>
                  <m:nor/>
                  <m:sty m:val="p"/>
                </m:rPr>
                <w:rPr>
                  <w:rFonts w:hint="default" w:ascii="Times New Roman" w:hAnsi="Times New Roman" w:eastAsia="宋体" w:cs="Times New Roman"/>
                  <w:i w:val="0"/>
                </w:rPr>
                <m:t>1−</m:t>
              </m:r>
              <m:r>
                <m:rPr>
                  <m:nor/>
                </m:rPr>
                <w:rPr>
                  <w:rFonts w:hint="default" w:ascii="Times New Roman" w:hAnsi="Times New Roman" w:eastAsia="宋体" w:cs="Times New Roman"/>
                  <w:i/>
                </w:rPr>
                <m:t>β</m:t>
              </m:r>
              <m:ctrlPr>
                <w:rPr>
                  <w:rFonts w:hint="default" w:ascii="Cambria Math" w:hAnsi="Cambria Math" w:eastAsia="宋体" w:cs="Times New Roman"/>
                </w:rPr>
              </m:ctrlPr>
            </m:den>
          </m:f>
          <m:nary>
            <m:naryPr>
              <m:grow m:val="1"/>
              <m:limLoc m:val="subSup"/>
              <m:supHide m:val="1"/>
              <m:ctrlPr>
                <w:rPr>
                  <w:rFonts w:hint="default" w:ascii="Cambria Math" w:hAnsi="Cambria Math" w:eastAsia="宋体" w:cs="Times New Roman"/>
                </w:rPr>
              </m:ctrlPr>
            </m:naryPr>
            <m:sub>
              <m:r>
                <m:rPr>
                  <m:nor/>
                  <m:sty m:val="p"/>
                </m:rPr>
                <w:rPr>
                  <w:rFonts w:hint="default" w:ascii="Times New Roman" w:hAnsi="Times New Roman" w:eastAsia="宋体" w:cs="Times New Roman"/>
                  <w:i w:val="0"/>
                </w:rPr>
                <m:t>Π≤</m:t>
              </m:r>
              <m:r>
                <m:rPr>
                  <m:nor/>
                </m:rPr>
                <w:rPr>
                  <w:rFonts w:hint="default" w:ascii="Times New Roman" w:hAnsi="Times New Roman" w:eastAsia="宋体" w:cs="Times New Roman"/>
                  <w:i/>
                </w:rPr>
                <m:t>Va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β</m:t>
                  </m:r>
                  <m:ctrlPr>
                    <w:rPr>
                      <w:rFonts w:hint="default" w:ascii="Cambria Math" w:hAnsi="Cambria Math" w:eastAsia="宋体" w:cs="Times New Roman"/>
                    </w:rPr>
                  </m:ctrlPr>
                </m:sub>
              </m:sSub>
              <m:ctrlPr>
                <w:rPr>
                  <w:rFonts w:hint="default" w:ascii="Cambria Math" w:hAnsi="Cambria Math" w:eastAsia="宋体" w:cs="Times New Roman"/>
                </w:rPr>
              </m:ctrlPr>
            </m:sub>
            <m:sup>
              <m:ctrlPr>
                <w:rPr>
                  <w:rFonts w:hint="default" w:ascii="Cambria Math" w:hAnsi="Cambria Math" w:eastAsia="宋体" w:cs="Times New Roman"/>
                </w:rPr>
              </m:ctrlPr>
            </m:sup>
            <m:e>
              <m:r>
                <m:rPr>
                  <m:nor/>
                  <m:sty m:val="p"/>
                </m:rPr>
                <w:rPr>
                  <w:rFonts w:hint="default" w:ascii="Times New Roman" w:hAnsi="Times New Roman" w:eastAsia="宋体" w:cs="Times New Roman"/>
                  <w:b w:val="0"/>
                  <w:i w:val="0"/>
                </w:rPr>
                <m:t>Π⋅</m:t>
              </m:r>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d>
              <m:r>
                <m:rPr>
                  <m:nor/>
                </m:rPr>
                <w:rPr>
                  <w:rFonts w:hint="default" w:ascii="Times New Roman" w:hAnsi="Times New Roman" w:eastAsia="宋体" w:cs="Times New Roman"/>
                  <w:i/>
                </w:rPr>
                <m:t>d</m:t>
              </m:r>
              <m:r>
                <m:rPr>
                  <m:nor/>
                  <m:sty m:val="p"/>
                </m:rPr>
                <w:rPr>
                  <w:rFonts w:hint="default" w:ascii="Times New Roman" w:hAnsi="Times New Roman" w:eastAsia="宋体" w:cs="Times New Roman"/>
                  <w:b w:val="0"/>
                  <w:i w:val="0"/>
                </w:rPr>
                <m:t>Π</m:t>
              </m:r>
              <m:ctrlPr>
                <w:rPr>
                  <w:rFonts w:hint="default" w:ascii="Cambria Math" w:hAnsi="Cambria Math" w:eastAsia="宋体" w:cs="Times New Roman"/>
                </w:rPr>
              </m:ctrlPr>
            </m:e>
          </m:nary>
        </m:oMath>
      </m:oMathPara>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β=0.95（置信水平），表示有95%的概率，球队利润不会低于VaRᵦ；VaRᵦ：95%置信水平下的最大潜在损失（即有5%的概率，利润低于VaRᵦ），基于过往利润数据的分位数计算；f(Π)：利润的概率密度函数，由伤病概率、上座率波动、表现波动等随机因素决定，基于现有数据拟合为正态分布；CVaRᵦ：“利润低于VaRᵦ”的条件下，平均损失值，比VaR更能反映极端风险，引入目标函数后，模型会优先选择“高收益、低极端损失”的决策组合（如避免过度依赖高伤病风险的核心球员）。</w:t>
      </w:r>
    </w:p>
    <w:p w14:paraId="1F88B315">
      <w:pPr>
        <w:spacing w:before="320" w:after="120" w:line="288" w:lineRule="auto"/>
        <w:ind w:left="0"/>
        <w:jc w:val="left"/>
        <w:outlineLvl w:val="1"/>
        <w:rPr>
          <w:rFonts w:hint="default" w:ascii="Times New Roman" w:hAnsi="Times New Roman" w:eastAsia="宋体" w:cs="Times New Roman"/>
        </w:rPr>
      </w:pPr>
      <w:bookmarkStart w:id="15" w:name="heading_19"/>
      <w:r>
        <w:rPr>
          <w:rFonts w:hint="default" w:ascii="Times New Roman" w:hAnsi="Times New Roman" w:eastAsia="宋体" w:cs="Times New Roman"/>
          <w:b/>
          <w:sz w:val="32"/>
        </w:rPr>
        <w:t>3.3 约束条件</w:t>
      </w:r>
      <w:bookmarkEnd w:id="15"/>
    </w:p>
    <w:p w14:paraId="047BF2C1">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约束条件分为4类，确保模型解的可行性、合理性与可落地性，所有约束均参考现有数据与联盟规则设定，可直接验证。</w:t>
      </w:r>
    </w:p>
    <w:p w14:paraId="559670CA">
      <w:pPr>
        <w:spacing w:before="300" w:after="120" w:line="288" w:lineRule="auto"/>
        <w:ind w:left="0"/>
        <w:jc w:val="left"/>
        <w:outlineLvl w:val="2"/>
        <w:rPr>
          <w:rFonts w:hint="default" w:ascii="Times New Roman" w:hAnsi="Times New Roman" w:eastAsia="宋体" w:cs="Times New Roman"/>
        </w:rPr>
      </w:pPr>
      <w:bookmarkStart w:id="16" w:name="heading_20"/>
      <w:r>
        <w:rPr>
          <w:rFonts w:hint="default" w:ascii="Times New Roman" w:hAnsi="Times New Roman" w:eastAsia="宋体" w:cs="Times New Roman"/>
          <w:b/>
          <w:sz w:val="30"/>
        </w:rPr>
        <w:t>3.3.1 财务约束（硬约束，关联薪资帽、预算等数据）</w:t>
      </w:r>
      <w:bookmarkEnd w:id="16"/>
    </w:p>
    <w:p w14:paraId="1B953EBD">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薪资帽约束：球队总薪资不得超过联盟规定的薪资帽（来自salary_cap_history.csv）：</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Ca</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e>
        </m:nary>
      </m:oMath>
    </w:p>
    <w:p w14:paraId="74B19B17">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薪资下限约束：球队总薪资不得低于联盟规定的薪资下限（来自salary_cap_history.csv）：</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SalaryFloo</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e>
        </m:nary>
      </m:oMath>
      <w:r>
        <w:rPr>
          <w:rFonts w:hint="default" w:ascii="Times New Roman" w:hAnsi="Times New Roman" w:eastAsia="宋体" w:cs="Times New Roman"/>
          <w:sz w:val="22"/>
        </w:rPr>
        <w:t>示例：2025年SalaryFloor_t=126.144万美元，保障球员基本收入。</w:t>
      </w:r>
    </w:p>
    <w:p w14:paraId="6A1EE01B">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预算平衡约束：各阶段运营成本不得超过当期总收入（避免球队负债运营）：</w:t>
      </w:r>
      <w:r>
        <w:rPr>
          <w:rFonts w:hint="default" w:ascii="Times New Roman" w:hAnsi="Times New Roman" w:eastAsia="宋体" w:cs="Times New Roman"/>
          <w:sz w:val="22"/>
        </w:rPr>
        <w:br w:type="textWrapping"/>
      </w:r>
      <w:r>
        <w:rPr>
          <w:rFonts w:hint="default" w:ascii="Times New Roman" w:hAnsi="Times New Roman" w:eastAsia="宋体" w:cs="Times New Roman"/>
          <w:sz w:val="22"/>
        </w:rPr>
        <w:t xml:space="preserve">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rPr>
              <w:rPr>
                <w:rFonts w:hint="default" w:ascii="Times New Roman" w:hAnsi="Times New Roman" w:eastAsia="宋体" w:cs="Times New Roman"/>
                <w:i/>
              </w:rPr>
              <m:t>operation</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oMath>
    </w:p>
    <w:p w14:paraId="52C9C8D2">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推广投入约束：推广投入不得超过当期总收入的20%（避免过度投入影响短期利润，基于媒体推广数据拟合）：</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≤0.2⋅</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rPr>
              <w:rPr>
                <w:rFonts w:hint="default" w:ascii="Times New Roman" w:hAnsi="Times New Roman" w:eastAsia="宋体" w:cs="Times New Roman"/>
                <w:i/>
              </w:rPr>
              <m:t>total</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oMath>
    </w:p>
    <w:p w14:paraId="17CB24A4">
      <w:pPr>
        <w:spacing w:before="300" w:after="120" w:line="288" w:lineRule="auto"/>
        <w:ind w:left="0"/>
        <w:jc w:val="left"/>
        <w:outlineLvl w:val="2"/>
        <w:rPr>
          <w:rFonts w:hint="default" w:ascii="Times New Roman" w:hAnsi="Times New Roman" w:eastAsia="宋体" w:cs="Times New Roman"/>
        </w:rPr>
      </w:pPr>
      <w:bookmarkStart w:id="17" w:name="heading_21"/>
      <w:r>
        <w:rPr>
          <w:rFonts w:hint="default" w:ascii="Times New Roman" w:hAnsi="Times New Roman" w:eastAsia="宋体" w:cs="Times New Roman"/>
          <w:b/>
          <w:sz w:val="30"/>
        </w:rPr>
        <w:t>3.3.2 阵容约束（硬约束，关联联盟规则与球员位置数据）</w:t>
      </w:r>
      <w:bookmarkEnd w:id="17"/>
    </w:p>
    <w:p w14:paraId="5AB5EB51">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阵容人数约束：球队人数在联盟规定的上下限之间（参考team_valuations.csv中的球队阵容数据）：</w:t>
      </w:r>
    </w:p>
    <w:p w14:paraId="15879146">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位置覆盖约束：球队必须覆盖所有核心位置（后卫G、前锋F、中锋C），每个位置至少有2名球员（贴合球员位置数据）：</w:t>
      </w:r>
    </w:p>
    <w:p w14:paraId="68996BC6">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出场时间约束：所有球员的出场时间占比之和为1（单场时间固定，合理分配负荷）：</w:t>
      </w:r>
    </w:p>
    <w:p w14:paraId="2EBD51F3">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核心球员出场约束：核心球员（Fᵢₜ≥0.8）的出场时间占比不得低于0.15（保障核心球员发挥）：</w:t>
      </w:r>
    </w:p>
    <w:p w14:paraId="3810A95C">
      <w:pPr>
        <w:spacing w:before="300" w:after="120" w:line="288" w:lineRule="auto"/>
        <w:ind w:left="0"/>
        <w:jc w:val="left"/>
        <w:outlineLvl w:val="2"/>
        <w:rPr>
          <w:rFonts w:hint="default" w:ascii="Times New Roman" w:hAnsi="Times New Roman" w:eastAsia="宋体" w:cs="Times New Roman"/>
        </w:rPr>
      </w:pPr>
      <w:bookmarkStart w:id="18" w:name="heading_22"/>
      <w:r>
        <w:rPr>
          <w:rFonts w:hint="default" w:ascii="Times New Roman" w:hAnsi="Times New Roman" w:eastAsia="宋体" w:cs="Times New Roman"/>
          <w:b/>
          <w:sz w:val="30"/>
        </w:rPr>
        <w:t>3.3.3 风险约束（软约束，量化伤病、关键球能力风险）</w:t>
      </w:r>
      <w:bookmarkEnd w:id="18"/>
    </w:p>
    <w:p w14:paraId="5A7D9BC9">
      <w:pPr>
        <w:numPr>
          <w:ilvl w:val="0"/>
          <w:numId w:val="1"/>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伤病风险约束：高伤病风险球员（Pᵢ₀≥0.08）的薪资总额不得超过薪资帽的30%，降低极端伤病导致的财务损失：</w:t>
      </w:r>
    </w:p>
    <w:p w14:paraId="614CB1E5">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关键球能力约束：球队关键球能力不得低于联盟平均水平（基于球员ClutchRating数据，来自model_parameters.csv）：</w:t>
      </w:r>
      <m:oMath>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N</m:t>
            </m:r>
            <m:ctrlPr>
              <w:rPr>
                <w:rFonts w:hint="default" w:ascii="Cambria Math" w:hAnsi="Cambria Math" w:eastAsia="宋体" w:cs="Times New Roman"/>
              </w:rPr>
            </m:ctrlPr>
          </m:sup>
          <m:e>
            <m:r>
              <m:rPr>
                <m:nor/>
              </m:rPr>
              <w:rPr>
                <w:rFonts w:hint="default" w:ascii="Times New Roman" w:hAnsi="Times New Roman" w:eastAsia="宋体" w:cs="Times New Roman"/>
                <w:i/>
              </w:rPr>
              <m:t>Clutc</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Ratin</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g</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z</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Clutc</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Ratin</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g</m:t>
                </m:r>
                <m:ctrlPr>
                  <w:rPr>
                    <w:rFonts w:hint="default" w:ascii="Cambria Math" w:hAnsi="Cambria Math" w:eastAsia="宋体" w:cs="Times New Roman"/>
                  </w:rPr>
                </m:ctrlPr>
              </m:e>
              <m:sub>
                <m:r>
                  <m:rPr>
                    <m:nor/>
                  </m:rPr>
                  <w:rPr>
                    <w:rFonts w:hint="default" w:ascii="Times New Roman" w:hAnsi="Times New Roman" w:eastAsia="宋体" w:cs="Times New Roman"/>
                    <w:i/>
                  </w:rPr>
                  <m:t>avg</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e>
        </m:nary>
      </m:oMath>
      <w:r>
        <w:rPr>
          <w:rFonts w:hint="default" w:ascii="Times New Roman" w:hAnsi="Times New Roman" w:eastAsia="宋体" w:cs="Times New Roman"/>
          <w:sz w:val="22"/>
        </w:rPr>
        <w:t>变量解释：ClutchRatingᵢ为球员i的关键球评分，ClutchRatingₐᵥ₉为联盟平均关键球评分（来自model_parameters.csv）。</w:t>
      </w:r>
    </w:p>
    <w:p w14:paraId="7BEE4A1C">
      <w:pPr>
        <w:spacing w:before="300" w:after="120" w:line="288" w:lineRule="auto"/>
        <w:ind w:left="0"/>
        <w:jc w:val="left"/>
        <w:outlineLvl w:val="2"/>
        <w:rPr>
          <w:rFonts w:hint="default" w:ascii="Times New Roman" w:hAnsi="Times New Roman" w:eastAsia="宋体" w:cs="Times New Roman"/>
        </w:rPr>
      </w:pPr>
      <w:bookmarkStart w:id="19" w:name="heading_23"/>
      <w:r>
        <w:rPr>
          <w:rFonts w:hint="default" w:ascii="Times New Roman" w:hAnsi="Times New Roman" w:eastAsia="宋体" w:cs="Times New Roman"/>
          <w:b/>
          <w:sz w:val="30"/>
        </w:rPr>
        <w:t>3.3.4 决策变量约束（界定变量范围，确保优化有效）</w:t>
      </w:r>
      <w:bookmarkEnd w:id="19"/>
    </w:p>
    <w:p w14:paraId="34AE1EDA">
      <w:pPr>
        <w:spacing w:before="120" w:after="120" w:line="288" w:lineRule="auto"/>
        <w:ind w:left="0"/>
        <w:jc w:val="left"/>
        <w:rPr>
          <w:rFonts w:hint="default" w:ascii="Times New Roman" w:hAnsi="Times New Roman" w:eastAsia="宋体" w:cs="Times New Roman"/>
        </w:rPr>
      </w:pPr>
      <m:oMathPara>
        <m:oMath>
          <m:d>
            <m:dPr>
              <m:begChr m:val="{"/>
              <m:sepChr m:val=","/>
              <m:endChr m:val=""/>
              <m:ctrlPr>
                <w:rPr>
                  <w:rFonts w:hint="default" w:ascii="Cambria Math" w:hAnsi="Cambria Math" w:eastAsia="宋体" w:cs="Times New Roman"/>
                </w:rPr>
              </m:ctrlPr>
            </m:dPr>
            <m:e>
              <m:eqArr>
                <m:eqArrPr>
                  <m:ctrlPr>
                    <w:rPr>
                      <w:rFonts w:hint="default" w:ascii="Cambria Math" w:hAnsi="Cambria Math" w:eastAsia="宋体" w:cs="Times New Roman"/>
                    </w:rPr>
                  </m:ctrlPr>
                </m:eqArr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begChr m:val="{"/>
                      <m:sepChr m:val=","/>
                      <m:end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0</m:t>
                      </m:r>
                      <m:ctrlPr>
                        <w:rPr>
                          <w:rFonts w:hint="default" w:ascii="Cambria Math" w:hAnsi="Cambria Math" w:eastAsia="宋体" w:cs="Times New Roman"/>
                        </w:rPr>
                      </m:ctrlPr>
                    </m:e>
                    <m:e>
                      <m:r>
                        <m:rPr>
                          <m:nor/>
                          <m:sty m:val="p"/>
                        </m:rPr>
                        <w:rPr>
                          <w:rFonts w:hint="default" w:ascii="Times New Roman" w:hAnsi="Times New Roman" w:eastAsia="宋体" w:cs="Times New Roman"/>
                          <w:i w:val="0"/>
                        </w:rPr>
                        <m:t>1</m:t>
                      </m:r>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e>
                <m:e>
                  <m:r>
                    <m:rPr>
                      <m:nor/>
                      <m:sty m:val="p"/>
                    </m:rPr>
                    <w:rPr>
                      <w:rFonts w:hint="default" w:ascii="Times New Roman" w:hAnsi="Times New Roman" w:eastAsia="宋体" w:cs="Times New Roman"/>
                      <w:i w:val="0"/>
                    </w:rPr>
                    <m:t>0≤</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z</m:t>
                      </m:r>
                      <m:ctrlPr>
                        <w:rPr>
                          <w:rFonts w:hint="default" w:ascii="Cambria Math" w:hAnsi="Cambria Math" w:eastAsia="宋体" w:cs="Times New Roman"/>
                        </w:rPr>
                      </m:ctrlPr>
                    </m:e>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m:t>
                  </m:r>
                  <m:r>
                    <m:rPr>
                      <m:nor/>
                    </m:rPr>
                    <w:rPr>
                      <w:rFonts w:hint="default" w:ascii="Times New Roman" w:hAnsi="Times New Roman" w:eastAsia="宋体" w:cs="Times New Roman"/>
                      <w:i/>
                    </w:rPr>
                    <m:t>i</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t</m:t>
                  </m:r>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y</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≥0,</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≥0∀</m:t>
                  </m:r>
                  <m:r>
                    <m:rPr>
                      <m:nor/>
                    </m:rPr>
                    <w:rPr>
                      <w:rFonts w:hint="default" w:ascii="Times New Roman" w:hAnsi="Times New Roman" w:eastAsia="宋体" w:cs="Times New Roman"/>
                      <w:i/>
                    </w:rPr>
                    <m:t>t</m:t>
                  </m:r>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=1,0≤</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w</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3</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=1,0≤</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δ</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3</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e>
              </m:eqArr>
              <m:ctrlPr>
                <w:rPr>
                  <w:rFonts w:hint="default" w:ascii="Cambria Math" w:hAnsi="Cambria Math" w:eastAsia="宋体" w:cs="Times New Roman"/>
                </w:rPr>
              </m:ctrlPr>
            </m:e>
          </m:d>
        </m:oMath>
      </m:oMathPara>
    </w:p>
    <w:p w14:paraId="17C540E0">
      <w:pPr>
        <w:spacing w:before="380" w:after="140" w:line="288" w:lineRule="auto"/>
        <w:ind w:left="0"/>
        <w:jc w:val="left"/>
        <w:outlineLvl w:val="0"/>
        <w:rPr>
          <w:rFonts w:hint="default" w:ascii="Times New Roman" w:hAnsi="Times New Roman" w:eastAsia="宋体" w:cs="Times New Roman"/>
        </w:rPr>
      </w:pPr>
      <w:bookmarkStart w:id="20" w:name="heading_24"/>
      <w:r>
        <w:rPr>
          <w:rFonts w:hint="default" w:ascii="Times New Roman" w:hAnsi="Times New Roman" w:eastAsia="宋体" w:cs="Times New Roman"/>
          <w:b/>
          <w:sz w:val="36"/>
        </w:rPr>
        <w:t>4. 高级算法设计（IPSO-SA融合算法）</w:t>
      </w:r>
      <w:bookmarkEnd w:id="20"/>
    </w:p>
    <w:p w14:paraId="03E8EA1C">
      <w:pPr>
        <w:spacing w:before="320" w:after="120" w:line="288" w:lineRule="auto"/>
        <w:ind w:left="0"/>
        <w:jc w:val="left"/>
        <w:outlineLvl w:val="1"/>
        <w:rPr>
          <w:rFonts w:hint="default" w:ascii="Times New Roman" w:hAnsi="Times New Roman" w:eastAsia="宋体" w:cs="Times New Roman"/>
        </w:rPr>
      </w:pPr>
      <w:bookmarkStart w:id="21" w:name="heading_25"/>
      <w:r>
        <w:rPr>
          <w:rFonts w:hint="default" w:ascii="Times New Roman" w:hAnsi="Times New Roman" w:eastAsia="宋体" w:cs="Times New Roman"/>
          <w:b/>
          <w:sz w:val="32"/>
        </w:rPr>
        <w:t>4.1 算法选型适配性再分析</w:t>
      </w:r>
      <w:bookmarkEnd w:id="21"/>
    </w:p>
    <w:p w14:paraId="1265DD3B">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前文已确定采用</w:t>
      </w:r>
      <w:r>
        <w:rPr>
          <w:rFonts w:hint="default" w:ascii="Times New Roman" w:hAnsi="Times New Roman" w:eastAsia="宋体" w:cs="Times New Roman"/>
          <w:b/>
          <w:sz w:val="22"/>
        </w:rPr>
        <w:t>改进型粒子群优化算法（IPSO）与模拟退火算法（SA）融合的IPSO-SA算法</w:t>
      </w:r>
      <w:r>
        <w:rPr>
          <w:rFonts w:hint="default" w:ascii="Times New Roman" w:hAnsi="Times New Roman" w:eastAsia="宋体" w:cs="Times New Roman"/>
          <w:sz w:val="22"/>
        </w:rPr>
        <w:t>求解本模型，此处结合模型特性进一步说明适配性：本模型为多阶段随机混合整数规划问题，包含“0-1整数变量（球员签约xᵢₜ）+连续变量（推广投入yₜ、出场时间占比zᵢₜ等）”，约束条件复杂（财务、阵容、风险多重约束），且目标函数存在非线性项（如协同摩擦二次项、折现因子），传统求解方法（如分支定界法）存在求解效率低、易陷入局部最优的缺陷。</w:t>
      </w:r>
    </w:p>
    <w:p w14:paraId="369123CF">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IPSO算法收敛速度快，通过自适应惯性权重与交叉变异操作，可高效处理混合变量优化；SA算法具备全局搜索能力，通过温度衰减机制可跳出局部最优解，两者融合后，既能利用IPSO的快速收敛特性，又能借助SA的全局搜索能力，完美适配本模型“数据量大、约束复杂、目标函数非线性”的求解需求，确保求解效率与最优解质量。</w:t>
      </w:r>
    </w:p>
    <w:p w14:paraId="5E407F71">
      <w:pPr>
        <w:spacing w:before="320" w:after="120" w:line="288" w:lineRule="auto"/>
        <w:ind w:left="0"/>
        <w:jc w:val="left"/>
        <w:outlineLvl w:val="1"/>
        <w:rPr>
          <w:rFonts w:hint="default" w:ascii="Times New Roman" w:hAnsi="Times New Roman" w:eastAsia="宋体" w:cs="Times New Roman"/>
        </w:rPr>
      </w:pPr>
      <w:bookmarkStart w:id="22" w:name="heading_26"/>
      <w:r>
        <w:rPr>
          <w:rFonts w:hint="default" w:ascii="Times New Roman" w:hAnsi="Times New Roman" w:eastAsia="宋体" w:cs="Times New Roman"/>
          <w:b/>
          <w:sz w:val="32"/>
        </w:rPr>
        <w:t>4.2 核心算法原理（IPSO与SA基础原理）</w:t>
      </w:r>
      <w:bookmarkEnd w:id="22"/>
    </w:p>
    <w:p w14:paraId="78F9AAC5">
      <w:pPr>
        <w:spacing w:before="300" w:after="120" w:line="288" w:lineRule="auto"/>
        <w:ind w:left="0"/>
        <w:jc w:val="left"/>
        <w:outlineLvl w:val="2"/>
        <w:rPr>
          <w:rFonts w:hint="default" w:ascii="Times New Roman" w:hAnsi="Times New Roman" w:eastAsia="宋体" w:cs="Times New Roman"/>
        </w:rPr>
      </w:pPr>
      <w:bookmarkStart w:id="23" w:name="heading_27"/>
      <w:r>
        <w:rPr>
          <w:rFonts w:hint="default" w:ascii="Times New Roman" w:hAnsi="Times New Roman" w:eastAsia="宋体" w:cs="Times New Roman"/>
          <w:b/>
          <w:sz w:val="30"/>
        </w:rPr>
        <w:t>4.2.1 改进型粒子群优化算法（IPSO）原理</w:t>
      </w:r>
      <w:bookmarkEnd w:id="23"/>
    </w:p>
    <w:p w14:paraId="643D247B">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传统粒子群优化算法（PSO）通过模拟鸟群觅食行为，将每个可行解视为“粒子”，粒子在解空间中通过更新自身速度与位置，逼近最优解。IPSO在传统PSO基础上，引入</w:t>
      </w:r>
      <w:r>
        <w:rPr>
          <w:rFonts w:hint="default" w:ascii="Times New Roman" w:hAnsi="Times New Roman" w:eastAsia="宋体" w:cs="Times New Roman"/>
          <w:b/>
          <w:sz w:val="22"/>
        </w:rPr>
        <w:t>自适应惯性权重</w:t>
      </w:r>
      <w:r>
        <w:rPr>
          <w:rFonts w:hint="default" w:ascii="Times New Roman" w:hAnsi="Times New Roman" w:eastAsia="宋体" w:cs="Times New Roman"/>
          <w:sz w:val="22"/>
        </w:rPr>
        <w:t>与</w:t>
      </w:r>
      <w:r>
        <w:rPr>
          <w:rFonts w:hint="default" w:ascii="Times New Roman" w:hAnsi="Times New Roman" w:eastAsia="宋体" w:cs="Times New Roman"/>
          <w:b/>
          <w:sz w:val="22"/>
        </w:rPr>
        <w:t>交叉变异操作</w:t>
      </w:r>
      <w:r>
        <w:rPr>
          <w:rFonts w:hint="default" w:ascii="Times New Roman" w:hAnsi="Times New Roman" w:eastAsia="宋体" w:cs="Times New Roman"/>
          <w:sz w:val="22"/>
        </w:rPr>
        <w:t>，解决传统PSO易早熟、收敛精度低的问题。</w:t>
      </w:r>
    </w:p>
    <w:p w14:paraId="39D97F41">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核心更新公式（适配本模型混合变量特性）：</w:t>
      </w:r>
    </w:p>
    <w:p w14:paraId="3764DB8A">
      <w:pPr>
        <w:spacing w:before="120" w:after="120" w:line="288" w:lineRule="auto"/>
        <w:ind w:left="0"/>
        <w:jc w:val="left"/>
        <w:rPr>
          <w:rFonts w:hint="default" w:ascii="Times New Roman" w:hAnsi="Times New Roman" w:eastAsia="宋体" w:cs="Times New Roman"/>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k</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ω</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k</m:t>
              </m:r>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pbes</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c</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r</m:t>
              </m:r>
              <m:ctrlPr>
                <w:rPr>
                  <w:rFonts w:hint="default" w:ascii="Cambria Math" w:hAnsi="Cambria Math" w:eastAsia="宋体" w:cs="Times New Roman"/>
                </w:rPr>
              </m:ctrlPr>
            </m:e>
            <m:sub>
              <m:r>
                <m:rPr>
                  <m:nor/>
                  <m:sty m:val="p"/>
                </m:rPr>
                <w:rPr>
                  <w:rFonts w:hint="default" w:ascii="Times New Roman" w:hAnsi="Times New Roman" w:eastAsia="宋体" w:cs="Times New Roman"/>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gbest</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ctrlPr>
                <w:rPr>
                  <w:rFonts w:hint="default" w:ascii="Cambria Math" w:hAnsi="Cambria Math" w:eastAsia="宋体" w:cs="Times New Roman"/>
                </w:rPr>
              </m:ctrlPr>
            </m:e>
          </m:d>
        </m:oMath>
      </m:oMathPara>
    </w:p>
    <w:p w14:paraId="06D7CCA5">
      <w:pPr>
        <w:spacing w:before="120" w:after="120" w:line="288" w:lineRule="auto"/>
        <w:ind w:left="0"/>
        <w:jc w:val="left"/>
        <m:rPr/>
        <w:rPr>
          <w:rFonts w:hint="default" w:hAnsi="Times New Roman" w:eastAsia="宋体" w:cs="Times New Roman"/>
          <w:b w:val="0"/>
          <w:i w:val="0"/>
        </w:rPr>
      </w:pPr>
      <m:oMathPara>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d>
            <m:dPr>
              <m:begChr m:val="{"/>
              <m:endChr m:val=""/>
              <m:ctrlPr>
                <w:rPr>
                  <w:rFonts w:hint="default" w:ascii="Cambria Math" w:hAnsi="Cambria Math" w:eastAsia="宋体" w:cs="Times New Roman"/>
                  <w:i/>
                </w:rPr>
              </m:ctrlPr>
            </m:dPr>
            <m:e>
              <m:m>
                <m:mPr>
                  <m:mcs>
                    <m:mc>
                      <m:mcPr>
                        <m:count m:val="2"/>
                        <m:mcJc m:val="left"/>
                      </m:mcPr>
                    </m:mc>
                  </m:mcs>
                  <m:plcHide m:val="1"/>
                  <m:ctrlPr>
                    <w:rPr>
                      <w:rFonts w:hint="default" w:ascii="Cambria Math" w:hAnsi="Cambria Math" w:eastAsia="宋体" w:cs="Times New Roman"/>
                      <w:i/>
                    </w:rPr>
                  </m:ctrlPr>
                </m:mPr>
                <m:mr>
                  <m:e>
                    <m:r>
                      <m:rPr>
                        <m:nor/>
                      </m:rPr>
                      <w:rPr>
                        <w:rFonts w:hint="default" w:ascii="Times New Roman" w:hAnsi="Times New Roman" w:eastAsia="宋体" w:cs="Times New Roman"/>
                        <w:i/>
                      </w:rPr>
                      <m:t>round</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k</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 xml:space="preserve"> 为0−1整数变量（球员签约</m:t>
                    </m:r>
                    <m:r>
                      <m:rPr>
                        <m:nor/>
                      </m:rPr>
                      <w:rPr>
                        <w:rFonts w:hint="default" w:ascii="Times New Roman" w:hAnsi="Times New Roman" w:eastAsia="宋体" w:cs="Times New Roman"/>
                        <w:i/>
                      </w:rPr>
                      <m:t>x</m:t>
                    </m:r>
                    <m:r>
                      <m:rPr>
                        <m:nor/>
                        <m:sty m:val="p"/>
                      </m:rPr>
                      <w:rPr>
                        <w:rFonts w:hint="default" w:ascii="Times New Roman" w:hAnsi="Times New Roman" w:eastAsia="宋体" w:cs="Times New Roman"/>
                        <w:i w:val="0"/>
                      </w:rPr>
                      <m:t>_{</m:t>
                    </m:r>
                    <m:r>
                      <m:rPr>
                        <m:nor/>
                      </m:rPr>
                      <w:rPr>
                        <w:rFonts w:hint="default" w:ascii="Times New Roman" w:hAnsi="Times New Roman" w:eastAsia="宋体" w:cs="Times New Roman"/>
                        <w:i/>
                      </w:rPr>
                      <m:t>it</m:t>
                    </m:r>
                    <m:r>
                      <m:rPr>
                        <m:nor/>
                        <m:sty m:val="p"/>
                      </m:rPr>
                      <w:rPr>
                        <w:rFonts w:hint="default" w:ascii="Times New Roman" w:hAnsi="Times New Roman" w:eastAsia="宋体" w:cs="Times New Roman"/>
                        <w:i w:val="0"/>
                      </w:rPr>
                      <m:t>}）</m:t>
                    </m:r>
                    <m:ctrlPr>
                      <w:rPr>
                        <w:rFonts w:hint="default" w:ascii="Cambria Math" w:hAnsi="Cambria Math" w:eastAsia="宋体" w:cs="Times New Roman"/>
                      </w:rPr>
                    </m:ctrlPr>
                  </m:e>
                </m:mr>
                <m:m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v</m:t>
                        </m:r>
                        <m:ctrlPr>
                          <w:rPr>
                            <w:rFonts w:hint="default" w:ascii="Cambria Math" w:hAnsi="Cambria Math" w:eastAsia="宋体" w:cs="Times New Roman"/>
                          </w:rPr>
                        </m:ctrlPr>
                      </m:e>
                      <m:sub>
                        <m:r>
                          <m:rPr>
                            <m:nor/>
                          </m:rPr>
                          <w:rPr>
                            <w:rFonts w:hint="default" w:ascii="Times New Roman" w:hAnsi="Times New Roman" w:eastAsia="宋体" w:cs="Times New Roman"/>
                            <w:i/>
                          </w:rPr>
                          <m:t>k</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 xml:space="preserve"> 为连续变量（</m:t>
                    </m:r>
                    <m:r>
                      <m:rPr>
                        <m:nor/>
                      </m:rPr>
                      <w:rPr>
                        <w:rFonts w:hint="default" w:ascii="Times New Roman" w:hAnsi="Times New Roman" w:eastAsia="宋体" w:cs="Times New Roman"/>
                        <w:i/>
                      </w:rPr>
                      <m:t>y</m:t>
                    </m:r>
                    <m:r>
                      <m:rPr>
                        <m:nor/>
                        <m:sty m:val="p"/>
                      </m:rPr>
                      <w:rPr>
                        <w:rFonts w:hint="default" w:ascii="Times New Roman" w:hAnsi="Times New Roman" w:eastAsia="宋体" w:cs="Times New Roman"/>
                        <w:i w:val="0"/>
                      </w:rPr>
                      <m:t>_</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z</m:t>
                    </m:r>
                    <m:r>
                      <m:rPr>
                        <m:nor/>
                        <m:sty m:val="p"/>
                      </m:rPr>
                      <w:rPr>
                        <w:rFonts w:hint="default" w:ascii="Times New Roman" w:hAnsi="Times New Roman" w:eastAsia="宋体" w:cs="Times New Roman"/>
                        <w:i w:val="0"/>
                      </w:rPr>
                      <m:t>_{</m:t>
                    </m:r>
                    <m:r>
                      <m:rPr>
                        <m:nor/>
                      </m:rPr>
                      <w:rPr>
                        <w:rFonts w:hint="default" w:ascii="Times New Roman" w:hAnsi="Times New Roman" w:eastAsia="宋体" w:cs="Times New Roman"/>
                        <w:i/>
                      </w:rPr>
                      <m:t>it</m:t>
                    </m:r>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p</m:t>
                    </m:r>
                    <m:r>
                      <m:rPr>
                        <m:nor/>
                        <m:sty m:val="p"/>
                      </m:rPr>
                      <w:rPr>
                        <w:rFonts w:hint="default" w:ascii="Times New Roman" w:hAnsi="Times New Roman" w:eastAsia="宋体" w:cs="Times New Roman"/>
                        <w:i w:val="0"/>
                      </w:rPr>
                      <m:t>_</m:t>
                    </m:r>
                    <m:r>
                      <m:rPr>
                        <m:nor/>
                      </m:rPr>
                      <w:rPr>
                        <w:rFonts w:hint="default" w:ascii="Times New Roman" w:hAnsi="Times New Roman" w:eastAsia="宋体" w:cs="Times New Roman"/>
                        <w:i/>
                      </w:rPr>
                      <m:t>t</m:t>
                    </m:r>
                    <m:r>
                      <m:rPr>
                        <m:nor/>
                        <m:sty m:val="p"/>
                      </m:rPr>
                      <w:rPr>
                        <w:rFonts w:hint="default" w:ascii="Times New Roman" w:hAnsi="Times New Roman" w:eastAsia="宋体" w:cs="Times New Roman"/>
                        <w:i w:val="0"/>
                      </w:rPr>
                      <m:t>等）</m:t>
                    </m:r>
                    <m:ctrlPr>
                      <w:rPr>
                        <w:rFonts w:hint="default" w:ascii="Cambria Math" w:hAnsi="Cambria Math" w:eastAsia="宋体" w:cs="Times New Roman"/>
                      </w:rPr>
                    </m:ctrlPr>
                  </m:e>
                </m:mr>
              </m:m>
              <m:ctrlPr>
                <w:rPr>
                  <w:rFonts w:hint="default" w:ascii="Cambria Math" w:hAnsi="Cambria Math" w:eastAsia="宋体" w:cs="Times New Roman"/>
                  <w:i/>
                </w:rPr>
              </m:ctrlPr>
            </m:e>
          </m:d>
        </m:oMath>
      </m:oMathPara>
    </w:p>
    <w:p w14:paraId="4A5A935F">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变量解释：</w:t>
      </w:r>
    </w:p>
    <w:p w14:paraId="6C6D1365">
      <w:pPr>
        <w:numPr>
          <w:ilvl w:val="0"/>
          <w:numId w:val="2"/>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vₖ₊₁、vₖ：粒子第k+1代、第k代的速度向量；</w:t>
      </w:r>
    </w:p>
    <w:p w14:paraId="42E2A690">
      <w:pPr>
        <w:numPr>
          <w:ilvl w:val="0"/>
          <w:numId w:val="3"/>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ω(k)：自适应惯性权重，随迭代次数动态调整（迭代初期大，保证全局搜索；迭代后期小，保证局部收敛），公式为</w:t>
      </w:r>
      <m:oMath>
        <m:r>
          <m:rPr>
            <m:nor/>
          </m:rPr>
          <w:rPr>
            <w:rFonts w:hint="default" w:ascii="Times New Roman" w:hAnsi="Times New Roman" w:eastAsia="宋体" w:cs="Times New Roman"/>
            <w:i/>
          </w:rPr>
          <m:t>ω</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k</m:t>
            </m:r>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ω</m:t>
            </m:r>
            <m:ctrlPr>
              <w:rPr>
                <w:rFonts w:hint="default" w:ascii="Cambria Math" w:hAnsi="Cambria Math" w:eastAsia="宋体" w:cs="Times New Roman"/>
              </w:rPr>
            </m:ctrlPr>
          </m:e>
          <m:sub>
            <m:r>
              <m:rPr>
                <m:nor/>
              </m:rPr>
              <w:rPr>
                <w:rFonts w:hint="default" w:ascii="Times New Roman" w:hAnsi="Times New Roman" w:eastAsia="宋体" w:cs="Times New Roman"/>
                <w:i/>
              </w:rPr>
              <m:t>max</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rPr>
                  <w:rPr>
                    <w:rFonts w:hint="default" w:ascii="Times New Roman" w:hAnsi="Times New Roman" w:eastAsia="宋体" w:cs="Times New Roman"/>
                    <w:i/>
                  </w:rPr>
                  <m:t>ω</m:t>
                </m:r>
                <m:ctrlPr>
                  <w:rPr>
                    <w:rFonts w:hint="default" w:ascii="Cambria Math" w:hAnsi="Cambria Math" w:eastAsia="宋体" w:cs="Times New Roman"/>
                  </w:rPr>
                </m:ctrlPr>
              </m:e>
              <m:sub>
                <m:r>
                  <m:rPr>
                    <m:nor/>
                  </m:rPr>
                  <w:rPr>
                    <w:rFonts w:hint="default" w:ascii="Times New Roman" w:hAnsi="Times New Roman" w:eastAsia="宋体" w:cs="Times New Roman"/>
                    <w:i/>
                  </w:rPr>
                  <m:t>max</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ω</m:t>
                </m:r>
                <m:ctrlPr>
                  <w:rPr>
                    <w:rFonts w:hint="default" w:ascii="Cambria Math" w:hAnsi="Cambria Math" w:eastAsia="宋体" w:cs="Times New Roman"/>
                  </w:rPr>
                </m:ctrlPr>
              </m:e>
              <m:sub>
                <m:r>
                  <m:rPr>
                    <m:nor/>
                  </m:rPr>
                  <w:rPr>
                    <w:rFonts w:hint="default" w:ascii="Times New Roman" w:hAnsi="Times New Roman" w:eastAsia="宋体" w:cs="Times New Roman"/>
                    <w:i/>
                  </w:rPr>
                  <m:t>min</m:t>
                </m:r>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r>
                  <m:rPr>
                    <m:nor/>
                  </m:rPr>
                  <w:rPr>
                    <w:rFonts w:hint="default" w:ascii="Times New Roman" w:hAnsi="Times New Roman" w:eastAsia="宋体" w:cs="Times New Roman"/>
                    <w:i/>
                  </w:rPr>
                  <m:t>k</m:t>
                </m:r>
                <m:ctrlPr>
                  <w:rPr>
                    <w:rFonts w:hint="default" w:ascii="Cambria Math" w:hAnsi="Cambria Math" w:eastAsia="宋体" w:cs="Times New Roman"/>
                  </w:rPr>
                </m:ctrlPr>
              </m:e>
              <m:sub>
                <m:r>
                  <m:rPr>
                    <m:nor/>
                  </m:rPr>
                  <w:rPr>
                    <w:rFonts w:hint="default" w:ascii="Times New Roman" w:hAnsi="Times New Roman" w:eastAsia="宋体" w:cs="Times New Roman"/>
                    <w:i/>
                  </w:rPr>
                  <m:t>max</m:t>
                </m:r>
                <m:ctrlPr>
                  <w:rPr>
                    <w:rFonts w:hint="default" w:ascii="Cambria Math" w:hAnsi="Cambria Math" w:eastAsia="宋体" w:cs="Times New Roman"/>
                  </w:rPr>
                </m:ctrlPr>
              </m:sub>
            </m:sSub>
            <m:ctrlPr>
              <w:rPr>
                <w:rFonts w:hint="default" w:ascii="Cambria Math" w:hAnsi="Cambria Math" w:eastAsia="宋体" w:cs="Times New Roman"/>
              </w:rPr>
            </m:ctrlPr>
          </m:den>
        </m:f>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k</m:t>
        </m:r>
      </m:oMath>
      <w:r>
        <w:rPr>
          <w:rFonts w:hint="default" w:ascii="Times New Roman" w:hAnsi="Times New Roman" w:eastAsia="宋体" w:cs="Times New Roman"/>
          <w:sz w:val="22"/>
        </w:rPr>
        <w:t>，其中ωₘₐₓ=0.9，ωₘᵢₙ=0.4，kₘₐₓ为最大迭代次数，</w:t>
      </w:r>
      <m:oMath>
        <m:r>
          <m:rPr>
            <m:nor/>
          </m:rPr>
          <w:rPr>
            <w:rFonts w:hint="default" w:ascii="Times New Roman" w:hAnsi="Times New Roman" w:eastAsia="宋体" w:cs="Times New Roman"/>
            <w:i/>
          </w:rPr>
          <m:t>k</m:t>
        </m:r>
      </m:oMath>
      <w:r>
        <w:rPr>
          <w:rFonts w:hint="default" w:ascii="Times New Roman" w:hAnsi="Times New Roman" w:eastAsia="宋体" w:cs="Times New Roman"/>
          <w:sz w:val="22"/>
        </w:rPr>
        <w:t>为当前迭代次数；</w:t>
      </w:r>
    </w:p>
    <w:p w14:paraId="21D129AB">
      <w:pPr>
        <w:numPr>
          <w:ilvl w:val="0"/>
          <w:numId w:val="4"/>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c₁、c₂：学习因子（加速常数），均取2.0（经验值，基于模型数据拟合验证），分别表示粒子向自身最优解、全局最优解逼近的速度；</w:t>
      </w:r>
    </w:p>
    <w:p w14:paraId="10B6C4A9">
      <w:pPr>
        <w:numPr>
          <w:ilvl w:val="0"/>
          <w:numId w:val="5"/>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r₁、r₂：[0,1]之间的随机数，增加搜索随机性；</w:t>
      </w:r>
    </w:p>
    <w:p w14:paraId="706BDEDA">
      <w:pPr>
        <w:numPr>
          <w:ilvl w:val="0"/>
          <w:numId w:val="6"/>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pbestₖ：粒子第k代的自身最优位置（个体最优解）；</w:t>
      </w:r>
    </w:p>
    <w:p w14:paraId="6B990F94">
      <w:pPr>
        <w:numPr>
          <w:ilvl w:val="0"/>
          <w:numId w:val="7"/>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gbest：所有粒子的全局最优位置（全局最优解）；</w:t>
      </w:r>
    </w:p>
    <w:p w14:paraId="07C673ED">
      <w:pPr>
        <w:numPr>
          <w:ilvl w:val="0"/>
          <w:numId w:val="8"/>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round(·)：取整函数，用于将连续速度更新结果转换为0-1整数（适配球员签约xᵢₜ的0-1变量特性）。</w:t>
      </w:r>
    </w:p>
    <w:p w14:paraId="0DBC17F3">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交叉变异操作（改进核心）：为避免粒子陷入局部最优，每迭代10次，对粒子群中30%的粒子进行交叉变异，交叉采用单点交叉（交换两个粒子的变量值），变异采用随机变异（对0-1变量翻转，对连续变量小幅扰动），确保粒子群多样性。</w:t>
      </w:r>
    </w:p>
    <w:p w14:paraId="641292C5">
      <w:pPr>
        <w:spacing w:before="300" w:after="120" w:line="288" w:lineRule="auto"/>
        <w:ind w:left="0"/>
        <w:jc w:val="left"/>
        <w:outlineLvl w:val="2"/>
        <w:rPr>
          <w:rFonts w:hint="default" w:ascii="Times New Roman" w:hAnsi="Times New Roman" w:eastAsia="宋体" w:cs="Times New Roman"/>
        </w:rPr>
      </w:pPr>
      <w:bookmarkStart w:id="24" w:name="heading_28"/>
      <w:r>
        <w:rPr>
          <w:rFonts w:hint="default" w:ascii="Times New Roman" w:hAnsi="Times New Roman" w:eastAsia="宋体" w:cs="Times New Roman"/>
          <w:b/>
          <w:sz w:val="30"/>
        </w:rPr>
        <w:t>4.2.2 模拟退火算法（SA）原理</w:t>
      </w:r>
      <w:bookmarkEnd w:id="24"/>
    </w:p>
    <w:p w14:paraId="28292754">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SA算法基于固体退火原理，通过模拟固体加热至高温后缓慢冷却、原子趋于稳定状态的过程，以一定概率接受较差解，实现全局最优搜索。核心优势是可跳出局部最优解，与IPSO融合后，可弥补IPSO易早熟的缺陷。</w:t>
      </w:r>
    </w:p>
    <w:p w14:paraId="35244AEC">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核心公式（温度衰减与接受概率）：</w:t>
      </w:r>
    </w:p>
    <w:p w14:paraId="32010E6B">
      <w:pPr>
        <w:numPr>
          <w:ilvl w:val="0"/>
          <w:numId w:val="9"/>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温度衰减公式（采用指数衰减，适配模型求解效率）：</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k</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η</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oMath>
      <w:r>
        <w:rPr>
          <w:rFonts w:hint="default" w:ascii="Times New Roman" w:hAnsi="Times New Roman" w:eastAsia="宋体" w:cs="Times New Roman"/>
          <w:sz w:val="22"/>
        </w:rPr>
        <w:t>，其中η为衰减系数（η=0.95，经验值，平衡搜索效率与收敛精度），Tₖ为第k代温度，T₀为初始温度（T₀=100，基于模型数据验证）；</w:t>
      </w:r>
    </w:p>
    <w:p w14:paraId="732CDE5E">
      <w:pPr>
        <w:numPr>
          <w:ilvl w:val="0"/>
          <w:numId w:val="10"/>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接受概率公式（Metropolis准则）：对于新解</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new</m:t>
            </m:r>
            <m:ctrlPr>
              <w:rPr>
                <w:rFonts w:hint="default" w:ascii="Cambria Math" w:hAnsi="Cambria Math" w:eastAsia="宋体" w:cs="Times New Roman"/>
              </w:rPr>
            </m:ctrlPr>
          </m:sub>
        </m:sSub>
      </m:oMath>
      <w:r>
        <w:rPr>
          <w:rFonts w:hint="default" w:ascii="Times New Roman" w:hAnsi="Times New Roman" w:eastAsia="宋体" w:cs="Times New Roman"/>
          <w:sz w:val="22"/>
        </w:rPr>
        <w:t>与当前最优解</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now</m:t>
            </m:r>
            <m:ctrlPr>
              <w:rPr>
                <w:rFonts w:hint="default" w:ascii="Cambria Math" w:hAnsi="Cambria Math" w:eastAsia="宋体" w:cs="Times New Roman"/>
              </w:rPr>
            </m:ctrlPr>
          </m:sub>
        </m:sSub>
      </m:oMath>
      <w:r>
        <w:rPr>
          <w:rFonts w:hint="default" w:ascii="Times New Roman" w:hAnsi="Times New Roman" w:eastAsia="宋体" w:cs="Times New Roman"/>
          <w:sz w:val="22"/>
        </w:rPr>
        <w:t>，若</w:t>
      </w:r>
      <m:oMath>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new</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 xml:space="preserve">≥ </w:t>
      </w:r>
      <m:oMath>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now</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（新解更优），则直接接受；若</w:t>
      </w:r>
      <m:oMath>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new</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 xml:space="preserve">&lt; </w:t>
      </w:r>
      <m:oMath>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now</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eastAsia="宋体" w:cs="Times New Roman"/>
          <w:sz w:val="22"/>
        </w:rPr>
        <w:t>（新解较差），则以概率</w:t>
      </w:r>
      <m:oMath>
        <m:r>
          <m:rPr>
            <m:nor/>
          </m:rPr>
          <w:rPr>
            <w:rFonts w:hint="default" w:ascii="Times New Roman" w:hAnsi="Times New Roman" w:eastAsia="宋体" w:cs="Times New Roman"/>
            <w:i/>
          </w:rPr>
          <m:t>P</m:t>
        </m:r>
        <m:r>
          <m:rPr>
            <m:nor/>
            <m:sty m:val="p"/>
          </m:rPr>
          <w:rPr>
            <w:rFonts w:hint="default" w:ascii="Times New Roman" w:hAnsi="Times New Roman" w:eastAsia="宋体" w:cs="Times New Roman"/>
            <w:i w:val="0"/>
          </w:rPr>
          <m:t>=</m:t>
        </m:r>
        <m:sSup>
          <m:sSupPr>
            <m:ctrlPr>
              <w:rPr>
                <w:rFonts w:hint="default" w:ascii="Cambria Math" w:hAnsi="Cambria Math" w:eastAsia="宋体" w:cs="Times New Roman"/>
              </w:rPr>
            </m:ctrlPr>
          </m:sSupPr>
          <m:e>
            <m:r>
              <m:rPr>
                <m:nor/>
              </m:rPr>
              <w:rPr>
                <w:rFonts w:hint="default" w:ascii="Times New Roman" w:hAnsi="Times New Roman" w:eastAsia="宋体" w:cs="Times New Roman"/>
                <w:i/>
              </w:rPr>
              <m:t>e</m:t>
            </m:r>
            <m:ctrlPr>
              <w:rPr>
                <w:rFonts w:hint="default" w:ascii="Cambria Math" w:hAnsi="Cambria Math" w:eastAsia="宋体" w:cs="Times New Roman"/>
              </w:rPr>
            </m:ctrlPr>
          </m:e>
          <m:sup>
            <m:f>
              <m:fPr>
                <m:ctrlPr>
                  <w:rPr>
                    <w:rFonts w:hint="default" w:ascii="Cambria Math" w:hAnsi="Cambria Math" w:eastAsia="宋体" w:cs="Times New Roman"/>
                  </w:rPr>
                </m:ctrlPr>
              </m:fPr>
              <m:num>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new</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x</m:t>
                        </m:r>
                        <m:ctrlPr>
                          <w:rPr>
                            <w:rFonts w:hint="default" w:ascii="Cambria Math" w:hAnsi="Cambria Math" w:eastAsia="宋体" w:cs="Times New Roman"/>
                          </w:rPr>
                        </m:ctrlPr>
                      </m:e>
                      <m:sub>
                        <m:r>
                          <m:rPr>
                            <m:nor/>
                          </m:rPr>
                          <w:rPr>
                            <w:rFonts w:hint="default" w:ascii="Times New Roman" w:hAnsi="Times New Roman" w:eastAsia="宋体" w:cs="Times New Roman"/>
                            <w:i/>
                          </w:rPr>
                          <m:t>now</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num>
              <m:den>
                <m:sSub>
                  <m:sSubPr>
                    <m:ctrlPr>
                      <w:rPr>
                        <w:rFonts w:hint="default" w:ascii="Cambria Math" w:hAnsi="Cambria Math" w:eastAsia="宋体" w:cs="Times New Roman"/>
                      </w:rPr>
                    </m:ctrlPr>
                  </m:sSubPr>
                  <m:e>
                    <m:r>
                      <m:rPr>
                        <m:nor/>
                      </m:rPr>
                      <w:rPr>
                        <w:rFonts w:hint="default" w:ascii="Times New Roman" w:hAnsi="Times New Roman" w:eastAsia="宋体" w:cs="Times New Roman"/>
                        <w:i/>
                      </w:rPr>
                      <m:t>T</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ctrlPr>
                  <w:rPr>
                    <w:rFonts w:hint="default" w:ascii="Cambria Math" w:hAnsi="Cambria Math" w:eastAsia="宋体" w:cs="Times New Roman"/>
                  </w:rPr>
                </m:ctrlPr>
              </m:den>
            </m:f>
            <m:ctrlPr>
              <w:rPr>
                <w:rFonts w:hint="default" w:ascii="Cambria Math" w:hAnsi="Cambria Math" w:eastAsia="宋体" w:cs="Times New Roman"/>
              </w:rPr>
            </m:ctrlPr>
          </m:sup>
        </m:sSup>
      </m:oMath>
      <w:r>
        <w:rPr>
          <w:rFonts w:hint="default" w:ascii="Times New Roman" w:hAnsi="Times New Roman" w:eastAsia="宋体" w:cs="Times New Roman"/>
          <w:sz w:val="22"/>
        </w:rPr>
        <w:t>接受，其中f(·)为适应度函数（对应模型目标函数）。</w:t>
      </w:r>
    </w:p>
    <w:p w14:paraId="4509492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变量解释：Tₖ越小，接受较差解的概率越低，迭代后期温度趋近于0，仅接受更优解，确保收敛至全局最优。</w:t>
      </w:r>
    </w:p>
    <w:p w14:paraId="638B641B">
      <w:pPr>
        <w:spacing w:before="320" w:after="120" w:line="288" w:lineRule="auto"/>
        <w:ind w:left="0"/>
        <w:jc w:val="left"/>
        <w:outlineLvl w:val="1"/>
        <w:rPr>
          <w:rFonts w:hint="default" w:ascii="Times New Roman" w:hAnsi="Times New Roman" w:eastAsia="宋体" w:cs="Times New Roman"/>
        </w:rPr>
      </w:pPr>
      <w:bookmarkStart w:id="25" w:name="heading_29"/>
      <w:r>
        <w:rPr>
          <w:rFonts w:hint="default" w:ascii="Times New Roman" w:hAnsi="Times New Roman" w:eastAsia="宋体" w:cs="Times New Roman"/>
          <w:b/>
          <w:sz w:val="32"/>
        </w:rPr>
        <w:t>4.3 IPSO-SA融合算法设计</w:t>
      </w:r>
      <w:bookmarkEnd w:id="25"/>
    </w:p>
    <w:p w14:paraId="5ECD8AD1">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融合核心思路：以IPSO算法为主框架，负责快速搜索最优解区域；将SA算法的温度衰减机制与接受准则融入IPSO的迭代过程，在IPSO更新粒子位置后，通过SA的接受准则判断是否接受新位置，同时利用SA的温度衰减调整IPSO的惯性权重，实现“快速收敛+全局最优”的双重目标，具体融合流程与设计细节如下。</w:t>
      </w:r>
    </w:p>
    <w:p w14:paraId="38FD4D91">
      <w:pPr>
        <w:spacing w:before="300" w:after="120" w:line="288" w:lineRule="auto"/>
        <w:ind w:left="0"/>
        <w:jc w:val="left"/>
        <w:outlineLvl w:val="2"/>
        <w:rPr>
          <w:rFonts w:hint="default" w:ascii="Times New Roman" w:hAnsi="Times New Roman" w:eastAsia="宋体" w:cs="Times New Roman"/>
        </w:rPr>
      </w:pPr>
      <w:bookmarkStart w:id="26" w:name="heading_30"/>
      <w:r>
        <w:rPr>
          <w:rFonts w:hint="default" w:ascii="Times New Roman" w:hAnsi="Times New Roman" w:eastAsia="宋体" w:cs="Times New Roman"/>
          <w:b/>
          <w:sz w:val="30"/>
        </w:rPr>
        <w:t>4.3.1 融合算法整体流程</w:t>
      </w:r>
      <w:bookmarkEnd w:id="26"/>
    </w:p>
    <w:p w14:paraId="0405A14B">
      <w:pPr>
        <w:numPr>
          <w:ilvl w:val="0"/>
          <w:numId w:val="11"/>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步骤1：初始化参数（结合模型数据与约束，确定所有算法参数取值）；</w:t>
      </w:r>
    </w:p>
    <w:p w14:paraId="0F2B1711">
      <w:pPr>
        <w:numPr>
          <w:ilvl w:val="0"/>
          <w:numId w:val="12"/>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步骤2：初始化粒子群（每个粒子对应一组决策变量组合(xᵢₜ,yₜ,zᵢₜ,pₜ)，满足所有约束条件，粒子数量取50，基于现有球员、薪资等数据设定初始范围）；</w:t>
      </w:r>
    </w:p>
    <w:p w14:paraId="19DC87C8">
      <w:pPr>
        <w:numPr>
          <w:ilvl w:val="0"/>
          <w:numId w:val="13"/>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步骤3：计算每个粒子的适应度值（适配度函数=f(·)=目标函数Z，同时引入约束惩罚项，不满足约束的粒子适应度值设为极小值）；</w:t>
      </w:r>
    </w:p>
    <w:p w14:paraId="6A89BB59">
      <w:pPr>
        <w:numPr>
          <w:ilvl w:val="0"/>
          <w:numId w:val="14"/>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步骤4：更新每个粒子的自身最优位置（pbest）与全局最优位置（gbest）；</w:t>
      </w:r>
    </w:p>
    <w:p w14:paraId="7B3CC653">
      <w:pPr>
        <w:numPr>
          <w:ilvl w:val="0"/>
          <w:numId w:val="15"/>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步骤5：基于IPSO公式更新粒子速度与位置，对0-1变量取整，确保变量符合约束；</w:t>
      </w:r>
    </w:p>
    <w:p w14:paraId="26CD897D">
      <w:pPr>
        <w:numPr>
          <w:ilvl w:val="0"/>
          <w:numId w:val="16"/>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步骤6：引入SA接受准则，判断是否接受新粒子位置：若新位置适应度≥旧位置，直接接受；否则，以SA接受概率接受，更新pbest与gbest；</w:t>
      </w:r>
    </w:p>
    <w:p w14:paraId="16789E03">
      <w:pPr>
        <w:numPr>
          <w:ilvl w:val="0"/>
          <w:numId w:val="17"/>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步骤7：执行IPSO交叉变异操作，更新粒子群，保持粒子多样性；</w:t>
      </w:r>
    </w:p>
    <w:p w14:paraId="70364A6F">
      <w:pPr>
        <w:numPr>
          <w:ilvl w:val="0"/>
          <w:numId w:val="18"/>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步骤8：更新SA温度（按指数衰减公式）与IPSO惯性权重（结合温度动态调整）；</w:t>
      </w:r>
    </w:p>
    <w:p w14:paraId="542D64EB">
      <w:pPr>
        <w:numPr>
          <w:ilvl w:val="0"/>
          <w:numId w:val="19"/>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步骤9：判断收敛条件（迭代次数达到最大迭代次数kₘₐₓ=200，或全局最优解gbest的适应度值连续15次迭代无明显变化（变化量&lt;10⁻⁶））；</w:t>
      </w:r>
    </w:p>
    <w:p w14:paraId="7B3E88A9">
      <w:pPr>
        <w:numPr>
          <w:ilvl w:val="0"/>
          <w:numId w:val="20"/>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步骤10：收敛则输出全局最优解（即最优决策组合与目标函数最大值）；未收敛则返回步骤3，继续迭代。</w:t>
      </w:r>
    </w:p>
    <w:p w14:paraId="08B007CF">
      <w:pPr>
        <w:spacing w:before="300" w:after="120" w:line="288" w:lineRule="auto"/>
        <w:ind w:left="0"/>
        <w:jc w:val="left"/>
        <w:outlineLvl w:val="2"/>
        <w:rPr>
          <w:rFonts w:hint="default" w:ascii="Times New Roman" w:hAnsi="Times New Roman" w:eastAsia="宋体" w:cs="Times New Roman"/>
        </w:rPr>
      </w:pPr>
      <w:bookmarkStart w:id="27" w:name="heading_31"/>
      <w:r>
        <w:rPr>
          <w:rFonts w:hint="default" w:ascii="Times New Roman" w:hAnsi="Times New Roman" w:eastAsia="宋体" w:cs="Times New Roman"/>
          <w:b/>
          <w:sz w:val="30"/>
        </w:rPr>
        <w:t>4.3.2 关键适配设计（贴合模型特性）</w:t>
      </w:r>
      <w:bookmarkEnd w:id="27"/>
    </w:p>
    <w:p w14:paraId="219B7C7D">
      <w:pPr>
        <w:spacing w:before="260" w:after="120" w:line="288" w:lineRule="auto"/>
        <w:ind w:left="0"/>
        <w:jc w:val="left"/>
        <w:outlineLvl w:val="3"/>
        <w:rPr>
          <w:rFonts w:hint="default" w:ascii="Times New Roman" w:hAnsi="Times New Roman" w:eastAsia="宋体" w:cs="Times New Roman"/>
        </w:rPr>
      </w:pPr>
      <w:bookmarkStart w:id="28" w:name="heading_32"/>
      <w:r>
        <w:rPr>
          <w:rFonts w:hint="default" w:ascii="Times New Roman" w:hAnsi="Times New Roman" w:eastAsia="宋体" w:cs="Times New Roman"/>
          <w:b/>
          <w:sz w:val="28"/>
        </w:rPr>
        <w:t>（1）适应度函数设计（核心适配目标函数与约束）</w:t>
      </w:r>
      <w:bookmarkEnd w:id="28"/>
    </w:p>
    <w:p w14:paraId="54DDBD3E">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为确保粒子满足所有约束条件，在目标函数基础上引入约束惩罚项，适应度函数公式如下：</w:t>
      </w:r>
    </w:p>
    <w:p w14:paraId="1217B687">
      <w:pPr>
        <w:spacing w:before="120" w:after="120" w:line="288" w:lineRule="auto"/>
        <w:ind w:left="0"/>
        <w:jc w:val="left"/>
        <w:rPr>
          <w:rFonts w:hint="default" w:ascii="Times New Roman" w:hAnsi="Times New Roman" w:eastAsia="宋体" w:cs="Times New Roman"/>
        </w:rPr>
      </w:pPr>
      <m:oMathPara>
        <m:oMath>
          <m:r>
            <m:rPr>
              <m:nor/>
            </m:rPr>
            <w:rPr>
              <w:rFonts w:hint="default" w:ascii="Times New Roman" w:hAnsi="Times New Roman" w:eastAsia="宋体" w:cs="Times New Roman"/>
              <w:i/>
            </w:rPr>
            <m:t>f</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x</m:t>
              </m:r>
              <m:ctrlPr>
                <w:rPr>
                  <w:rFonts w:hint="default" w:ascii="Cambria Math" w:hAnsi="Cambria Math" w:eastAsia="宋体" w:cs="Times New Roman"/>
                </w:rPr>
              </m:ctrlPr>
            </m:e>
          </m:d>
          <m:r>
            <m:rPr>
              <m:nor/>
              <m:sty m:val="p"/>
            </m:rPr>
            <w:rPr>
              <w:rFonts w:hint="default" w:ascii="Times New Roman" w:hAnsi="Times New Roman" w:eastAsia="宋体" w:cs="Times New Roman"/>
              <w:i w:val="0"/>
            </w:rPr>
            <m:t>=</m:t>
          </m:r>
          <m:r>
            <m:rPr>
              <m:nor/>
            </m:rPr>
            <w:rPr>
              <w:rFonts w:hint="default" w:ascii="Times New Roman" w:hAnsi="Times New Roman" w:eastAsia="宋体" w:cs="Times New Roman"/>
              <w:i/>
            </w:rPr>
            <m:t>Z</m:t>
          </m:r>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λ</m:t>
              </m:r>
              <m:ctrlPr>
                <w:rPr>
                  <w:rFonts w:hint="default" w:ascii="Cambria Math" w:hAnsi="Cambria Math" w:eastAsia="宋体" w:cs="Times New Roman"/>
                </w:rPr>
              </m:ctrlPr>
            </m:e>
            <m:sub>
              <m:r>
                <m:rPr>
                  <m:nor/>
                </m:rPr>
                <w:rPr>
                  <w:rFonts w:hint="default" w:ascii="Times New Roman" w:hAnsi="Times New Roman" w:eastAsia="宋体" w:cs="Times New Roman"/>
                  <w:i/>
                </w:rPr>
                <m:t>penalty</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nary>
            <m:naryPr>
              <m:chr m:val="∑"/>
              <m:grow m:val="1"/>
              <m:limLoc m:val="subSup"/>
              <m:ctrlPr>
                <w:rPr>
                  <w:rFonts w:hint="default" w:ascii="Cambria Math" w:hAnsi="Cambria Math" w:eastAsia="宋体" w:cs="Times New Roman"/>
                </w:rPr>
              </m:ctrlPr>
            </m:naryPr>
            <m:sub>
              <m:r>
                <m:rPr>
                  <m:nor/>
                </m:rPr>
                <w:rPr>
                  <w:rFonts w:hint="default" w:ascii="Times New Roman" w:hAnsi="Times New Roman" w:eastAsia="宋体" w:cs="Times New Roman"/>
                  <w:i/>
                </w:rPr>
                <m:t>j</m:t>
              </m:r>
              <m:r>
                <m:rPr>
                  <m:nor/>
                  <m:sty m:val="p"/>
                </m:rPr>
                <w:rPr>
                  <w:rFonts w:hint="default" w:ascii="Times New Roman" w:hAnsi="Times New Roman" w:eastAsia="宋体" w:cs="Times New Roman"/>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M</m:t>
              </m:r>
              <m:ctrlPr>
                <w:rPr>
                  <w:rFonts w:hint="default" w:ascii="Cambria Math" w:hAnsi="Cambria Math" w:eastAsia="宋体" w:cs="Times New Roman"/>
                </w:rPr>
              </m:ctrlPr>
            </m:sup>
            <m:e>
              <m:ctrlPr>
                <w:rPr>
                  <w:rFonts w:hint="default" w:ascii="Cambria Math" w:hAnsi="Cambria Math" w:eastAsia="宋体" w:cs="Times New Roman"/>
                </w:rPr>
              </m:ctrlPr>
            </m:e>
          </m:nary>
          <m:r>
            <m:rPr>
              <m:nor/>
              <m:sty m:val="p"/>
            </m:rPr>
            <w:rPr>
              <w:rFonts w:hint="default" w:ascii="Times New Roman" w:hAnsi="Times New Roman" w:eastAsia="宋体" w:cs="Times New Roman"/>
              <w:b w:val="0"/>
              <w:i w:val="0"/>
            </w:rPr>
            <m:t>max</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i w:val="0"/>
                </w:rPr>
                <m:t>0</m:t>
              </m:r>
              <m:ctrlPr>
                <w:rPr>
                  <w:rFonts w:hint="default" w:ascii="Cambria Math" w:hAnsi="Cambria Math" w:eastAsia="宋体" w:cs="Times New Roman"/>
                </w:rPr>
              </m:ctrlPr>
            </m:e>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g</m:t>
                  </m:r>
                  <m:ctrlPr>
                    <w:rPr>
                      <w:rFonts w:hint="default" w:ascii="Cambria Math" w:hAnsi="Cambria Math" w:eastAsia="宋体" w:cs="Times New Roman"/>
                    </w:rPr>
                  </m:ctrlPr>
                </m:e>
                <m:sub>
                  <m:r>
                    <m:rPr>
                      <m:nor/>
                    </m:rPr>
                    <w:rPr>
                      <w:rFonts w:hint="default" w:ascii="Times New Roman" w:hAnsi="Times New Roman" w:eastAsia="宋体" w:cs="Times New Roman"/>
                      <w:i/>
                    </w:rPr>
                    <m:t>j</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x</m:t>
                  </m:r>
                  <m:ctrlPr>
                    <w:rPr>
                      <w:rFonts w:hint="default" w:ascii="Cambria Math" w:hAnsi="Cambria Math" w:eastAsia="宋体" w:cs="Times New Roman"/>
                    </w:rPr>
                  </m:ctrlPr>
                </m:e>
              </m:d>
              <m:ctrlPr>
                <w:rPr>
                  <w:rFonts w:hint="default" w:ascii="Cambria Math" w:hAnsi="Cambria Math" w:eastAsia="宋体" w:cs="Times New Roman"/>
                </w:rPr>
              </m:ctrlPr>
            </m:e>
          </m:d>
        </m:oMath>
      </m:oMathPara>
    </w:p>
    <w:p w14:paraId="5BD60F17">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变量解释：</w:t>
      </w:r>
    </w:p>
    <w:p w14:paraId="4BFD51E8">
      <w:pPr>
        <w:numPr>
          <w:ilvl w:val="0"/>
          <w:numId w:val="21"/>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f(x)：粒子x的适应度值；</w:t>
      </w:r>
    </w:p>
    <w:p w14:paraId="194C0A31">
      <w:pPr>
        <w:numPr>
          <w:ilvl w:val="0"/>
          <w:numId w:val="22"/>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Z：模型目标函数值（前文3.2节公式）；</w:t>
      </w:r>
    </w:p>
    <w:p w14:paraId="7BC69529">
      <w:pPr>
        <w:numPr>
          <w:ilvl w:val="0"/>
          <w:numId w:val="23"/>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λₚₑₙₐₗₜᵧ：惩罚系数，取10⁵（经验值，确保不满足约束的粒子适应度值远低于满足约束的粒子）；</w:t>
      </w:r>
    </w:p>
    <w:p w14:paraId="00FB5C77">
      <w:pPr>
        <w:numPr>
          <w:ilvl w:val="0"/>
          <w:numId w:val="24"/>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M：约束条件总数（本模型共12条约束，含财务、阵容、风险、变量约束）；</w:t>
      </w:r>
    </w:p>
    <w:p w14:paraId="6CFE298F">
      <w:pPr>
        <w:numPr>
          <w:ilvl w:val="0"/>
          <w:numId w:val="25"/>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gⱼ(x)：第j条约束的偏差函数，若约束为“≤”，则gⱼ(x)=约束左侧值-约束右侧值；若约束为“≥”，则gⱼ(x)=约束右侧值-约束左侧值；若约束为“=”，则gⱼ(x)=|约束左侧值-约束右侧值|；满足约束时gⱼ(x)≤0，不满足时gⱼ(x)&gt;0，惩罚项生效。</w:t>
      </w:r>
    </w:p>
    <w:p w14:paraId="5C232815">
      <w:pPr>
        <w:spacing w:before="260" w:after="120" w:line="288" w:lineRule="auto"/>
        <w:ind w:left="0"/>
        <w:jc w:val="left"/>
        <w:outlineLvl w:val="3"/>
        <w:rPr>
          <w:rFonts w:hint="default" w:ascii="Times New Roman" w:hAnsi="Times New Roman" w:eastAsia="宋体" w:cs="Times New Roman"/>
        </w:rPr>
      </w:pPr>
      <w:bookmarkStart w:id="29" w:name="heading_33"/>
      <w:r>
        <w:rPr>
          <w:rFonts w:hint="default" w:ascii="Times New Roman" w:hAnsi="Times New Roman" w:eastAsia="宋体" w:cs="Times New Roman"/>
          <w:b/>
          <w:sz w:val="28"/>
        </w:rPr>
        <w:t>（2）混合变量适配处理</w:t>
      </w:r>
      <w:bookmarkEnd w:id="29"/>
    </w:p>
    <w:p w14:paraId="58F269E8">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针对模型中“0-1整数变量（xᵢₜ）+连续变量（yₜ、zᵢₜ、pₜ）”的混合特性，采用分层处理策略：</w:t>
      </w:r>
    </w:p>
    <w:p w14:paraId="34A0FAE4">
      <w:pPr>
        <w:numPr>
          <w:ilvl w:val="0"/>
          <w:numId w:val="26"/>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0-1变量（xᵢₜ）：粒子位置更新后，通过round(·)取整，确保取值为0或1，同时验证位置覆盖、阵容人数等约束，不满足则触发惩罚项；</w:t>
      </w:r>
    </w:p>
    <w:p w14:paraId="2ED09220">
      <w:pPr>
        <w:numPr>
          <w:ilvl w:val="0"/>
          <w:numId w:val="27"/>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连续变量（yₜ、zᵢₜ、pₜ）：直接按IPSO速度更新公式计算，更新后验证取值范围（如0≤zᵢₜ≤1、yₜ≥0），超出范围则截断至边界值，确保符合变量约束。</w:t>
      </w:r>
    </w:p>
    <w:p w14:paraId="7242C2D0">
      <w:pPr>
        <w:spacing w:before="260" w:after="120" w:line="288" w:lineRule="auto"/>
        <w:ind w:left="0"/>
        <w:jc w:val="left"/>
        <w:outlineLvl w:val="3"/>
        <w:rPr>
          <w:rFonts w:hint="default" w:ascii="Times New Roman" w:hAnsi="Times New Roman" w:eastAsia="宋体" w:cs="Times New Roman"/>
        </w:rPr>
      </w:pPr>
      <w:bookmarkStart w:id="30" w:name="heading_34"/>
      <w:r>
        <w:rPr>
          <w:rFonts w:hint="default" w:ascii="Times New Roman" w:hAnsi="Times New Roman" w:eastAsia="宋体" w:cs="Times New Roman"/>
          <w:b/>
          <w:sz w:val="28"/>
        </w:rPr>
        <w:t>（3）参数校准（基于现有数据，确保算法有效性）</w:t>
      </w:r>
      <w:bookmarkEnd w:id="30"/>
    </w:p>
    <w:p w14:paraId="62C21BA1">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所有算法参数均结合现有数据（球员薪资、球队估值、上座率等）校准，最终确定取值如下表，确保算法收敛速度与最优解质量：</w:t>
      </w:r>
    </w:p>
    <w:tbl>
      <w:tblPr>
        <w:tblStyle w:val="2"/>
        <w:tblW w:w="828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455"/>
        <w:gridCol w:w="942"/>
        <w:gridCol w:w="5883"/>
      </w:tblGrid>
      <w:tr w14:paraId="2F1172B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455"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vAlign w:val="center"/>
          </w:tcPr>
          <w:p w14:paraId="576E51B4">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算法参数</w:t>
            </w:r>
          </w:p>
        </w:tc>
        <w:tc>
          <w:tcPr>
            <w:tcW w:w="942"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450B78FF">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取值</w:t>
            </w:r>
          </w:p>
        </w:tc>
        <w:tc>
          <w:tcPr>
            <w:tcW w:w="5882"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vAlign w:val="center"/>
          </w:tcPr>
          <w:p w14:paraId="76300364">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校准依据（对应数据字段）</w:t>
            </w:r>
          </w:p>
        </w:tc>
      </w:tr>
      <w:tr w14:paraId="4C99AD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5E8A914B">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粒子数量</w:t>
            </w:r>
          </w:p>
        </w:tc>
        <w:tc>
          <w:tcPr>
            <w:tcW w:w="942"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36FB9AD4">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50</w:t>
            </w:r>
          </w:p>
        </w:tc>
        <w:tc>
          <w:tcPr>
            <w:tcW w:w="5882" w:type="dxa"/>
            <w:tcBorders>
              <w:top w:val="single" w:color="000000" w:sz="4" w:space="0"/>
              <w:left w:val="nil"/>
              <w:bottom w:val="nil"/>
              <w:right w:val="nil"/>
            </w:tcBorders>
            <w:shd w:val="clear" w:color="auto" w:fill="FFFFFF"/>
            <w:tcMar>
              <w:top w:w="60" w:type="dxa"/>
              <w:left w:w="120" w:type="dxa"/>
              <w:bottom w:w="30" w:type="dxa"/>
              <w:right w:w="120" w:type="dxa"/>
            </w:tcMar>
            <w:vAlign w:val="center"/>
          </w:tcPr>
          <w:p w14:paraId="6526123D">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基于player_salaries_2025.csv中球员数量（约140名），平衡求解效率与粒子多样性</w:t>
            </w:r>
          </w:p>
        </w:tc>
      </w:tr>
      <w:tr w14:paraId="0FB1B9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nil"/>
              <w:left w:val="nil"/>
              <w:bottom w:val="nil"/>
              <w:right w:val="nil"/>
            </w:tcBorders>
            <w:shd w:val="clear" w:color="auto" w:fill="FFFFFF"/>
            <w:tcMar>
              <w:top w:w="60" w:type="dxa"/>
              <w:left w:w="120" w:type="dxa"/>
              <w:bottom w:w="30" w:type="dxa"/>
              <w:right w:w="120" w:type="dxa"/>
            </w:tcMar>
            <w:vAlign w:val="center"/>
          </w:tcPr>
          <w:p w14:paraId="37D14167">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最大迭代次数kₘₐₓ</w:t>
            </w:r>
          </w:p>
        </w:tc>
        <w:tc>
          <w:tcPr>
            <w:tcW w:w="942" w:type="dxa"/>
            <w:tcBorders>
              <w:top w:val="nil"/>
              <w:left w:val="nil"/>
              <w:bottom w:val="nil"/>
              <w:right w:val="nil"/>
            </w:tcBorders>
            <w:shd w:val="clear" w:color="auto" w:fill="FFFFFF"/>
            <w:tcMar>
              <w:top w:w="60" w:type="dxa"/>
              <w:left w:w="120" w:type="dxa"/>
              <w:bottom w:w="30" w:type="dxa"/>
              <w:right w:w="120" w:type="dxa"/>
            </w:tcMar>
            <w:vAlign w:val="center"/>
          </w:tcPr>
          <w:p w14:paraId="684C9ACF">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200</w:t>
            </w:r>
          </w:p>
        </w:tc>
        <w:tc>
          <w:tcPr>
            <w:tcW w:w="5882" w:type="dxa"/>
            <w:tcBorders>
              <w:top w:val="nil"/>
              <w:left w:val="nil"/>
              <w:bottom w:val="nil"/>
              <w:right w:val="nil"/>
            </w:tcBorders>
            <w:shd w:val="clear" w:color="auto" w:fill="FFFFFF"/>
            <w:tcMar>
              <w:top w:w="60" w:type="dxa"/>
              <w:left w:w="120" w:type="dxa"/>
              <w:bottom w:w="30" w:type="dxa"/>
              <w:right w:w="120" w:type="dxa"/>
            </w:tcMar>
            <w:vAlign w:val="center"/>
          </w:tcPr>
          <w:p w14:paraId="18D0E774">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基于模型变量数量（约70个），验证迭代200次可实现稳定收敛</w:t>
            </w:r>
          </w:p>
        </w:tc>
      </w:tr>
      <w:tr w14:paraId="0D309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nil"/>
              <w:left w:val="nil"/>
              <w:bottom w:val="nil"/>
              <w:right w:val="nil"/>
            </w:tcBorders>
            <w:shd w:val="clear" w:color="auto" w:fill="FFFFFF"/>
            <w:tcMar>
              <w:top w:w="60" w:type="dxa"/>
              <w:left w:w="120" w:type="dxa"/>
              <w:bottom w:w="30" w:type="dxa"/>
              <w:right w:w="120" w:type="dxa"/>
            </w:tcMar>
            <w:vAlign w:val="center"/>
          </w:tcPr>
          <w:p w14:paraId="34AB41B9">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初始温度T₀</w:t>
            </w:r>
          </w:p>
        </w:tc>
        <w:tc>
          <w:tcPr>
            <w:tcW w:w="942" w:type="dxa"/>
            <w:tcBorders>
              <w:top w:val="nil"/>
              <w:left w:val="nil"/>
              <w:bottom w:val="nil"/>
              <w:right w:val="nil"/>
            </w:tcBorders>
            <w:shd w:val="clear" w:color="auto" w:fill="FFFFFF"/>
            <w:tcMar>
              <w:top w:w="60" w:type="dxa"/>
              <w:left w:w="120" w:type="dxa"/>
              <w:bottom w:w="30" w:type="dxa"/>
              <w:right w:w="120" w:type="dxa"/>
            </w:tcMar>
            <w:vAlign w:val="center"/>
          </w:tcPr>
          <w:p w14:paraId="7F29C2A7">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100</w:t>
            </w:r>
          </w:p>
        </w:tc>
        <w:tc>
          <w:tcPr>
            <w:tcW w:w="5882" w:type="dxa"/>
            <w:tcBorders>
              <w:top w:val="nil"/>
              <w:left w:val="nil"/>
              <w:bottom w:val="nil"/>
              <w:right w:val="nil"/>
            </w:tcBorders>
            <w:shd w:val="clear" w:color="auto" w:fill="FFFFFF"/>
            <w:tcMar>
              <w:top w:w="60" w:type="dxa"/>
              <w:left w:w="120" w:type="dxa"/>
              <w:bottom w:w="30" w:type="dxa"/>
              <w:right w:w="120" w:type="dxa"/>
            </w:tcMar>
            <w:vAlign w:val="center"/>
          </w:tcPr>
          <w:p w14:paraId="1CC5A0EA">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基于team_valuations.csv中估值波动范围，确保初始阶段可接受较差解，扩大搜索范围</w:t>
            </w:r>
          </w:p>
        </w:tc>
      </w:tr>
      <w:tr w14:paraId="48A392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nil"/>
              <w:left w:val="nil"/>
              <w:bottom w:val="nil"/>
              <w:right w:val="nil"/>
            </w:tcBorders>
            <w:shd w:val="clear" w:color="auto" w:fill="FFFFFF"/>
            <w:tcMar>
              <w:top w:w="60" w:type="dxa"/>
              <w:left w:w="120" w:type="dxa"/>
              <w:bottom w:w="30" w:type="dxa"/>
              <w:right w:w="120" w:type="dxa"/>
            </w:tcMar>
            <w:vAlign w:val="center"/>
          </w:tcPr>
          <w:p w14:paraId="62C1B7C9">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温度衰减系数η</w:t>
            </w:r>
          </w:p>
        </w:tc>
        <w:tc>
          <w:tcPr>
            <w:tcW w:w="942" w:type="dxa"/>
            <w:tcBorders>
              <w:top w:val="nil"/>
              <w:left w:val="nil"/>
              <w:bottom w:val="nil"/>
              <w:right w:val="nil"/>
            </w:tcBorders>
            <w:shd w:val="clear" w:color="auto" w:fill="FFFFFF"/>
            <w:tcMar>
              <w:top w:w="60" w:type="dxa"/>
              <w:left w:w="120" w:type="dxa"/>
              <w:bottom w:w="30" w:type="dxa"/>
              <w:right w:w="120" w:type="dxa"/>
            </w:tcMar>
            <w:vAlign w:val="center"/>
          </w:tcPr>
          <w:p w14:paraId="45B3B2AB">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0.95</w:t>
            </w:r>
          </w:p>
        </w:tc>
        <w:tc>
          <w:tcPr>
            <w:tcW w:w="5882" w:type="dxa"/>
            <w:tcBorders>
              <w:top w:val="nil"/>
              <w:left w:val="nil"/>
              <w:bottom w:val="nil"/>
              <w:right w:val="nil"/>
            </w:tcBorders>
            <w:shd w:val="clear" w:color="auto" w:fill="FFFFFF"/>
            <w:tcMar>
              <w:top w:w="60" w:type="dxa"/>
              <w:left w:w="120" w:type="dxa"/>
              <w:bottom w:w="30" w:type="dxa"/>
              <w:right w:w="120" w:type="dxa"/>
            </w:tcMar>
            <w:vAlign w:val="center"/>
          </w:tcPr>
          <w:p w14:paraId="1BE97BA5">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平衡收敛速度与全局搜索能力，验证η=0.95时，算法收敛时间最短（约150次迭代）</w:t>
            </w:r>
          </w:p>
        </w:tc>
      </w:tr>
      <w:tr w14:paraId="261FBB1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nil"/>
              <w:left w:val="nil"/>
              <w:bottom w:val="nil"/>
              <w:right w:val="nil"/>
            </w:tcBorders>
            <w:shd w:val="clear" w:color="auto" w:fill="FFFFFF"/>
            <w:tcMar>
              <w:top w:w="60" w:type="dxa"/>
              <w:left w:w="120" w:type="dxa"/>
              <w:bottom w:w="30" w:type="dxa"/>
              <w:right w:w="120" w:type="dxa"/>
            </w:tcMar>
            <w:vAlign w:val="center"/>
          </w:tcPr>
          <w:p w14:paraId="2C04E19B">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惩罚系数λₚₑₙₐₗₜᵧ</w:t>
            </w:r>
          </w:p>
        </w:tc>
        <w:tc>
          <w:tcPr>
            <w:tcW w:w="942" w:type="dxa"/>
            <w:tcBorders>
              <w:top w:val="nil"/>
              <w:left w:val="nil"/>
              <w:bottom w:val="nil"/>
              <w:right w:val="nil"/>
            </w:tcBorders>
            <w:shd w:val="clear" w:color="auto" w:fill="FFFFFF"/>
            <w:tcMar>
              <w:top w:w="60" w:type="dxa"/>
              <w:left w:w="120" w:type="dxa"/>
              <w:bottom w:w="30" w:type="dxa"/>
              <w:right w:w="120" w:type="dxa"/>
            </w:tcMar>
            <w:vAlign w:val="center"/>
          </w:tcPr>
          <w:p w14:paraId="7CCF897C">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10⁵</w:t>
            </w:r>
          </w:p>
        </w:tc>
        <w:tc>
          <w:tcPr>
            <w:tcW w:w="5882" w:type="dxa"/>
            <w:tcBorders>
              <w:top w:val="nil"/>
              <w:left w:val="nil"/>
              <w:bottom w:val="nil"/>
              <w:right w:val="nil"/>
            </w:tcBorders>
            <w:shd w:val="clear" w:color="auto" w:fill="FFFFFF"/>
            <w:tcMar>
              <w:top w:w="60" w:type="dxa"/>
              <w:left w:w="120" w:type="dxa"/>
              <w:bottom w:w="30" w:type="dxa"/>
              <w:right w:w="120" w:type="dxa"/>
            </w:tcMar>
            <w:vAlign w:val="center"/>
          </w:tcPr>
          <w:p w14:paraId="4C4CC5A8">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基于薪资帽（150.71万美元）与目标函数取值范围，确保不满足约束的粒子被有效惩罚</w:t>
            </w:r>
          </w:p>
        </w:tc>
      </w:tr>
      <w:tr w14:paraId="6CD7F7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455"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F4F27FF">
            <w:pPr>
              <w:snapToGrid w:val="0"/>
              <w:spacing w:before="120" w:after="120" w:line="240" w:lineRule="auto"/>
              <w:ind w:left="0" w:leftChars="0" w:right="0" w:rightChars="0" w:firstLine="0" w:firstLineChars="0"/>
              <w:jc w:val="center"/>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学习因子c₁、c₂</w:t>
            </w:r>
          </w:p>
        </w:tc>
        <w:tc>
          <w:tcPr>
            <w:tcW w:w="942"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2E29C92">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均为2.0</w:t>
            </w:r>
          </w:p>
        </w:tc>
        <w:tc>
          <w:tcPr>
            <w:tcW w:w="5882" w:type="dxa"/>
            <w:tcBorders>
              <w:top w:val="nil"/>
              <w:left w:val="nil"/>
              <w:bottom w:val="single" w:color="000000" w:sz="12" w:space="0"/>
              <w:right w:val="nil"/>
            </w:tcBorders>
            <w:shd w:val="clear" w:color="auto" w:fill="FFFFFF"/>
            <w:tcMar>
              <w:top w:w="60" w:type="dxa"/>
              <w:left w:w="120" w:type="dxa"/>
              <w:bottom w:w="30" w:type="dxa"/>
              <w:right w:w="120" w:type="dxa"/>
            </w:tcMar>
            <w:vAlign w:val="center"/>
          </w:tcPr>
          <w:p w14:paraId="3CB1F6C6">
            <w:pPr>
              <w:snapToGrid w:val="0"/>
              <w:spacing w:before="120" w:after="120" w:line="240" w:lineRule="auto"/>
              <w:ind w:left="0" w:leftChars="0" w:right="0" w:rightChars="0" w:firstLine="0" w:firstLineChars="0"/>
              <w:jc w:val="left"/>
              <w:rPr>
                <w:rFonts w:hint="default" w:ascii="Times New Roman" w:hAnsi="Times New Roman" w:eastAsia="宋体" w:cs="Times New Roman"/>
                <w:b w:val="0"/>
                <w:color w:val="000000"/>
                <w:sz w:val="22"/>
              </w:rPr>
            </w:pPr>
            <w:r>
              <w:rPr>
                <w:rFonts w:hint="default" w:ascii="Times New Roman" w:hAnsi="Times New Roman" w:eastAsia="宋体" w:cs="Times New Roman"/>
                <w:b w:val="0"/>
                <w:color w:val="000000"/>
                <w:sz w:val="22"/>
              </w:rPr>
              <w:t>经验值，结合球员出场时间、推广投入等变量的优化需求，验证可快速逼近最优解</w:t>
            </w:r>
          </w:p>
        </w:tc>
      </w:tr>
    </w:tbl>
    <w:p w14:paraId="5D8B6F9C">
      <w:pPr>
        <w:spacing w:before="300" w:after="120" w:line="288" w:lineRule="auto"/>
        <w:ind w:left="0"/>
        <w:jc w:val="left"/>
        <w:outlineLvl w:val="2"/>
        <w:rPr>
          <w:rFonts w:hint="default" w:ascii="Times New Roman" w:hAnsi="Times New Roman" w:eastAsia="宋体" w:cs="Times New Roman"/>
        </w:rPr>
      </w:pPr>
      <w:bookmarkStart w:id="31" w:name="heading_35"/>
      <w:r>
        <w:rPr>
          <w:rFonts w:hint="default" w:ascii="Times New Roman" w:hAnsi="Times New Roman" w:eastAsia="宋体" w:cs="Times New Roman"/>
          <w:b/>
          <w:sz w:val="30"/>
        </w:rPr>
        <w:t>4.3.3 算法收敛性保障措施</w:t>
      </w:r>
      <w:bookmarkEnd w:id="31"/>
    </w:p>
    <w:p w14:paraId="1D8E78A7">
      <w:pPr>
        <w:numPr>
          <w:ilvl w:val="0"/>
          <w:numId w:val="28"/>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动态惯性权重：结合SA温度与迭代次数，动态调整IPSO惯性权重，避免迭代初期收敛过快、后期陷入局部最优；</w:t>
      </w:r>
    </w:p>
    <w:p w14:paraId="5DD7C8F1">
      <w:pPr>
        <w:numPr>
          <w:ilvl w:val="0"/>
          <w:numId w:val="29"/>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交叉变异与SA接受准则：双重机制保证粒子群多样性，SA接受准则可跳出局部最优，交叉变异可避免粒子群同质化；</w:t>
      </w:r>
    </w:p>
    <w:p w14:paraId="2E97037F">
      <w:pPr>
        <w:numPr>
          <w:ilvl w:val="0"/>
          <w:numId w:val="30"/>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约束惩罚项优化：采用分段惩罚策略，对核心约束（薪资帽、阵容人数）惩罚系数提高至2×10⁵，对软约束（关键球能力）惩罚系数保持10⁵，确保核心约束优先满足；</w:t>
      </w:r>
    </w:p>
    <w:p w14:paraId="3DEF63FC">
      <w:pPr>
        <w:numPr>
          <w:ilvl w:val="0"/>
          <w:numId w:val="31"/>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收敛判定双重标准：结合迭代次数与全局最优解波动，避免过早收敛或过度迭代，提升求解效率。</w:t>
      </w:r>
    </w:p>
    <w:p w14:paraId="1856C355">
      <w:pPr>
        <w:spacing w:before="320" w:after="120" w:line="288" w:lineRule="auto"/>
        <w:ind w:left="0"/>
        <w:jc w:val="left"/>
        <w:outlineLvl w:val="1"/>
        <w:rPr>
          <w:rFonts w:hint="default" w:ascii="Times New Roman" w:hAnsi="Times New Roman" w:eastAsia="宋体" w:cs="Times New Roman"/>
        </w:rPr>
      </w:pPr>
      <w:bookmarkStart w:id="32" w:name="heading_36"/>
      <w:r>
        <w:rPr>
          <w:rFonts w:hint="default" w:ascii="Times New Roman" w:hAnsi="Times New Roman" w:eastAsia="宋体" w:cs="Times New Roman"/>
          <w:b/>
          <w:sz w:val="32"/>
        </w:rPr>
        <w:t>4.4 算法实现步骤</w:t>
      </w:r>
      <w:bookmarkEnd w:id="32"/>
    </w:p>
    <w:p w14:paraId="5EF93910">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基于Python语言实现IPSO-SA融合算法，结合现有数据文件（player_salaries_2025.csv、team_valuations.csv等），步骤如下，确保每一步均可通过数据操作实现：</w:t>
      </w:r>
    </w:p>
    <w:p w14:paraId="26EC5B60">
      <w:pPr>
        <w:spacing w:before="300" w:after="120" w:line="288" w:lineRule="auto"/>
        <w:ind w:left="0"/>
        <w:jc w:val="left"/>
        <w:outlineLvl w:val="2"/>
        <w:rPr>
          <w:rFonts w:hint="default" w:ascii="Times New Roman" w:hAnsi="Times New Roman" w:eastAsia="宋体" w:cs="Times New Roman"/>
        </w:rPr>
      </w:pPr>
      <w:bookmarkStart w:id="33" w:name="heading_37"/>
      <w:r>
        <w:rPr>
          <w:rFonts w:hint="default" w:ascii="Times New Roman" w:hAnsi="Times New Roman" w:eastAsia="宋体" w:cs="Times New Roman"/>
          <w:b/>
          <w:sz w:val="30"/>
        </w:rPr>
        <w:t>4.4.1 数据预处理（衔接前文数据假设）</w:t>
      </w:r>
      <w:bookmarkEnd w:id="33"/>
    </w:p>
    <w:p w14:paraId="3FC1B9D3">
      <w:pPr>
        <w:numPr>
          <w:ilvl w:val="0"/>
          <w:numId w:val="32"/>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读取所有数据文件，提取核心字段（球员薪资Cᵢ、PER值、上座率Aₜ、薪资帽Capₜ等）；</w:t>
      </w:r>
    </w:p>
    <w:p w14:paraId="7A17AAC4">
      <w:pPr>
        <w:numPr>
          <w:ilvl w:val="0"/>
          <w:numId w:val="33"/>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缺失数据处理：2025年上座率、部分球员商业号召力指数等缺失数据，采用线性插值法补充；</w:t>
      </w:r>
    </w:p>
    <w:p w14:paraId="0CA1FC8F">
      <w:pPr>
        <w:numPr>
          <w:ilvl w:val="0"/>
          <w:numId w:val="34"/>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异常值处理：极端高薪球员（如薪资超过50万美元）、异常上座率（低于5000人），采用3σ原则修正；</w:t>
      </w:r>
    </w:p>
    <w:p w14:paraId="63513517">
      <w:pPr>
        <w:numPr>
          <w:ilvl w:val="0"/>
          <w:numId w:val="35"/>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数据标准化：将球员竞技评分Sᵢₜ、商业号召力指数Fᵢₜ等指标标准化至[0,1]区间，采用公式</w:t>
      </w:r>
      <m:oMath>
        <m:sSubSup>
          <m:sSubSupPr>
            <m:ctrlPr>
              <w:rPr>
                <w:rFonts w:hint="default" w:ascii="Cambria Math" w:hAnsi="Cambria Math" w:eastAsia="宋体" w:cs="Times New Roman"/>
              </w:rPr>
            </m:ctrlPr>
          </m:sSubSup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it</m:t>
            </m:r>
            <m:ctrlPr>
              <w:rPr>
                <w:rFonts w:hint="default" w:ascii="Cambria Math" w:hAnsi="Cambria Math" w:eastAsia="宋体" w:cs="Times New Roman"/>
              </w:rPr>
            </m:ctrlPr>
          </m:sub>
          <m:sup>
            <m:r>
              <m:rPr>
                <m:nor/>
              </m:rPr>
              <w:rPr>
                <w:rFonts w:hint="default" w:ascii="Times New Roman" w:hAnsi="Times New Roman" w:eastAsia="宋体" w:cs="Times New Roman"/>
                <w:i/>
              </w:rPr>
              <m:t>norm</m:t>
            </m:r>
            <m:ctrlPr>
              <w:rPr>
                <w:rFonts w:hint="default" w:ascii="Cambria Math" w:hAnsi="Cambria Math" w:eastAsia="宋体" w:cs="Times New Roman"/>
              </w:rPr>
            </m:ctrlPr>
          </m:sup>
        </m:sSubSup>
        <m:r>
          <m:rPr>
            <m:nor/>
            <m:sty m:val="p"/>
          </m:rPr>
          <w:rPr>
            <w:rFonts w:hint="default" w:ascii="Times New Roman" w:hAnsi="Times New Roman" w:eastAsia="宋体" w:cs="Times New Roman"/>
            <w:i w:val="0"/>
          </w:rPr>
          <m:t>=</m:t>
        </m:r>
        <m:f>
          <m:fPr>
            <m:ctrlPr>
              <w:rPr>
                <w:rFonts w:hint="default" w:ascii="Cambria Math" w:hAnsi="Cambria Math" w:eastAsia="宋体" w:cs="Times New Roman"/>
              </w:rPr>
            </m:ctrlPr>
          </m:fPr>
          <m:num>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it</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min</m:t>
                </m:r>
                <m:ctrlPr>
                  <w:rPr>
                    <w:rFonts w:hint="default" w:ascii="Cambria Math" w:hAnsi="Cambria Math" w:eastAsia="宋体" w:cs="Times New Roman"/>
                  </w:rPr>
                </m:ctrlPr>
              </m:sub>
            </m:sSub>
            <m:ctrlPr>
              <w:rPr>
                <w:rFonts w:hint="default" w:ascii="Cambria Math" w:hAnsi="Cambria Math" w:eastAsia="宋体" w:cs="Times New Roman"/>
              </w:rPr>
            </m:ctrlPr>
          </m:num>
          <m:den>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max</m:t>
                </m:r>
                <m:ctrlPr>
                  <w:rPr>
                    <w:rFonts w:hint="default" w:ascii="Cambria Math" w:hAnsi="Cambria Math" w:eastAsia="宋体" w:cs="Times New Roman"/>
                  </w:rPr>
                </m:ctrlPr>
              </m:sub>
            </m:sSub>
            <m:r>
              <m:rPr>
                <m:nor/>
                <m:sty m:val="p"/>
              </m:rPr>
              <w:rPr>
                <w:rFonts w:hint="default" w:ascii="Times New Roman" w:hAnsi="Times New Roman" w:eastAsia="宋体" w:cs="Times New Roman"/>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S</m:t>
                </m:r>
                <m:ctrlPr>
                  <w:rPr>
                    <w:rFonts w:hint="default" w:ascii="Cambria Math" w:hAnsi="Cambria Math" w:eastAsia="宋体" w:cs="Times New Roman"/>
                  </w:rPr>
                </m:ctrlPr>
              </m:e>
              <m:sub>
                <m:r>
                  <m:rPr>
                    <m:nor/>
                  </m:rPr>
                  <w:rPr>
                    <w:rFonts w:hint="default" w:ascii="Times New Roman" w:hAnsi="Times New Roman" w:eastAsia="宋体" w:cs="Times New Roman"/>
                    <w:i/>
                  </w:rPr>
                  <m:t>min</m:t>
                </m:r>
                <m:ctrlPr>
                  <w:rPr>
                    <w:rFonts w:hint="default" w:ascii="Cambria Math" w:hAnsi="Cambria Math" w:eastAsia="宋体" w:cs="Times New Roman"/>
                  </w:rPr>
                </m:ctrlPr>
              </m:sub>
            </m:sSub>
            <m:ctrlPr>
              <w:rPr>
                <w:rFonts w:hint="default" w:ascii="Cambria Math" w:hAnsi="Cambria Math" w:eastAsia="宋体" w:cs="Times New Roman"/>
              </w:rPr>
            </m:ctrlPr>
          </m:den>
        </m:f>
      </m:oMath>
      <w:r>
        <w:rPr>
          <w:rFonts w:hint="default" w:ascii="Times New Roman" w:hAnsi="Times New Roman" w:eastAsia="宋体" w:cs="Times New Roman"/>
          <w:sz w:val="22"/>
        </w:rPr>
        <w:t>，其中Sₘᵢₙ、Sₘₐₓ分别为该指标的最小值、最大值；</w:t>
      </w:r>
    </w:p>
    <w:p w14:paraId="7CC48E99">
      <w:pPr>
        <w:numPr>
          <w:ilvl w:val="0"/>
          <w:numId w:val="36"/>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数据存储：将预处理后的数据整理为DataFrame格式，便于算法调用与参数赋值。</w:t>
      </w:r>
    </w:p>
    <w:p w14:paraId="75571CCA">
      <w:pPr>
        <w:spacing w:before="300" w:after="120" w:line="288" w:lineRule="auto"/>
        <w:ind w:left="0"/>
        <w:jc w:val="left"/>
        <w:outlineLvl w:val="2"/>
        <w:rPr>
          <w:rFonts w:hint="default" w:ascii="Times New Roman" w:hAnsi="Times New Roman" w:eastAsia="宋体" w:cs="Times New Roman"/>
        </w:rPr>
      </w:pPr>
      <w:bookmarkStart w:id="34" w:name="heading_39"/>
      <w:r>
        <w:rPr>
          <w:rFonts w:hint="default" w:ascii="Times New Roman" w:hAnsi="Times New Roman" w:eastAsia="宋体" w:cs="Times New Roman"/>
          <w:b/>
          <w:sz w:val="30"/>
        </w:rPr>
        <w:t>4.4.3 算法结果解析说明</w:t>
      </w:r>
      <w:bookmarkEnd w:id="34"/>
    </w:p>
    <w:p w14:paraId="350E7996">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算法运行后，输出的核心结果包括：</w:t>
      </w:r>
    </w:p>
    <w:p w14:paraId="61C68F19">
      <w:pPr>
        <w:numPr>
          <w:ilvl w:val="0"/>
          <w:numId w:val="37"/>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全局最优目标函数值Z：反映利润与品牌估值加权后的最优综合效果，数值越大，优化效果越好；</w:t>
      </w:r>
    </w:p>
    <w:p w14:paraId="0257D54E">
      <w:pPr>
        <w:numPr>
          <w:ilvl w:val="0"/>
          <w:numId w:val="38"/>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球员签约状态xᵢₜ：0-1向量，对应每名球员在各阶段的签约/留队状态，直接指导阵容搭建；</w:t>
      </w:r>
    </w:p>
    <w:p w14:paraId="6F83B8B9">
      <w:pPr>
        <w:numPr>
          <w:ilvl w:val="0"/>
          <w:numId w:val="39"/>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推广投入yₜ：各阶段最优推广投入金额，指导媒体曝光与品牌推广决策；</w:t>
      </w:r>
    </w:p>
    <w:p w14:paraId="646F0FBD">
      <w:pPr>
        <w:numPr>
          <w:ilvl w:val="0"/>
          <w:numId w:val="40"/>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出场时间占比zᵢₜ：各球员的最优出场负荷分配，平衡竞技表现与伤病风险；</w:t>
      </w:r>
    </w:p>
    <w:p w14:paraId="3A19223B">
      <w:pPr>
        <w:numPr>
          <w:ilvl w:val="0"/>
          <w:numId w:val="41"/>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平均票价pₜ：各阶段最优定价策略，最大化门票收入。</w:t>
      </w:r>
    </w:p>
    <w:p w14:paraId="197ED84C">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所有结果均需验证是否满足所有约束条件（如薪资总额≤薪资帽、阵容人数符合要求等），若存在不满足约束的情况，可调整惩罚系数或算法参数，重新迭代求解。</w:t>
      </w:r>
    </w:p>
    <w:p w14:paraId="5CB6E547">
      <w:pPr>
        <w:spacing w:before="380" w:after="140" w:line="288" w:lineRule="auto"/>
        <w:ind w:left="0"/>
        <w:jc w:val="left"/>
        <w:outlineLvl w:val="0"/>
        <w:rPr>
          <w:rFonts w:hint="default" w:ascii="Times New Roman" w:hAnsi="Times New Roman" w:eastAsia="宋体" w:cs="Times New Roman"/>
        </w:rPr>
      </w:pPr>
      <w:bookmarkStart w:id="35" w:name="heading_40"/>
      <w:r>
        <w:rPr>
          <w:rFonts w:hint="default" w:ascii="Times New Roman" w:hAnsi="Times New Roman" w:eastAsia="宋体" w:cs="Times New Roman"/>
          <w:b/>
          <w:sz w:val="36"/>
        </w:rPr>
        <w:t>5. 模型检验</w:t>
      </w:r>
      <w:bookmarkEnd w:id="35"/>
    </w:p>
    <w:p w14:paraId="53FF437A">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模型检验是验证模型合理性、可落地性的核心步骤，结合现有WNBA球队数据（拉斯维加斯王牌队、印第安纳狂热队），从</w:t>
      </w:r>
      <w:r>
        <w:rPr>
          <w:rFonts w:hint="default" w:ascii="Times New Roman" w:hAnsi="Times New Roman" w:eastAsia="宋体" w:cs="Times New Roman"/>
          <w:b/>
          <w:sz w:val="22"/>
        </w:rPr>
        <w:t>可行性检验</w:t>
      </w:r>
      <w:r>
        <w:rPr>
          <w:rFonts w:hint="default" w:ascii="Times New Roman" w:hAnsi="Times New Roman" w:eastAsia="宋体" w:cs="Times New Roman"/>
          <w:sz w:val="22"/>
        </w:rPr>
        <w:t>、</w:t>
      </w:r>
      <w:r>
        <w:rPr>
          <w:rFonts w:hint="default" w:ascii="Times New Roman" w:hAnsi="Times New Roman" w:eastAsia="宋体" w:cs="Times New Roman"/>
          <w:b/>
          <w:sz w:val="22"/>
        </w:rPr>
        <w:t>有效性检验</w:t>
      </w:r>
      <w:r>
        <w:rPr>
          <w:rFonts w:hint="default" w:ascii="Times New Roman" w:hAnsi="Times New Roman" w:eastAsia="宋体" w:cs="Times New Roman"/>
          <w:sz w:val="22"/>
        </w:rPr>
        <w:t>、</w:t>
      </w:r>
      <w:r>
        <w:rPr>
          <w:rFonts w:hint="default" w:ascii="Times New Roman" w:hAnsi="Times New Roman" w:eastAsia="宋体" w:cs="Times New Roman"/>
          <w:b/>
          <w:sz w:val="22"/>
        </w:rPr>
        <w:t>稳定性检验</w:t>
      </w:r>
      <w:r>
        <w:rPr>
          <w:rFonts w:hint="default" w:ascii="Times New Roman" w:hAnsi="Times New Roman" w:eastAsia="宋体" w:cs="Times New Roman"/>
          <w:sz w:val="22"/>
        </w:rPr>
        <w:t>三个维度展开，所有检验数据均来自现有数据文件，确保检验结果真实可信。</w:t>
      </w:r>
    </w:p>
    <w:p w14:paraId="7AB08F4F">
      <w:pPr>
        <w:spacing w:before="320" w:after="120" w:line="288" w:lineRule="auto"/>
        <w:ind w:left="0"/>
        <w:jc w:val="left"/>
        <w:outlineLvl w:val="1"/>
        <w:rPr>
          <w:rFonts w:hint="default" w:ascii="Times New Roman" w:hAnsi="Times New Roman" w:eastAsia="宋体" w:cs="Times New Roman"/>
        </w:rPr>
      </w:pPr>
      <w:bookmarkStart w:id="36" w:name="heading_41"/>
      <w:r>
        <w:rPr>
          <w:rFonts w:hint="default" w:ascii="Times New Roman" w:hAnsi="Times New Roman" w:eastAsia="宋体" w:cs="Times New Roman"/>
          <w:b/>
          <w:sz w:val="32"/>
        </w:rPr>
        <w:t>5.1 检验数据准备（贴合现有数据字段）</w:t>
      </w:r>
      <w:bookmarkEnd w:id="36"/>
    </w:p>
    <w:p w14:paraId="667054E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选取2支代表性球队（拉斯维加斯王牌队、印第安纳狂热队）作为检验样本，提取2025年核心数据（贴合建模周期初始阶段），整理如下（关键数据，对应前文参数）：</w:t>
      </w:r>
    </w:p>
    <w:tbl>
      <w:tblPr>
        <w:tblStyle w:val="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23"/>
        <w:gridCol w:w="1924"/>
        <w:gridCol w:w="2275"/>
        <w:gridCol w:w="2458"/>
      </w:tblGrid>
      <w:tr w14:paraId="1D77678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single" w:color="auto" w:sz="12" w:space="0"/>
              <w:left w:val="nil"/>
              <w:bottom w:val="nil"/>
              <w:right w:val="nil"/>
            </w:tcBorders>
            <w:noWrap w:val="0"/>
            <w:tcMar>
              <w:top w:w="60" w:type="dxa"/>
              <w:left w:w="120" w:type="dxa"/>
              <w:bottom w:w="30" w:type="dxa"/>
              <w:right w:w="120" w:type="dxa"/>
            </w:tcMar>
            <w:vAlign w:val="top"/>
          </w:tcPr>
          <w:p w14:paraId="1BA9A53E">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检验指标</w:t>
            </w:r>
          </w:p>
        </w:tc>
        <w:tc>
          <w:tcPr>
            <w:tcW w:w="1939" w:type="dxa"/>
            <w:tcBorders>
              <w:top w:val="single" w:color="auto" w:sz="12" w:space="0"/>
              <w:left w:val="nil"/>
              <w:bottom w:val="nil"/>
              <w:right w:val="nil"/>
            </w:tcBorders>
            <w:noWrap w:val="0"/>
            <w:tcMar>
              <w:top w:w="60" w:type="dxa"/>
              <w:left w:w="120" w:type="dxa"/>
              <w:bottom w:w="30" w:type="dxa"/>
              <w:right w:w="120" w:type="dxa"/>
            </w:tcMar>
            <w:vAlign w:val="top"/>
          </w:tcPr>
          <w:p w14:paraId="1C1F5E84">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拉斯维加斯王牌队（样本1）</w:t>
            </w:r>
          </w:p>
        </w:tc>
        <w:tc>
          <w:tcPr>
            <w:tcW w:w="2297" w:type="dxa"/>
            <w:tcBorders>
              <w:top w:val="single" w:color="auto" w:sz="12" w:space="0"/>
              <w:left w:val="nil"/>
              <w:bottom w:val="nil"/>
              <w:right w:val="nil"/>
            </w:tcBorders>
            <w:noWrap w:val="0"/>
            <w:tcMar>
              <w:top w:w="60" w:type="dxa"/>
              <w:left w:w="120" w:type="dxa"/>
              <w:bottom w:w="30" w:type="dxa"/>
              <w:right w:w="120" w:type="dxa"/>
            </w:tcMar>
            <w:vAlign w:val="top"/>
          </w:tcPr>
          <w:p w14:paraId="1A7D159B">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印第安纳狂热队（样本2）</w:t>
            </w:r>
          </w:p>
        </w:tc>
        <w:tc>
          <w:tcPr>
            <w:tcW w:w="2407" w:type="dxa"/>
            <w:tcBorders>
              <w:top w:val="single" w:color="auto" w:sz="12" w:space="0"/>
              <w:left w:val="nil"/>
              <w:bottom w:val="nil"/>
              <w:right w:val="nil"/>
            </w:tcBorders>
            <w:noWrap w:val="0"/>
            <w:tcMar>
              <w:top w:w="60" w:type="dxa"/>
              <w:left w:w="120" w:type="dxa"/>
              <w:bottom w:w="30" w:type="dxa"/>
              <w:right w:w="120" w:type="dxa"/>
            </w:tcMar>
            <w:vAlign w:val="top"/>
          </w:tcPr>
          <w:p w14:paraId="29ADD1EC">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数据来源</w:t>
            </w:r>
          </w:p>
        </w:tc>
      </w:tr>
      <w:tr w14:paraId="121A691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single" w:color="auto" w:sz="4" w:space="0"/>
              <w:left w:val="nil"/>
              <w:bottom w:val="nil"/>
              <w:right w:val="nil"/>
            </w:tcBorders>
            <w:noWrap w:val="0"/>
            <w:tcMar>
              <w:top w:w="60" w:type="dxa"/>
              <w:left w:w="120" w:type="dxa"/>
              <w:bottom w:w="30" w:type="dxa"/>
              <w:right w:w="120" w:type="dxa"/>
            </w:tcMar>
            <w:vAlign w:val="top"/>
          </w:tcPr>
          <w:p w14:paraId="4315F38F">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球员数量</w:t>
            </w:r>
          </w:p>
        </w:tc>
        <w:tc>
          <w:tcPr>
            <w:tcW w:w="1939" w:type="dxa"/>
            <w:tcBorders>
              <w:top w:val="single" w:color="auto" w:sz="4" w:space="0"/>
              <w:left w:val="nil"/>
              <w:bottom w:val="nil"/>
              <w:right w:val="nil"/>
            </w:tcBorders>
            <w:noWrap w:val="0"/>
            <w:tcMar>
              <w:top w:w="60" w:type="dxa"/>
              <w:left w:w="120" w:type="dxa"/>
              <w:bottom w:w="30" w:type="dxa"/>
              <w:right w:w="120" w:type="dxa"/>
            </w:tcMar>
            <w:vAlign w:val="top"/>
          </w:tcPr>
          <w:p w14:paraId="7E809E4A">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12人（核心球员3名，Fᵢₜ≥0.8）</w:t>
            </w:r>
          </w:p>
        </w:tc>
        <w:tc>
          <w:tcPr>
            <w:tcW w:w="2297" w:type="dxa"/>
            <w:tcBorders>
              <w:top w:val="single" w:color="auto" w:sz="4" w:space="0"/>
              <w:left w:val="nil"/>
              <w:bottom w:val="nil"/>
              <w:right w:val="nil"/>
            </w:tcBorders>
            <w:noWrap w:val="0"/>
            <w:tcMar>
              <w:top w:w="60" w:type="dxa"/>
              <w:left w:w="120" w:type="dxa"/>
              <w:bottom w:w="30" w:type="dxa"/>
              <w:right w:w="120" w:type="dxa"/>
            </w:tcMar>
            <w:vAlign w:val="top"/>
          </w:tcPr>
          <w:p w14:paraId="605E376A">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11人（核心球员1名，Caitlin Clark）</w:t>
            </w:r>
          </w:p>
        </w:tc>
        <w:tc>
          <w:tcPr>
            <w:tcW w:w="2407" w:type="dxa"/>
            <w:tcBorders>
              <w:top w:val="single" w:color="auto" w:sz="4" w:space="0"/>
              <w:left w:val="nil"/>
              <w:bottom w:val="nil"/>
              <w:right w:val="nil"/>
            </w:tcBorders>
            <w:noWrap w:val="0"/>
            <w:tcMar>
              <w:top w:w="60" w:type="dxa"/>
              <w:left w:w="120" w:type="dxa"/>
              <w:bottom w:w="30" w:type="dxa"/>
              <w:right w:w="120" w:type="dxa"/>
            </w:tcMar>
            <w:vAlign w:val="top"/>
          </w:tcPr>
          <w:p w14:paraId="2B3AC514">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player_salaries_2025.csv</w:t>
            </w:r>
          </w:p>
        </w:tc>
      </w:tr>
      <w:tr w14:paraId="57DD89F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nil"/>
              <w:left w:val="nil"/>
              <w:bottom w:val="nil"/>
              <w:right w:val="nil"/>
            </w:tcBorders>
            <w:noWrap w:val="0"/>
            <w:tcMar>
              <w:top w:w="60" w:type="dxa"/>
              <w:left w:w="120" w:type="dxa"/>
              <w:bottom w:w="30" w:type="dxa"/>
              <w:right w:w="120" w:type="dxa"/>
            </w:tcMar>
            <w:vAlign w:val="top"/>
          </w:tcPr>
          <w:p w14:paraId="09B086DB">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总薪资（万美元）</w:t>
            </w:r>
          </w:p>
        </w:tc>
        <w:tc>
          <w:tcPr>
            <w:tcW w:w="1939" w:type="dxa"/>
            <w:tcBorders>
              <w:top w:val="nil"/>
              <w:left w:val="nil"/>
              <w:bottom w:val="nil"/>
              <w:right w:val="nil"/>
            </w:tcBorders>
            <w:noWrap w:val="0"/>
            <w:tcMar>
              <w:top w:w="60" w:type="dxa"/>
              <w:left w:w="120" w:type="dxa"/>
              <w:bottom w:w="30" w:type="dxa"/>
              <w:right w:w="120" w:type="dxa"/>
            </w:tcMar>
            <w:vAlign w:val="top"/>
          </w:tcPr>
          <w:p w14:paraId="0A352D79">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148.2（≤2025年薪资帽150.71）</w:t>
            </w:r>
          </w:p>
        </w:tc>
        <w:tc>
          <w:tcPr>
            <w:tcW w:w="2297" w:type="dxa"/>
            <w:tcBorders>
              <w:top w:val="nil"/>
              <w:left w:val="nil"/>
              <w:bottom w:val="nil"/>
              <w:right w:val="nil"/>
            </w:tcBorders>
            <w:noWrap w:val="0"/>
            <w:tcMar>
              <w:top w:w="60" w:type="dxa"/>
              <w:left w:w="120" w:type="dxa"/>
              <w:bottom w:w="30" w:type="dxa"/>
              <w:right w:w="120" w:type="dxa"/>
            </w:tcMar>
            <w:vAlign w:val="top"/>
          </w:tcPr>
          <w:p w14:paraId="4DA29DA0">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132.5（≤2025年薪资帽150.71）</w:t>
            </w:r>
          </w:p>
        </w:tc>
        <w:tc>
          <w:tcPr>
            <w:tcW w:w="2407" w:type="dxa"/>
            <w:tcBorders>
              <w:top w:val="nil"/>
              <w:left w:val="nil"/>
              <w:bottom w:val="nil"/>
              <w:right w:val="nil"/>
            </w:tcBorders>
            <w:noWrap w:val="0"/>
            <w:tcMar>
              <w:top w:w="60" w:type="dxa"/>
              <w:left w:w="120" w:type="dxa"/>
              <w:bottom w:w="30" w:type="dxa"/>
              <w:right w:w="120" w:type="dxa"/>
            </w:tcMar>
            <w:vAlign w:val="top"/>
          </w:tcPr>
          <w:p w14:paraId="70074F35">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player_salaries_2025.csv</w:t>
            </w:r>
          </w:p>
        </w:tc>
      </w:tr>
      <w:tr w14:paraId="1C171E2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nil"/>
              <w:left w:val="nil"/>
              <w:bottom w:val="nil"/>
              <w:right w:val="nil"/>
            </w:tcBorders>
            <w:noWrap w:val="0"/>
            <w:tcMar>
              <w:top w:w="60" w:type="dxa"/>
              <w:left w:w="120" w:type="dxa"/>
              <w:bottom w:w="30" w:type="dxa"/>
              <w:right w:w="120" w:type="dxa"/>
            </w:tcMar>
            <w:vAlign w:val="top"/>
          </w:tcPr>
          <w:p w14:paraId="6272B46D">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场均上座人数（人）</w:t>
            </w:r>
          </w:p>
        </w:tc>
        <w:tc>
          <w:tcPr>
            <w:tcW w:w="1939" w:type="dxa"/>
            <w:tcBorders>
              <w:top w:val="nil"/>
              <w:left w:val="nil"/>
              <w:bottom w:val="nil"/>
              <w:right w:val="nil"/>
            </w:tcBorders>
            <w:noWrap w:val="0"/>
            <w:tcMar>
              <w:top w:w="60" w:type="dxa"/>
              <w:left w:w="120" w:type="dxa"/>
              <w:bottom w:w="30" w:type="dxa"/>
              <w:right w:w="120" w:type="dxa"/>
            </w:tcMar>
            <w:vAlign w:val="top"/>
          </w:tcPr>
          <w:p w14:paraId="33AA6617">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18562（大球市，αₜ=0.9）</w:t>
            </w:r>
          </w:p>
        </w:tc>
        <w:tc>
          <w:tcPr>
            <w:tcW w:w="2297" w:type="dxa"/>
            <w:tcBorders>
              <w:top w:val="nil"/>
              <w:left w:val="nil"/>
              <w:bottom w:val="nil"/>
              <w:right w:val="nil"/>
            </w:tcBorders>
            <w:noWrap w:val="0"/>
            <w:tcMar>
              <w:top w:w="60" w:type="dxa"/>
              <w:left w:w="120" w:type="dxa"/>
              <w:bottom w:w="30" w:type="dxa"/>
              <w:right w:w="120" w:type="dxa"/>
            </w:tcMar>
            <w:vAlign w:val="top"/>
          </w:tcPr>
          <w:p w14:paraId="0515296A">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17036（中球市，αₜ=0.7）</w:t>
            </w:r>
          </w:p>
        </w:tc>
        <w:tc>
          <w:tcPr>
            <w:tcW w:w="2407" w:type="dxa"/>
            <w:tcBorders>
              <w:top w:val="nil"/>
              <w:left w:val="nil"/>
              <w:bottom w:val="nil"/>
              <w:right w:val="nil"/>
            </w:tcBorders>
            <w:noWrap w:val="0"/>
            <w:tcMar>
              <w:top w:w="60" w:type="dxa"/>
              <w:left w:w="120" w:type="dxa"/>
              <w:bottom w:w="30" w:type="dxa"/>
              <w:right w:w="120" w:type="dxa"/>
            </w:tcMar>
            <w:vAlign w:val="top"/>
          </w:tcPr>
          <w:p w14:paraId="380F7329">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attendance_data.csv</w:t>
            </w:r>
          </w:p>
        </w:tc>
      </w:tr>
      <w:tr w14:paraId="75EE9FA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nil"/>
              <w:left w:val="nil"/>
              <w:bottom w:val="nil"/>
              <w:right w:val="nil"/>
            </w:tcBorders>
            <w:noWrap w:val="0"/>
            <w:tcMar>
              <w:top w:w="60" w:type="dxa"/>
              <w:left w:w="120" w:type="dxa"/>
              <w:bottom w:w="30" w:type="dxa"/>
              <w:right w:w="120" w:type="dxa"/>
            </w:tcMar>
            <w:vAlign w:val="top"/>
          </w:tcPr>
          <w:p w14:paraId="7874F5E7">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媒体版权分成（万美元）</w:t>
            </w:r>
          </w:p>
        </w:tc>
        <w:tc>
          <w:tcPr>
            <w:tcW w:w="1939" w:type="dxa"/>
            <w:tcBorders>
              <w:top w:val="nil"/>
              <w:left w:val="nil"/>
              <w:bottom w:val="nil"/>
              <w:right w:val="nil"/>
            </w:tcBorders>
            <w:noWrap w:val="0"/>
            <w:tcMar>
              <w:top w:w="60" w:type="dxa"/>
              <w:left w:w="120" w:type="dxa"/>
              <w:bottom w:w="30" w:type="dxa"/>
              <w:right w:w="120" w:type="dxa"/>
            </w:tcMar>
            <w:vAlign w:val="top"/>
          </w:tcPr>
          <w:p w14:paraId="72DF989D">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1130（新合同生效后）</w:t>
            </w:r>
          </w:p>
        </w:tc>
        <w:tc>
          <w:tcPr>
            <w:tcW w:w="2297" w:type="dxa"/>
            <w:tcBorders>
              <w:top w:val="nil"/>
              <w:left w:val="nil"/>
              <w:bottom w:val="nil"/>
              <w:right w:val="nil"/>
            </w:tcBorders>
            <w:noWrap w:val="0"/>
            <w:tcMar>
              <w:top w:w="60" w:type="dxa"/>
              <w:left w:w="120" w:type="dxa"/>
              <w:bottom w:w="30" w:type="dxa"/>
              <w:right w:w="120" w:type="dxa"/>
            </w:tcMar>
            <w:vAlign w:val="top"/>
          </w:tcPr>
          <w:p w14:paraId="5BD1ABDF">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1130（新合同生效后）</w:t>
            </w:r>
          </w:p>
        </w:tc>
        <w:tc>
          <w:tcPr>
            <w:tcW w:w="2407" w:type="dxa"/>
            <w:tcBorders>
              <w:top w:val="nil"/>
              <w:left w:val="nil"/>
              <w:bottom w:val="nil"/>
              <w:right w:val="nil"/>
            </w:tcBorders>
            <w:noWrap w:val="0"/>
            <w:tcMar>
              <w:top w:w="60" w:type="dxa"/>
              <w:left w:w="120" w:type="dxa"/>
              <w:bottom w:w="30" w:type="dxa"/>
              <w:right w:w="120" w:type="dxa"/>
            </w:tcMar>
            <w:vAlign w:val="top"/>
          </w:tcPr>
          <w:p w14:paraId="69762A52">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media_deals.csv</w:t>
            </w:r>
          </w:p>
        </w:tc>
      </w:tr>
      <w:tr w14:paraId="0B06AA3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36" w:type="dxa"/>
            <w:tcBorders>
              <w:top w:val="nil"/>
              <w:left w:val="nil"/>
              <w:bottom w:val="single" w:color="auto" w:sz="12" w:space="0"/>
              <w:right w:val="nil"/>
            </w:tcBorders>
            <w:noWrap w:val="0"/>
            <w:tcMar>
              <w:top w:w="60" w:type="dxa"/>
              <w:left w:w="120" w:type="dxa"/>
              <w:bottom w:w="30" w:type="dxa"/>
              <w:right w:w="120" w:type="dxa"/>
            </w:tcMar>
            <w:vAlign w:val="top"/>
          </w:tcPr>
          <w:p w14:paraId="69AD9A37">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球队估值（万美元）</w:t>
            </w:r>
          </w:p>
        </w:tc>
        <w:tc>
          <w:tcPr>
            <w:tcW w:w="1939" w:type="dxa"/>
            <w:tcBorders>
              <w:top w:val="nil"/>
              <w:left w:val="nil"/>
              <w:bottom w:val="single" w:color="auto" w:sz="12" w:space="0"/>
              <w:right w:val="nil"/>
            </w:tcBorders>
            <w:noWrap w:val="0"/>
            <w:tcMar>
              <w:top w:w="60" w:type="dxa"/>
              <w:left w:w="120" w:type="dxa"/>
              <w:bottom w:w="30" w:type="dxa"/>
              <w:right w:w="120" w:type="dxa"/>
            </w:tcMar>
            <w:vAlign w:val="top"/>
          </w:tcPr>
          <w:p w14:paraId="12CB9D6E">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15000（2025年预测值）</w:t>
            </w:r>
          </w:p>
        </w:tc>
        <w:tc>
          <w:tcPr>
            <w:tcW w:w="2297" w:type="dxa"/>
            <w:tcBorders>
              <w:top w:val="nil"/>
              <w:left w:val="nil"/>
              <w:bottom w:val="single" w:color="auto" w:sz="12" w:space="0"/>
              <w:right w:val="nil"/>
            </w:tcBorders>
            <w:noWrap w:val="0"/>
            <w:tcMar>
              <w:top w:w="60" w:type="dxa"/>
              <w:left w:w="120" w:type="dxa"/>
              <w:bottom w:w="30" w:type="dxa"/>
              <w:right w:w="120" w:type="dxa"/>
            </w:tcMar>
            <w:vAlign w:val="top"/>
          </w:tcPr>
          <w:p w14:paraId="31C932AB">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12000（2025年预测值）</w:t>
            </w:r>
          </w:p>
        </w:tc>
        <w:tc>
          <w:tcPr>
            <w:tcW w:w="2407" w:type="dxa"/>
            <w:tcBorders>
              <w:top w:val="nil"/>
              <w:left w:val="nil"/>
              <w:bottom w:val="single" w:color="auto" w:sz="12" w:space="0"/>
              <w:right w:val="nil"/>
            </w:tcBorders>
            <w:noWrap w:val="0"/>
            <w:tcMar>
              <w:top w:w="60" w:type="dxa"/>
              <w:left w:w="120" w:type="dxa"/>
              <w:bottom w:w="30" w:type="dxa"/>
              <w:right w:w="120" w:type="dxa"/>
            </w:tcMar>
            <w:vAlign w:val="top"/>
          </w:tcPr>
          <w:p w14:paraId="5C937A9A">
            <w:pPr>
              <w:snapToGrid w:val="0"/>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team_valuations.csv</w:t>
            </w:r>
          </w:p>
        </w:tc>
      </w:tr>
    </w:tbl>
    <w:p w14:paraId="550F2EDD">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数据预处理：对样本数据进行标准化、异常值修正（与第四章4.4.1节一致），确保数据与模型参数要求一致，可直接代入模型与算法求解。</w:t>
      </w:r>
    </w:p>
    <w:p w14:paraId="374EA7DA">
      <w:pPr>
        <w:spacing w:before="320" w:after="120" w:line="288" w:lineRule="auto"/>
        <w:ind w:left="0"/>
        <w:jc w:val="left"/>
        <w:outlineLvl w:val="1"/>
        <w:rPr>
          <w:rFonts w:hint="default" w:ascii="Times New Roman" w:hAnsi="Times New Roman" w:eastAsia="宋体" w:cs="Times New Roman"/>
        </w:rPr>
      </w:pPr>
      <w:bookmarkStart w:id="37" w:name="heading_46"/>
      <w:r>
        <w:rPr>
          <w:rFonts w:hint="default" w:ascii="Times New Roman" w:hAnsi="Times New Roman" w:eastAsia="宋体" w:cs="Times New Roman"/>
          <w:b/>
          <w:sz w:val="32"/>
        </w:rPr>
        <w:t>5.3 有效性检验（验证模型优化效果）</w:t>
      </w:r>
      <w:bookmarkEnd w:id="37"/>
    </w:p>
    <w:p w14:paraId="25F1FE4E">
      <w:pPr>
        <w:spacing w:before="300" w:after="120" w:line="288" w:lineRule="auto"/>
        <w:ind w:left="0"/>
        <w:jc w:val="left"/>
        <w:outlineLvl w:val="2"/>
        <w:rPr>
          <w:rFonts w:hint="default" w:ascii="Times New Roman" w:hAnsi="Times New Roman" w:eastAsia="宋体" w:cs="Times New Roman"/>
        </w:rPr>
      </w:pPr>
      <w:bookmarkStart w:id="38" w:name="heading_47"/>
      <w:r>
        <w:rPr>
          <w:rFonts w:hint="default" w:ascii="Times New Roman" w:hAnsi="Times New Roman" w:eastAsia="宋体" w:cs="Times New Roman"/>
          <w:b/>
          <w:sz w:val="30"/>
        </w:rPr>
        <w:t>5.3.1 检验目的</w:t>
      </w:r>
      <w:bookmarkEnd w:id="38"/>
    </w:p>
    <w:p w14:paraId="6CAEC224">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验证模型能否有效实现“最大化球队利润和长期品牌估值”的核心目标，对比模型优化后的结果与球队当前实际运营结果（或传统决策结果），判断模型的优化效果。</w:t>
      </w:r>
    </w:p>
    <w:p w14:paraId="1CB77FAF">
      <w:pPr>
        <w:spacing w:before="300" w:after="120" w:line="288" w:lineRule="auto"/>
        <w:ind w:left="0"/>
        <w:jc w:val="left"/>
        <w:outlineLvl w:val="2"/>
        <w:rPr>
          <w:rFonts w:hint="default" w:ascii="Times New Roman" w:hAnsi="Times New Roman" w:eastAsia="宋体" w:cs="Times New Roman"/>
        </w:rPr>
      </w:pPr>
      <w:bookmarkStart w:id="39" w:name="heading_48"/>
      <w:r>
        <w:rPr>
          <w:rFonts w:hint="default" w:ascii="Times New Roman" w:hAnsi="Times New Roman" w:eastAsia="宋体" w:cs="Times New Roman"/>
          <w:b/>
          <w:sz w:val="30"/>
        </w:rPr>
        <w:t>5.3.2 检验方法（对比检验）</w:t>
      </w:r>
      <w:bookmarkEnd w:id="39"/>
    </w:p>
    <w:p w14:paraId="030D23D9">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采用“三重对比”策略，确保检验有效性，所有对比数据均来自现有数据文件或模型求解结果：</w:t>
      </w:r>
    </w:p>
    <w:p w14:paraId="63E901B6">
      <w:pPr>
        <w:numPr>
          <w:ilvl w:val="0"/>
          <w:numId w:val="42"/>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对比1：模型优化结果 vs 球队当前实际运营结果（2025年实际利润、估值）；</w:t>
      </w:r>
    </w:p>
    <w:p w14:paraId="249358AF">
      <w:pPr>
        <w:numPr>
          <w:ilvl w:val="0"/>
          <w:numId w:val="43"/>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对比2：模型优化结果 vs 传统决策结果（采用传统PSO算法求解，无SA融合，无风险惩罚项）；</w:t>
      </w:r>
    </w:p>
    <w:p w14:paraId="5F7E238F">
      <w:pPr>
        <w:numPr>
          <w:ilvl w:val="0"/>
          <w:numId w:val="44"/>
        </w:num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对比3：IPSO-SA算法结果 vs 传统优化算法结果（分支定界法、传统PSO算法），验证算法优化效率与最优解质量。</w:t>
      </w:r>
    </w:p>
    <w:p w14:paraId="13AB9597">
      <w:pPr>
        <w:spacing w:before="300" w:after="120" w:line="288" w:lineRule="auto"/>
        <w:ind w:left="0"/>
        <w:jc w:val="left"/>
        <w:outlineLvl w:val="2"/>
        <w:rPr>
          <w:rFonts w:hint="default" w:ascii="Times New Roman" w:hAnsi="Times New Roman" w:eastAsia="宋体" w:cs="Times New Roman"/>
        </w:rPr>
      </w:pPr>
      <w:bookmarkStart w:id="40" w:name="heading_49"/>
      <w:r>
        <w:rPr>
          <w:rFonts w:hint="default" w:ascii="Times New Roman" w:hAnsi="Times New Roman" w:eastAsia="宋体" w:cs="Times New Roman"/>
          <w:b/>
          <w:sz w:val="30"/>
        </w:rPr>
        <w:t>5.3.3 检验结果与分析（以印第安纳狂热队为例）</w:t>
      </w:r>
      <w:bookmarkEnd w:id="40"/>
    </w:p>
    <w:p w14:paraId="1C90BC6A">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三重对比结果如下表（核心指标：2025年当期利润、2030年品牌估值现值、求解时间）：</w:t>
      </w:r>
    </w:p>
    <w:tbl>
      <w:tblPr>
        <w:tblStyle w:val="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127"/>
        <w:gridCol w:w="2177"/>
        <w:gridCol w:w="2533"/>
        <w:gridCol w:w="1443"/>
      </w:tblGrid>
      <w:tr w14:paraId="19BE98A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PrEx>
        <w:trPr>
          <w:trHeight w:val="0" w:hRule="atLeast"/>
          <w:tblHeader/>
          <w:jc w:val="center"/>
        </w:trPr>
        <w:tc>
          <w:tcPr>
            <w:tcW w:w="2128" w:type="dxa"/>
            <w:tcBorders>
              <w:top w:val="single" w:color="auto" w:sz="12" w:space="0"/>
              <w:left w:val="nil"/>
              <w:bottom w:val="nil"/>
              <w:right w:val="nil"/>
            </w:tcBorders>
            <w:noWrap w:val="0"/>
            <w:tcMar>
              <w:top w:w="60" w:type="dxa"/>
              <w:left w:w="120" w:type="dxa"/>
              <w:bottom w:w="30" w:type="dxa"/>
              <w:right w:w="120" w:type="dxa"/>
            </w:tcMar>
            <w:vAlign w:val="center"/>
          </w:tcPr>
          <w:p w14:paraId="245F1211">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对比类型</w:t>
            </w:r>
          </w:p>
        </w:tc>
        <w:tc>
          <w:tcPr>
            <w:tcW w:w="2177" w:type="dxa"/>
            <w:tcBorders>
              <w:top w:val="single" w:color="auto" w:sz="12" w:space="0"/>
              <w:left w:val="nil"/>
              <w:bottom w:val="nil"/>
              <w:right w:val="nil"/>
            </w:tcBorders>
            <w:noWrap w:val="0"/>
            <w:tcMar>
              <w:top w:w="60" w:type="dxa"/>
              <w:left w:w="120" w:type="dxa"/>
              <w:bottom w:w="30" w:type="dxa"/>
              <w:right w:w="120" w:type="dxa"/>
            </w:tcMar>
            <w:vAlign w:val="center"/>
          </w:tcPr>
          <w:p w14:paraId="553E3541">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2025年当期利润</w:t>
            </w:r>
          </w:p>
          <w:p w14:paraId="68781A44">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（万美元）</w:t>
            </w:r>
          </w:p>
        </w:tc>
        <w:tc>
          <w:tcPr>
            <w:tcW w:w="2533" w:type="dxa"/>
            <w:tcBorders>
              <w:top w:val="single" w:color="auto" w:sz="12" w:space="0"/>
              <w:left w:val="nil"/>
              <w:bottom w:val="nil"/>
              <w:right w:val="nil"/>
            </w:tcBorders>
            <w:noWrap w:val="0"/>
            <w:tcMar>
              <w:top w:w="60" w:type="dxa"/>
              <w:left w:w="120" w:type="dxa"/>
              <w:bottom w:w="30" w:type="dxa"/>
              <w:right w:w="120" w:type="dxa"/>
            </w:tcMar>
            <w:vAlign w:val="center"/>
          </w:tcPr>
          <w:p w14:paraId="2F7B9753">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2030年品牌估值现值</w:t>
            </w:r>
          </w:p>
          <w:p w14:paraId="6A2A3102">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（万美元）</w:t>
            </w:r>
          </w:p>
        </w:tc>
        <w:tc>
          <w:tcPr>
            <w:tcW w:w="1443" w:type="dxa"/>
            <w:tcBorders>
              <w:top w:val="single" w:color="auto" w:sz="12" w:space="0"/>
              <w:left w:val="nil"/>
              <w:bottom w:val="nil"/>
              <w:right w:val="nil"/>
            </w:tcBorders>
            <w:noWrap w:val="0"/>
            <w:tcMar>
              <w:top w:w="60" w:type="dxa"/>
              <w:left w:w="120" w:type="dxa"/>
              <w:bottom w:w="30" w:type="dxa"/>
              <w:right w:w="120" w:type="dxa"/>
            </w:tcMar>
            <w:vAlign w:val="center"/>
          </w:tcPr>
          <w:p w14:paraId="166E1A4C">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求解时间</w:t>
            </w:r>
          </w:p>
          <w:p w14:paraId="4AE66685">
            <w:pPr>
              <w:snapToGrid w:val="0"/>
              <w:spacing w:before="120" w:after="120" w:line="240" w:lineRule="auto"/>
              <w:ind w:left="0" w:leftChars="0" w:right="0" w:rightChars="0" w:firstLine="0" w:firstLineChars="0"/>
              <w:jc w:val="center"/>
              <w:rPr>
                <w:rFonts w:hint="default" w:ascii="Times New Roman" w:hAnsi="Times New Roman" w:eastAsia="宋体" w:cs="Times New Roman"/>
                <w:b/>
                <w:sz w:val="22"/>
              </w:rPr>
            </w:pPr>
            <w:r>
              <w:rPr>
                <w:rFonts w:hint="default" w:ascii="Times New Roman" w:hAnsi="Times New Roman" w:eastAsia="宋体" w:cs="Times New Roman"/>
                <w:b/>
                <w:sz w:val="22"/>
              </w:rPr>
              <w:t>（秒）</w:t>
            </w:r>
          </w:p>
        </w:tc>
      </w:tr>
      <w:tr w14:paraId="02BA987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28" w:type="dxa"/>
            <w:tcBorders>
              <w:top w:val="single" w:color="auto" w:sz="4" w:space="0"/>
              <w:left w:val="nil"/>
              <w:bottom w:val="nil"/>
              <w:right w:val="nil"/>
            </w:tcBorders>
            <w:noWrap w:val="0"/>
            <w:tcMar>
              <w:top w:w="60" w:type="dxa"/>
              <w:left w:w="120" w:type="dxa"/>
              <w:bottom w:w="30" w:type="dxa"/>
              <w:right w:w="120" w:type="dxa"/>
            </w:tcMar>
            <w:vAlign w:val="center"/>
          </w:tcPr>
          <w:p w14:paraId="7B0AB537">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球队当前实际运营</w:t>
            </w:r>
          </w:p>
        </w:tc>
        <w:tc>
          <w:tcPr>
            <w:tcW w:w="2177" w:type="dxa"/>
            <w:tcBorders>
              <w:top w:val="single" w:color="auto" w:sz="4" w:space="0"/>
              <w:left w:val="nil"/>
              <w:bottom w:val="nil"/>
              <w:right w:val="nil"/>
            </w:tcBorders>
            <w:noWrap w:val="0"/>
            <w:tcMar>
              <w:top w:w="60" w:type="dxa"/>
              <w:left w:w="120" w:type="dxa"/>
              <w:bottom w:w="30" w:type="dxa"/>
              <w:right w:w="120" w:type="dxa"/>
            </w:tcMar>
            <w:vAlign w:val="center"/>
          </w:tcPr>
          <w:p w14:paraId="33EAB81B">
            <w:pPr>
              <w:snapToGrid w:val="0"/>
              <w:spacing w:before="120" w:after="120" w:line="240" w:lineRule="auto"/>
              <w:ind w:left="0" w:leftChars="0" w:right="0" w:rightChars="0" w:firstLine="0" w:firstLineChars="0"/>
              <w:jc w:val="left"/>
              <w:rPr>
                <w:rFonts w:hint="default" w:ascii="Times New Roman" w:hAnsi="Times New Roman" w:eastAsia="宋体" w:cs="Times New Roman"/>
                <w:sz w:val="22"/>
              </w:rPr>
            </w:pPr>
            <w:r>
              <w:rPr>
                <w:rFonts w:hint="default" w:ascii="Times New Roman" w:hAnsi="Times New Roman" w:eastAsia="宋体" w:cs="Times New Roman"/>
                <w:sz w:val="22"/>
              </w:rPr>
              <w:t>892</w:t>
            </w:r>
          </w:p>
        </w:tc>
        <w:tc>
          <w:tcPr>
            <w:tcW w:w="2533" w:type="dxa"/>
            <w:tcBorders>
              <w:top w:val="single" w:color="auto" w:sz="4" w:space="0"/>
              <w:left w:val="nil"/>
              <w:bottom w:val="nil"/>
              <w:right w:val="nil"/>
            </w:tcBorders>
            <w:noWrap w:val="0"/>
            <w:tcMar>
              <w:top w:w="60" w:type="dxa"/>
              <w:left w:w="120" w:type="dxa"/>
              <w:bottom w:w="30" w:type="dxa"/>
              <w:right w:w="120" w:type="dxa"/>
            </w:tcMar>
            <w:vAlign w:val="center"/>
          </w:tcPr>
          <w:p w14:paraId="16F1E29B">
            <w:pPr>
              <w:snapToGrid w:val="0"/>
              <w:spacing w:before="120" w:after="120" w:line="240" w:lineRule="auto"/>
              <w:ind w:left="0" w:leftChars="0" w:right="0" w:rightChars="0" w:firstLine="0" w:firstLineChars="0"/>
              <w:jc w:val="right"/>
              <w:rPr>
                <w:rFonts w:hint="default" w:ascii="Times New Roman" w:hAnsi="Times New Roman" w:eastAsia="宋体" w:cs="Times New Roman"/>
                <w:sz w:val="22"/>
              </w:rPr>
            </w:pPr>
            <w:r>
              <w:rPr>
                <w:rFonts w:hint="default" w:ascii="Times New Roman" w:hAnsi="Times New Roman" w:eastAsia="宋体" w:cs="Times New Roman"/>
                <w:sz w:val="22"/>
              </w:rPr>
              <w:t>9850</w:t>
            </w:r>
          </w:p>
        </w:tc>
        <w:tc>
          <w:tcPr>
            <w:tcW w:w="1443" w:type="dxa"/>
            <w:tcBorders>
              <w:top w:val="single" w:color="auto" w:sz="4" w:space="0"/>
              <w:left w:val="nil"/>
              <w:bottom w:val="nil"/>
              <w:right w:val="nil"/>
            </w:tcBorders>
            <w:noWrap w:val="0"/>
            <w:tcMar>
              <w:top w:w="60" w:type="dxa"/>
              <w:left w:w="120" w:type="dxa"/>
              <w:bottom w:w="30" w:type="dxa"/>
              <w:right w:w="120" w:type="dxa"/>
            </w:tcMar>
            <w:vAlign w:val="center"/>
          </w:tcPr>
          <w:p w14:paraId="3119250B">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w:t>
            </w:r>
          </w:p>
        </w:tc>
      </w:tr>
      <w:tr w14:paraId="4E313EC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28" w:type="dxa"/>
            <w:tcBorders>
              <w:top w:val="nil"/>
              <w:left w:val="nil"/>
              <w:bottom w:val="nil"/>
              <w:right w:val="nil"/>
            </w:tcBorders>
            <w:noWrap w:val="0"/>
            <w:tcMar>
              <w:top w:w="60" w:type="dxa"/>
              <w:left w:w="120" w:type="dxa"/>
              <w:bottom w:w="30" w:type="dxa"/>
              <w:right w:w="120" w:type="dxa"/>
            </w:tcMar>
            <w:vAlign w:val="center"/>
          </w:tcPr>
          <w:p w14:paraId="772A3F3F">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传统决策（传统PSO）</w:t>
            </w:r>
          </w:p>
        </w:tc>
        <w:tc>
          <w:tcPr>
            <w:tcW w:w="2177" w:type="dxa"/>
            <w:tcBorders>
              <w:top w:val="nil"/>
              <w:left w:val="nil"/>
              <w:bottom w:val="nil"/>
              <w:right w:val="nil"/>
            </w:tcBorders>
            <w:noWrap w:val="0"/>
            <w:tcMar>
              <w:top w:w="60" w:type="dxa"/>
              <w:left w:w="120" w:type="dxa"/>
              <w:bottom w:w="30" w:type="dxa"/>
              <w:right w:w="120" w:type="dxa"/>
            </w:tcMar>
            <w:vAlign w:val="center"/>
          </w:tcPr>
          <w:p w14:paraId="45BE874A">
            <w:pPr>
              <w:snapToGrid w:val="0"/>
              <w:spacing w:before="120" w:after="120" w:line="240" w:lineRule="auto"/>
              <w:ind w:left="0" w:leftChars="0" w:right="0" w:rightChars="0" w:firstLine="0" w:firstLineChars="0"/>
              <w:jc w:val="left"/>
              <w:rPr>
                <w:rFonts w:hint="default" w:ascii="Times New Roman" w:hAnsi="Times New Roman" w:eastAsia="宋体" w:cs="Times New Roman"/>
                <w:sz w:val="22"/>
              </w:rPr>
            </w:pPr>
            <w:r>
              <w:rPr>
                <w:rFonts w:hint="default" w:ascii="Times New Roman" w:hAnsi="Times New Roman" w:eastAsia="宋体" w:cs="Times New Roman"/>
                <w:sz w:val="22"/>
              </w:rPr>
              <w:t>956</w:t>
            </w:r>
          </w:p>
        </w:tc>
        <w:tc>
          <w:tcPr>
            <w:tcW w:w="2533" w:type="dxa"/>
            <w:tcBorders>
              <w:top w:val="nil"/>
              <w:left w:val="nil"/>
              <w:bottom w:val="nil"/>
              <w:right w:val="nil"/>
            </w:tcBorders>
            <w:noWrap w:val="0"/>
            <w:tcMar>
              <w:top w:w="60" w:type="dxa"/>
              <w:left w:w="120" w:type="dxa"/>
              <w:bottom w:w="30" w:type="dxa"/>
              <w:right w:w="120" w:type="dxa"/>
            </w:tcMar>
            <w:vAlign w:val="center"/>
          </w:tcPr>
          <w:p w14:paraId="58487BC4">
            <w:pPr>
              <w:snapToGrid w:val="0"/>
              <w:spacing w:before="120" w:after="120" w:line="240" w:lineRule="auto"/>
              <w:ind w:left="0" w:leftChars="0" w:right="0" w:rightChars="0" w:firstLine="0" w:firstLineChars="0"/>
              <w:jc w:val="right"/>
              <w:rPr>
                <w:rFonts w:hint="default" w:ascii="Times New Roman" w:hAnsi="Times New Roman" w:eastAsia="宋体" w:cs="Times New Roman"/>
                <w:sz w:val="22"/>
              </w:rPr>
            </w:pPr>
            <w:r>
              <w:rPr>
                <w:rFonts w:hint="default" w:ascii="Times New Roman" w:hAnsi="Times New Roman" w:eastAsia="宋体" w:cs="Times New Roman"/>
                <w:sz w:val="22"/>
              </w:rPr>
              <w:t>10520</w:t>
            </w:r>
          </w:p>
        </w:tc>
        <w:tc>
          <w:tcPr>
            <w:tcW w:w="1443" w:type="dxa"/>
            <w:tcBorders>
              <w:top w:val="nil"/>
              <w:left w:val="nil"/>
              <w:bottom w:val="nil"/>
              <w:right w:val="nil"/>
            </w:tcBorders>
            <w:noWrap w:val="0"/>
            <w:tcMar>
              <w:top w:w="60" w:type="dxa"/>
              <w:left w:w="120" w:type="dxa"/>
              <w:bottom w:w="30" w:type="dxa"/>
              <w:right w:w="120" w:type="dxa"/>
            </w:tcMar>
            <w:vAlign w:val="center"/>
          </w:tcPr>
          <w:p w14:paraId="56E722B7">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18.6</w:t>
            </w:r>
          </w:p>
        </w:tc>
      </w:tr>
      <w:tr w14:paraId="1C8C5DB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28" w:type="dxa"/>
            <w:tcBorders>
              <w:top w:val="nil"/>
              <w:left w:val="nil"/>
              <w:bottom w:val="nil"/>
              <w:right w:val="nil"/>
            </w:tcBorders>
            <w:noWrap w:val="0"/>
            <w:tcMar>
              <w:top w:w="60" w:type="dxa"/>
              <w:left w:w="120" w:type="dxa"/>
              <w:bottom w:w="30" w:type="dxa"/>
              <w:right w:w="120" w:type="dxa"/>
            </w:tcMar>
            <w:vAlign w:val="center"/>
          </w:tcPr>
          <w:p w14:paraId="3258E0A1">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本模型（IPSO-SA）</w:t>
            </w:r>
          </w:p>
        </w:tc>
        <w:tc>
          <w:tcPr>
            <w:tcW w:w="2177" w:type="dxa"/>
            <w:tcBorders>
              <w:top w:val="nil"/>
              <w:left w:val="nil"/>
              <w:bottom w:val="nil"/>
              <w:right w:val="nil"/>
            </w:tcBorders>
            <w:noWrap w:val="0"/>
            <w:tcMar>
              <w:top w:w="60" w:type="dxa"/>
              <w:left w:w="120" w:type="dxa"/>
              <w:bottom w:w="30" w:type="dxa"/>
              <w:right w:w="120" w:type="dxa"/>
            </w:tcMar>
            <w:vAlign w:val="center"/>
          </w:tcPr>
          <w:p w14:paraId="56CA977C">
            <w:pPr>
              <w:snapToGrid w:val="0"/>
              <w:spacing w:before="120" w:after="120" w:line="240" w:lineRule="auto"/>
              <w:ind w:left="0" w:leftChars="0" w:right="0" w:rightChars="0" w:firstLine="0" w:firstLineChars="0"/>
              <w:jc w:val="left"/>
              <w:rPr>
                <w:rFonts w:hint="default" w:ascii="Times New Roman" w:hAnsi="Times New Roman" w:eastAsia="宋体" w:cs="Times New Roman"/>
                <w:sz w:val="22"/>
              </w:rPr>
            </w:pPr>
            <w:r>
              <w:rPr>
                <w:rFonts w:hint="default" w:ascii="Times New Roman" w:hAnsi="Times New Roman" w:eastAsia="宋体" w:cs="Times New Roman"/>
                <w:sz w:val="22"/>
              </w:rPr>
              <w:t>1089</w:t>
            </w:r>
          </w:p>
        </w:tc>
        <w:tc>
          <w:tcPr>
            <w:tcW w:w="2533" w:type="dxa"/>
            <w:tcBorders>
              <w:top w:val="nil"/>
              <w:left w:val="nil"/>
              <w:bottom w:val="nil"/>
              <w:right w:val="nil"/>
            </w:tcBorders>
            <w:noWrap w:val="0"/>
            <w:tcMar>
              <w:top w:w="60" w:type="dxa"/>
              <w:left w:w="120" w:type="dxa"/>
              <w:bottom w:w="30" w:type="dxa"/>
              <w:right w:w="120" w:type="dxa"/>
            </w:tcMar>
            <w:vAlign w:val="center"/>
          </w:tcPr>
          <w:p w14:paraId="048C1222">
            <w:pPr>
              <w:snapToGrid w:val="0"/>
              <w:spacing w:before="120" w:after="120" w:line="240" w:lineRule="auto"/>
              <w:ind w:left="0" w:leftChars="0" w:right="0" w:rightChars="0" w:firstLine="0" w:firstLineChars="0"/>
              <w:jc w:val="right"/>
              <w:rPr>
                <w:rFonts w:hint="default" w:ascii="Times New Roman" w:hAnsi="Times New Roman" w:eastAsia="宋体" w:cs="Times New Roman"/>
                <w:sz w:val="22"/>
              </w:rPr>
            </w:pPr>
            <w:r>
              <w:rPr>
                <w:rFonts w:hint="default" w:ascii="Times New Roman" w:hAnsi="Times New Roman" w:eastAsia="宋体" w:cs="Times New Roman"/>
                <w:sz w:val="22"/>
              </w:rPr>
              <w:t>12380</w:t>
            </w:r>
          </w:p>
        </w:tc>
        <w:tc>
          <w:tcPr>
            <w:tcW w:w="1443" w:type="dxa"/>
            <w:tcBorders>
              <w:top w:val="nil"/>
              <w:left w:val="nil"/>
              <w:bottom w:val="nil"/>
              <w:right w:val="nil"/>
            </w:tcBorders>
            <w:noWrap w:val="0"/>
            <w:tcMar>
              <w:top w:w="60" w:type="dxa"/>
              <w:left w:w="120" w:type="dxa"/>
              <w:bottom w:w="30" w:type="dxa"/>
              <w:right w:w="120" w:type="dxa"/>
            </w:tcMar>
            <w:vAlign w:val="center"/>
          </w:tcPr>
          <w:p w14:paraId="2AFF2E55">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12.3</w:t>
            </w:r>
          </w:p>
        </w:tc>
      </w:tr>
      <w:tr w14:paraId="4E450F0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128" w:type="dxa"/>
            <w:tcBorders>
              <w:top w:val="nil"/>
              <w:left w:val="nil"/>
              <w:bottom w:val="single" w:color="auto" w:sz="12" w:space="0"/>
              <w:right w:val="nil"/>
            </w:tcBorders>
            <w:noWrap w:val="0"/>
            <w:tcMar>
              <w:top w:w="60" w:type="dxa"/>
              <w:left w:w="120" w:type="dxa"/>
              <w:bottom w:w="30" w:type="dxa"/>
              <w:right w:w="120" w:type="dxa"/>
            </w:tcMar>
            <w:vAlign w:val="center"/>
          </w:tcPr>
          <w:p w14:paraId="7B2527ED">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传统算法（分支定界法）</w:t>
            </w:r>
          </w:p>
        </w:tc>
        <w:tc>
          <w:tcPr>
            <w:tcW w:w="2177" w:type="dxa"/>
            <w:tcBorders>
              <w:top w:val="nil"/>
              <w:left w:val="nil"/>
              <w:bottom w:val="single" w:color="auto" w:sz="12" w:space="0"/>
              <w:right w:val="nil"/>
            </w:tcBorders>
            <w:noWrap w:val="0"/>
            <w:tcMar>
              <w:top w:w="60" w:type="dxa"/>
              <w:left w:w="120" w:type="dxa"/>
              <w:bottom w:w="30" w:type="dxa"/>
              <w:right w:w="120" w:type="dxa"/>
            </w:tcMar>
            <w:vAlign w:val="center"/>
          </w:tcPr>
          <w:p w14:paraId="6045CCBE">
            <w:pPr>
              <w:snapToGrid w:val="0"/>
              <w:spacing w:before="120" w:after="120" w:line="240" w:lineRule="auto"/>
              <w:ind w:left="0" w:leftChars="0" w:right="0" w:rightChars="0" w:firstLine="0" w:firstLineChars="0"/>
              <w:jc w:val="left"/>
              <w:rPr>
                <w:rFonts w:hint="default" w:ascii="Times New Roman" w:hAnsi="Times New Roman" w:eastAsia="宋体" w:cs="Times New Roman"/>
                <w:sz w:val="22"/>
              </w:rPr>
            </w:pPr>
            <w:r>
              <w:rPr>
                <w:rFonts w:hint="default" w:ascii="Times New Roman" w:hAnsi="Times New Roman" w:eastAsia="宋体" w:cs="Times New Roman"/>
                <w:sz w:val="22"/>
              </w:rPr>
              <w:t>1023</w:t>
            </w:r>
          </w:p>
        </w:tc>
        <w:tc>
          <w:tcPr>
            <w:tcW w:w="2533" w:type="dxa"/>
            <w:tcBorders>
              <w:top w:val="nil"/>
              <w:left w:val="nil"/>
              <w:bottom w:val="single" w:color="auto" w:sz="12" w:space="0"/>
              <w:right w:val="nil"/>
            </w:tcBorders>
            <w:noWrap w:val="0"/>
            <w:tcMar>
              <w:top w:w="60" w:type="dxa"/>
              <w:left w:w="120" w:type="dxa"/>
              <w:bottom w:w="30" w:type="dxa"/>
              <w:right w:w="120" w:type="dxa"/>
            </w:tcMar>
            <w:vAlign w:val="center"/>
          </w:tcPr>
          <w:p w14:paraId="0FEC920E">
            <w:pPr>
              <w:snapToGrid w:val="0"/>
              <w:spacing w:before="120" w:after="120" w:line="240" w:lineRule="auto"/>
              <w:ind w:left="0" w:leftChars="0" w:right="0" w:rightChars="0" w:firstLine="0" w:firstLineChars="0"/>
              <w:jc w:val="right"/>
              <w:rPr>
                <w:rFonts w:hint="default" w:ascii="Times New Roman" w:hAnsi="Times New Roman" w:eastAsia="宋体" w:cs="Times New Roman"/>
                <w:sz w:val="22"/>
              </w:rPr>
            </w:pPr>
            <w:r>
              <w:rPr>
                <w:rFonts w:hint="default" w:ascii="Times New Roman" w:hAnsi="Times New Roman" w:eastAsia="宋体" w:cs="Times New Roman"/>
                <w:sz w:val="22"/>
              </w:rPr>
              <w:t>11850</w:t>
            </w:r>
          </w:p>
        </w:tc>
        <w:tc>
          <w:tcPr>
            <w:tcW w:w="1443" w:type="dxa"/>
            <w:tcBorders>
              <w:top w:val="nil"/>
              <w:left w:val="nil"/>
              <w:bottom w:val="single" w:color="auto" w:sz="12" w:space="0"/>
              <w:right w:val="nil"/>
            </w:tcBorders>
            <w:noWrap w:val="0"/>
            <w:tcMar>
              <w:top w:w="60" w:type="dxa"/>
              <w:left w:w="120" w:type="dxa"/>
              <w:bottom w:w="30" w:type="dxa"/>
              <w:right w:w="120" w:type="dxa"/>
            </w:tcMar>
            <w:vAlign w:val="center"/>
          </w:tcPr>
          <w:p w14:paraId="37B0ED04">
            <w:pPr>
              <w:snapToGrid w:val="0"/>
              <w:spacing w:before="120" w:after="120" w:line="240" w:lineRule="auto"/>
              <w:ind w:left="0" w:leftChars="0" w:right="0" w:rightChars="0" w:firstLine="0" w:firstLineChars="0"/>
              <w:jc w:val="center"/>
              <w:rPr>
                <w:rFonts w:hint="default" w:ascii="Times New Roman" w:hAnsi="Times New Roman" w:eastAsia="宋体" w:cs="Times New Roman"/>
                <w:sz w:val="22"/>
              </w:rPr>
            </w:pPr>
            <w:r>
              <w:rPr>
                <w:rFonts w:hint="default" w:ascii="Times New Roman" w:hAnsi="Times New Roman" w:eastAsia="宋体" w:cs="Times New Roman"/>
                <w:sz w:val="22"/>
              </w:rPr>
              <w:t>45.7</w:t>
            </w:r>
          </w:p>
        </w:tc>
      </w:tr>
    </w:tbl>
    <w:p w14:paraId="28DBC556">
      <w:pPr>
        <w:spacing w:before="120" w:after="120" w:line="288" w:lineRule="auto"/>
        <w:ind w:left="0"/>
        <w:jc w:val="left"/>
        <w:rPr>
          <w:rFonts w:hint="default" w:ascii="Times New Roman" w:hAnsi="Times New Roman" w:eastAsia="宋体" w:cs="Times New Roman"/>
        </w:rPr>
      </w:pPr>
      <w:r>
        <w:rPr>
          <w:rFonts w:hint="default" w:ascii="Times New Roman" w:hAnsi="Times New Roman" w:eastAsia="宋体" w:cs="Times New Roman"/>
          <w:sz w:val="22"/>
        </w:rPr>
        <w:t>分析结论：</w:t>
      </w:r>
    </w:p>
    <w:p w14:paraId="149EDA06">
      <w:pPr>
        <w:numPr>
          <w:numId w:val="0"/>
        </w:numPr>
        <w:spacing w:before="120" w:after="120" w:line="288" w:lineRule="auto"/>
        <w:jc w:val="left"/>
        <w:rPr>
          <w:rFonts w:hint="default" w:ascii="Times New Roman" w:hAnsi="Times New Roman" w:eastAsia="宋体" w:cs="Times New Roman"/>
        </w:rPr>
      </w:pPr>
      <w:r>
        <w:rPr>
          <w:rFonts w:hint="default" w:ascii="Times New Roman" w:hAnsi="Times New Roman" w:eastAsia="宋体" w:cs="Times New Roman"/>
          <w:sz w:val="22"/>
        </w:rPr>
        <w:t>与球队当前实际运营相比，本模型优化后，2025年当期利润提升22.1%，2030年品牌估值现值提升25.7%，显著实现了“利润+估值”的双重最大化目标；</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panose1 w:val="02020609040205080304"/>
    <w:charset w:val="80"/>
    <w:family w:val="auto"/>
    <w:pitch w:val="default"/>
    <w:sig w:usb0="E00002FF" w:usb1="6AC7FDFB" w:usb2="08000012" w:usb3="00000000" w:csb0="400200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E718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07A2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singleLevel"/>
    <w:tmpl w:val="845B5372"/>
    <w:lvl w:ilvl="0" w:tentative="0">
      <w:start w:val="0"/>
      <w:numFmt w:val="bullet"/>
      <w:lvlText w:val="•"/>
      <w:lvlJc w:val="left"/>
      <w:rPr>
        <w:color w:val="3370FF"/>
      </w:rPr>
    </w:lvl>
  </w:abstractNum>
  <w:abstractNum w:abstractNumId="1">
    <w:nsid w:val="8CAEB125"/>
    <w:multiLevelType w:val="singleLevel"/>
    <w:tmpl w:val="8CAEB125"/>
    <w:lvl w:ilvl="0" w:tentative="0">
      <w:start w:val="0"/>
      <w:numFmt w:val="bullet"/>
      <w:lvlText w:val="•"/>
      <w:lvlJc w:val="left"/>
      <w:rPr>
        <w:color w:val="3370FF"/>
      </w:rPr>
    </w:lvl>
  </w:abstractNum>
  <w:abstractNum w:abstractNumId="2">
    <w:nsid w:val="91995D4F"/>
    <w:multiLevelType w:val="singleLevel"/>
    <w:tmpl w:val="91995D4F"/>
    <w:lvl w:ilvl="0" w:tentative="0">
      <w:start w:val="0"/>
      <w:numFmt w:val="bullet"/>
      <w:lvlText w:val="•"/>
      <w:lvlJc w:val="left"/>
      <w:rPr>
        <w:color w:val="3370FF"/>
      </w:rPr>
    </w:lvl>
  </w:abstractNum>
  <w:abstractNum w:abstractNumId="3">
    <w:nsid w:val="9377BC45"/>
    <w:multiLevelType w:val="singleLevel"/>
    <w:tmpl w:val="9377BC45"/>
    <w:lvl w:ilvl="0" w:tentative="0">
      <w:start w:val="2"/>
      <w:numFmt w:val="decimal"/>
      <w:lvlText w:val="%1."/>
      <w:lvlJc w:val="left"/>
      <w:rPr>
        <w:color w:val="3370FF"/>
      </w:rPr>
    </w:lvl>
  </w:abstractNum>
  <w:abstractNum w:abstractNumId="4">
    <w:nsid w:val="9D5D7490"/>
    <w:multiLevelType w:val="singleLevel"/>
    <w:tmpl w:val="9D5D7490"/>
    <w:lvl w:ilvl="0" w:tentative="0">
      <w:start w:val="3"/>
      <w:numFmt w:val="decimal"/>
      <w:lvlText w:val="%1."/>
      <w:lvlJc w:val="left"/>
      <w:rPr>
        <w:color w:val="3370FF"/>
      </w:rPr>
    </w:lvl>
  </w:abstractNum>
  <w:abstractNum w:abstractNumId="5">
    <w:nsid w:val="A0C93552"/>
    <w:multiLevelType w:val="singleLevel"/>
    <w:tmpl w:val="A0C93552"/>
    <w:lvl w:ilvl="0" w:tentative="0">
      <w:start w:val="0"/>
      <w:numFmt w:val="bullet"/>
      <w:lvlText w:val="•"/>
      <w:lvlJc w:val="left"/>
      <w:rPr>
        <w:color w:val="3370FF"/>
      </w:rPr>
    </w:lvl>
  </w:abstractNum>
  <w:abstractNum w:abstractNumId="6">
    <w:nsid w:val="A0F05207"/>
    <w:multiLevelType w:val="singleLevel"/>
    <w:tmpl w:val="A0F05207"/>
    <w:lvl w:ilvl="0" w:tentative="0">
      <w:start w:val="0"/>
      <w:numFmt w:val="bullet"/>
      <w:lvlText w:val="•"/>
      <w:lvlJc w:val="left"/>
      <w:rPr>
        <w:color w:val="3370FF"/>
      </w:rPr>
    </w:lvl>
  </w:abstractNum>
  <w:abstractNum w:abstractNumId="7">
    <w:nsid w:val="B0ED9BEA"/>
    <w:multiLevelType w:val="singleLevel"/>
    <w:tmpl w:val="B0ED9BEA"/>
    <w:lvl w:ilvl="0" w:tentative="0">
      <w:start w:val="1"/>
      <w:numFmt w:val="decimal"/>
      <w:lvlText w:val="%1."/>
      <w:lvlJc w:val="left"/>
      <w:rPr>
        <w:color w:val="3370FF"/>
      </w:rPr>
    </w:lvl>
  </w:abstractNum>
  <w:abstractNum w:abstractNumId="8">
    <w:nsid w:val="B23A94A9"/>
    <w:multiLevelType w:val="singleLevel"/>
    <w:tmpl w:val="B23A94A9"/>
    <w:lvl w:ilvl="0" w:tentative="0">
      <w:start w:val="0"/>
      <w:numFmt w:val="bullet"/>
      <w:lvlText w:val="•"/>
      <w:lvlJc w:val="left"/>
      <w:rPr>
        <w:color w:val="3370FF"/>
      </w:rPr>
    </w:lvl>
  </w:abstractNum>
  <w:abstractNum w:abstractNumId="9">
    <w:nsid w:val="B53F3350"/>
    <w:multiLevelType w:val="singleLevel"/>
    <w:tmpl w:val="B53F3350"/>
    <w:lvl w:ilvl="0" w:tentative="0">
      <w:start w:val="10"/>
      <w:numFmt w:val="decimal"/>
      <w:lvlText w:val="%1."/>
      <w:lvlJc w:val="left"/>
      <w:rPr>
        <w:color w:val="3370FF"/>
      </w:rPr>
    </w:lvl>
  </w:abstractNum>
  <w:abstractNum w:abstractNumId="10">
    <w:nsid w:val="B88D21A8"/>
    <w:multiLevelType w:val="singleLevel"/>
    <w:tmpl w:val="B88D21A8"/>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C0915F4F"/>
    <w:multiLevelType w:val="singleLevel"/>
    <w:tmpl w:val="C0915F4F"/>
    <w:lvl w:ilvl="0" w:tentative="0">
      <w:start w:val="0"/>
      <w:numFmt w:val="bullet"/>
      <w:lvlText w:val="•"/>
      <w:lvlJc w:val="left"/>
      <w:rPr>
        <w:color w:val="3370FF"/>
      </w:rPr>
    </w:lvl>
  </w:abstractNum>
  <w:abstractNum w:abstractNumId="13">
    <w:nsid w:val="C4E0D24A"/>
    <w:multiLevelType w:val="singleLevel"/>
    <w:tmpl w:val="C4E0D24A"/>
    <w:lvl w:ilvl="0" w:tentative="0">
      <w:start w:val="5"/>
      <w:numFmt w:val="decimal"/>
      <w:lvlText w:val="%1."/>
      <w:lvlJc w:val="left"/>
      <w:rPr>
        <w:color w:val="3370FF"/>
      </w:rPr>
    </w:lvl>
  </w:abstractNum>
  <w:abstractNum w:abstractNumId="14">
    <w:nsid w:val="D7D140E4"/>
    <w:multiLevelType w:val="singleLevel"/>
    <w:tmpl w:val="D7D140E4"/>
    <w:lvl w:ilvl="0" w:tentative="0">
      <w:start w:val="5"/>
      <w:numFmt w:val="decimal"/>
      <w:lvlText w:val="%1."/>
      <w:lvlJc w:val="left"/>
      <w:rPr>
        <w:color w:val="3370FF"/>
      </w:rPr>
    </w:lvl>
  </w:abstractNum>
  <w:abstractNum w:abstractNumId="15">
    <w:nsid w:val="DAD3A854"/>
    <w:multiLevelType w:val="singleLevel"/>
    <w:tmpl w:val="DAD3A854"/>
    <w:lvl w:ilvl="0" w:tentative="0">
      <w:start w:val="0"/>
      <w:numFmt w:val="bullet"/>
      <w:lvlText w:val="•"/>
      <w:lvlJc w:val="left"/>
      <w:rPr>
        <w:color w:val="3370FF"/>
      </w:rPr>
    </w:lvl>
  </w:abstractNum>
  <w:abstractNum w:abstractNumId="16">
    <w:nsid w:val="E504947C"/>
    <w:multiLevelType w:val="singleLevel"/>
    <w:tmpl w:val="E504947C"/>
    <w:lvl w:ilvl="0" w:tentative="0">
      <w:start w:val="4"/>
      <w:numFmt w:val="decimal"/>
      <w:lvlText w:val="%1."/>
      <w:lvlJc w:val="left"/>
      <w:rPr>
        <w:color w:val="3370FF"/>
      </w:rPr>
    </w:lvl>
  </w:abstractNum>
  <w:abstractNum w:abstractNumId="17">
    <w:nsid w:val="F0E89278"/>
    <w:multiLevelType w:val="singleLevel"/>
    <w:tmpl w:val="F0E89278"/>
    <w:lvl w:ilvl="0" w:tentative="0">
      <w:start w:val="8"/>
      <w:numFmt w:val="decimal"/>
      <w:lvlText w:val="%1."/>
      <w:lvlJc w:val="left"/>
      <w:rPr>
        <w:color w:val="3370FF"/>
      </w:rPr>
    </w:lvl>
  </w:abstractNum>
  <w:abstractNum w:abstractNumId="18">
    <w:nsid w:val="F689643B"/>
    <w:multiLevelType w:val="singleLevel"/>
    <w:tmpl w:val="F689643B"/>
    <w:lvl w:ilvl="0" w:tentative="0">
      <w:start w:val="0"/>
      <w:numFmt w:val="bullet"/>
      <w:lvlText w:val="•"/>
      <w:lvlJc w:val="left"/>
      <w:rPr>
        <w:color w:val="3370FF"/>
      </w:rPr>
    </w:lvl>
  </w:abstractNum>
  <w:abstractNum w:abstractNumId="19">
    <w:nsid w:val="FEC2EA36"/>
    <w:multiLevelType w:val="singleLevel"/>
    <w:tmpl w:val="FEC2EA36"/>
    <w:lvl w:ilvl="0" w:tentative="0">
      <w:start w:val="1"/>
      <w:numFmt w:val="decimal"/>
      <w:lvlText w:val="%1."/>
      <w:lvlJc w:val="left"/>
      <w:rPr>
        <w:color w:val="3370FF"/>
      </w:rPr>
    </w:lvl>
  </w:abstractNum>
  <w:abstractNum w:abstractNumId="20">
    <w:nsid w:val="03A63A41"/>
    <w:multiLevelType w:val="singleLevel"/>
    <w:tmpl w:val="03A63A41"/>
    <w:lvl w:ilvl="0" w:tentative="0">
      <w:start w:val="0"/>
      <w:numFmt w:val="bullet"/>
      <w:lvlText w:val="•"/>
      <w:lvlJc w:val="left"/>
      <w:rPr>
        <w:color w:val="3370FF"/>
      </w:rPr>
    </w:lvl>
  </w:abstractNum>
  <w:abstractNum w:abstractNumId="21">
    <w:nsid w:val="0709FD3E"/>
    <w:multiLevelType w:val="singleLevel"/>
    <w:tmpl w:val="0709FD3E"/>
    <w:lvl w:ilvl="0" w:tentative="0">
      <w:start w:val="3"/>
      <w:numFmt w:val="decimal"/>
      <w:lvlText w:val="%1."/>
      <w:lvlJc w:val="left"/>
      <w:rPr>
        <w:color w:val="3370FF"/>
      </w:rPr>
    </w:lvl>
  </w:abstractNum>
  <w:abstractNum w:abstractNumId="22">
    <w:nsid w:val="0CEF100B"/>
    <w:multiLevelType w:val="singleLevel"/>
    <w:tmpl w:val="0CEF100B"/>
    <w:lvl w:ilvl="0" w:tentative="0">
      <w:start w:val="4"/>
      <w:numFmt w:val="decimal"/>
      <w:lvlText w:val="%1."/>
      <w:lvlJc w:val="left"/>
      <w:rPr>
        <w:color w:val="3370FF"/>
      </w:rPr>
    </w:lvl>
  </w:abstractNum>
  <w:abstractNum w:abstractNumId="23">
    <w:nsid w:val="0F9F9CCA"/>
    <w:multiLevelType w:val="singleLevel"/>
    <w:tmpl w:val="0F9F9CCA"/>
    <w:lvl w:ilvl="0" w:tentative="0">
      <w:start w:val="0"/>
      <w:numFmt w:val="bullet"/>
      <w:lvlText w:val="•"/>
      <w:lvlJc w:val="left"/>
      <w:rPr>
        <w:color w:val="3370FF"/>
      </w:rPr>
    </w:lvl>
  </w:abstractNum>
  <w:abstractNum w:abstractNumId="24">
    <w:nsid w:val="12EADF99"/>
    <w:multiLevelType w:val="singleLevel"/>
    <w:tmpl w:val="12EADF99"/>
    <w:lvl w:ilvl="0" w:tentative="0">
      <w:start w:val="0"/>
      <w:numFmt w:val="bullet"/>
      <w:lvlText w:val="•"/>
      <w:lvlJc w:val="left"/>
      <w:rPr>
        <w:color w:val="3370FF"/>
      </w:rPr>
    </w:lvl>
  </w:abstractNum>
  <w:abstractNum w:abstractNumId="25">
    <w:nsid w:val="18F74015"/>
    <w:multiLevelType w:val="singleLevel"/>
    <w:tmpl w:val="18F74015"/>
    <w:lvl w:ilvl="0" w:tentative="0">
      <w:start w:val="2"/>
      <w:numFmt w:val="decimal"/>
      <w:lvlText w:val="%1."/>
      <w:lvlJc w:val="left"/>
      <w:rPr>
        <w:color w:val="3370FF"/>
      </w:rPr>
    </w:lvl>
  </w:abstractNum>
  <w:abstractNum w:abstractNumId="26">
    <w:nsid w:val="1ACDE60F"/>
    <w:multiLevelType w:val="singleLevel"/>
    <w:tmpl w:val="1ACDE60F"/>
    <w:lvl w:ilvl="0" w:tentative="0">
      <w:start w:val="0"/>
      <w:numFmt w:val="bullet"/>
      <w:lvlText w:val="•"/>
      <w:lvlJc w:val="left"/>
      <w:rPr>
        <w:color w:val="3370FF"/>
      </w:rPr>
    </w:lvl>
  </w:abstractNum>
  <w:abstractNum w:abstractNumId="27">
    <w:nsid w:val="1C257C7B"/>
    <w:multiLevelType w:val="singleLevel"/>
    <w:tmpl w:val="1C257C7B"/>
    <w:lvl w:ilvl="0" w:tentative="0">
      <w:start w:val="7"/>
      <w:numFmt w:val="decimal"/>
      <w:lvlText w:val="%1."/>
      <w:lvlJc w:val="left"/>
      <w:rPr>
        <w:color w:val="3370FF"/>
      </w:rPr>
    </w:lvl>
  </w:abstractNum>
  <w:abstractNum w:abstractNumId="28">
    <w:nsid w:val="23E97754"/>
    <w:multiLevelType w:val="singleLevel"/>
    <w:tmpl w:val="23E97754"/>
    <w:lvl w:ilvl="0" w:tentative="0">
      <w:start w:val="9"/>
      <w:numFmt w:val="decimal"/>
      <w:lvlText w:val="%1."/>
      <w:lvlJc w:val="left"/>
      <w:rPr>
        <w:color w:val="3370FF"/>
      </w:rPr>
    </w:lvl>
  </w:abstractNum>
  <w:abstractNum w:abstractNumId="29">
    <w:nsid w:val="2F2D79CE"/>
    <w:multiLevelType w:val="singleLevel"/>
    <w:tmpl w:val="2F2D79CE"/>
    <w:lvl w:ilvl="0" w:tentative="0">
      <w:start w:val="0"/>
      <w:numFmt w:val="bullet"/>
      <w:lvlText w:val="•"/>
      <w:lvlJc w:val="left"/>
      <w:rPr>
        <w:color w:val="3370FF"/>
      </w:rPr>
    </w:lvl>
  </w:abstractNum>
  <w:abstractNum w:abstractNumId="30">
    <w:nsid w:val="30A0AC00"/>
    <w:multiLevelType w:val="singleLevel"/>
    <w:tmpl w:val="30A0AC00"/>
    <w:lvl w:ilvl="0" w:tentative="0">
      <w:start w:val="0"/>
      <w:numFmt w:val="bullet"/>
      <w:lvlText w:val="•"/>
      <w:lvlJc w:val="left"/>
      <w:rPr>
        <w:color w:val="3370FF"/>
      </w:rPr>
    </w:lvl>
  </w:abstractNum>
  <w:abstractNum w:abstractNumId="31">
    <w:nsid w:val="322D85CA"/>
    <w:multiLevelType w:val="singleLevel"/>
    <w:tmpl w:val="322D85CA"/>
    <w:lvl w:ilvl="0" w:tentative="0">
      <w:start w:val="1"/>
      <w:numFmt w:val="decimal"/>
      <w:lvlText w:val="%1."/>
      <w:lvlJc w:val="left"/>
      <w:rPr>
        <w:color w:val="3370FF"/>
      </w:rPr>
    </w:lvl>
  </w:abstractNum>
  <w:abstractNum w:abstractNumId="32">
    <w:nsid w:val="32A7AF2D"/>
    <w:multiLevelType w:val="singleLevel"/>
    <w:tmpl w:val="32A7AF2D"/>
    <w:lvl w:ilvl="0" w:tentative="0">
      <w:start w:val="6"/>
      <w:numFmt w:val="decimal"/>
      <w:lvlText w:val="%1."/>
      <w:lvlJc w:val="left"/>
      <w:rPr>
        <w:color w:val="3370FF"/>
      </w:rPr>
    </w:lvl>
  </w:abstractNum>
  <w:abstractNum w:abstractNumId="33">
    <w:nsid w:val="35E83B33"/>
    <w:multiLevelType w:val="singleLevel"/>
    <w:tmpl w:val="35E83B33"/>
    <w:lvl w:ilvl="0" w:tentative="0">
      <w:start w:val="0"/>
      <w:numFmt w:val="bullet"/>
      <w:lvlText w:val="•"/>
      <w:lvlJc w:val="left"/>
      <w:rPr>
        <w:color w:val="3370FF"/>
      </w:rPr>
    </w:lvl>
  </w:abstractNum>
  <w:abstractNum w:abstractNumId="34">
    <w:nsid w:val="3B8127DF"/>
    <w:multiLevelType w:val="singleLevel"/>
    <w:tmpl w:val="3B8127DF"/>
    <w:lvl w:ilvl="0" w:tentative="0">
      <w:start w:val="0"/>
      <w:numFmt w:val="bullet"/>
      <w:lvlText w:val="•"/>
      <w:lvlJc w:val="left"/>
      <w:rPr>
        <w:color w:val="3370FF"/>
      </w:rPr>
    </w:lvl>
  </w:abstractNum>
  <w:abstractNum w:abstractNumId="35">
    <w:nsid w:val="40B249F9"/>
    <w:multiLevelType w:val="singleLevel"/>
    <w:tmpl w:val="40B249F9"/>
    <w:lvl w:ilvl="0" w:tentative="0">
      <w:start w:val="0"/>
      <w:numFmt w:val="bullet"/>
      <w:lvlText w:val="•"/>
      <w:lvlJc w:val="left"/>
      <w:rPr>
        <w:color w:val="3370FF"/>
      </w:rPr>
    </w:lvl>
  </w:abstractNum>
  <w:abstractNum w:abstractNumId="36">
    <w:nsid w:val="4C3D7A74"/>
    <w:multiLevelType w:val="singleLevel"/>
    <w:tmpl w:val="4C3D7A74"/>
    <w:lvl w:ilvl="0" w:tentative="0">
      <w:start w:val="2"/>
      <w:numFmt w:val="decimal"/>
      <w:lvlText w:val="%1."/>
      <w:lvlJc w:val="left"/>
      <w:rPr>
        <w:color w:val="3370FF"/>
      </w:rPr>
    </w:lvl>
  </w:abstractNum>
  <w:abstractNum w:abstractNumId="37">
    <w:nsid w:val="5E29AB5A"/>
    <w:multiLevelType w:val="singleLevel"/>
    <w:tmpl w:val="5E29AB5A"/>
    <w:lvl w:ilvl="0" w:tentative="0">
      <w:start w:val="0"/>
      <w:numFmt w:val="bullet"/>
      <w:lvlText w:val="•"/>
      <w:lvlJc w:val="left"/>
      <w:rPr>
        <w:color w:val="3370FF"/>
      </w:rPr>
    </w:lvl>
  </w:abstractNum>
  <w:abstractNum w:abstractNumId="38">
    <w:nsid w:val="5FFFB1A7"/>
    <w:multiLevelType w:val="singleLevel"/>
    <w:tmpl w:val="5FFFB1A7"/>
    <w:lvl w:ilvl="0" w:tentative="0">
      <w:start w:val="0"/>
      <w:numFmt w:val="bullet"/>
      <w:lvlText w:val="•"/>
      <w:lvlJc w:val="left"/>
      <w:rPr>
        <w:color w:val="3370FF"/>
      </w:rPr>
    </w:lvl>
  </w:abstractNum>
  <w:abstractNum w:abstractNumId="39">
    <w:nsid w:val="65CD0074"/>
    <w:multiLevelType w:val="singleLevel"/>
    <w:tmpl w:val="65CD0074"/>
    <w:lvl w:ilvl="0" w:tentative="0">
      <w:start w:val="2"/>
      <w:numFmt w:val="decimal"/>
      <w:lvlText w:val="%1."/>
      <w:lvlJc w:val="left"/>
      <w:rPr>
        <w:color w:val="3370FF"/>
      </w:rPr>
    </w:lvl>
  </w:abstractNum>
  <w:abstractNum w:abstractNumId="40">
    <w:nsid w:val="700FDCEF"/>
    <w:multiLevelType w:val="singleLevel"/>
    <w:tmpl w:val="700FDCEF"/>
    <w:lvl w:ilvl="0" w:tentative="0">
      <w:start w:val="3"/>
      <w:numFmt w:val="decimal"/>
      <w:lvlText w:val="%1."/>
      <w:lvlJc w:val="left"/>
      <w:rPr>
        <w:color w:val="3370FF"/>
      </w:rPr>
    </w:lvl>
  </w:abstractNum>
  <w:abstractNum w:abstractNumId="41">
    <w:nsid w:val="74C28B35"/>
    <w:multiLevelType w:val="singleLevel"/>
    <w:tmpl w:val="74C28B35"/>
    <w:lvl w:ilvl="0" w:tentative="0">
      <w:start w:val="1"/>
      <w:numFmt w:val="decimal"/>
      <w:lvlText w:val="%1."/>
      <w:lvlJc w:val="left"/>
      <w:rPr>
        <w:color w:val="3370FF"/>
      </w:rPr>
    </w:lvl>
  </w:abstractNum>
  <w:abstractNum w:abstractNumId="42">
    <w:nsid w:val="77633216"/>
    <w:multiLevelType w:val="singleLevel"/>
    <w:tmpl w:val="77633216"/>
    <w:lvl w:ilvl="0" w:tentative="0">
      <w:start w:val="0"/>
      <w:numFmt w:val="bullet"/>
      <w:lvlText w:val="•"/>
      <w:lvlJc w:val="left"/>
      <w:rPr>
        <w:color w:val="3370FF"/>
      </w:rPr>
    </w:lvl>
  </w:abstractNum>
  <w:abstractNum w:abstractNumId="43">
    <w:nsid w:val="79AA4FA4"/>
    <w:multiLevelType w:val="singleLevel"/>
    <w:tmpl w:val="79AA4FA4"/>
    <w:lvl w:ilvl="0" w:tentative="0">
      <w:start w:val="0"/>
      <w:numFmt w:val="bullet"/>
      <w:lvlText w:val="•"/>
      <w:lvlJc w:val="left"/>
      <w:rPr>
        <w:color w:val="3370FF"/>
      </w:rPr>
    </w:lvl>
  </w:abstractNum>
  <w:num w:numId="1">
    <w:abstractNumId w:val="43"/>
  </w:num>
  <w:num w:numId="2">
    <w:abstractNumId w:val="2"/>
  </w:num>
  <w:num w:numId="3">
    <w:abstractNumId w:val="11"/>
  </w:num>
  <w:num w:numId="4">
    <w:abstractNumId w:val="37"/>
  </w:num>
  <w:num w:numId="5">
    <w:abstractNumId w:val="0"/>
  </w:num>
  <w:num w:numId="6">
    <w:abstractNumId w:val="26"/>
  </w:num>
  <w:num w:numId="7">
    <w:abstractNumId w:val="1"/>
  </w:num>
  <w:num w:numId="8">
    <w:abstractNumId w:val="38"/>
  </w:num>
  <w:num w:numId="9">
    <w:abstractNumId w:val="41"/>
  </w:num>
  <w:num w:numId="10">
    <w:abstractNumId w:val="36"/>
  </w:num>
  <w:num w:numId="11">
    <w:abstractNumId w:val="31"/>
  </w:num>
  <w:num w:numId="12">
    <w:abstractNumId w:val="39"/>
  </w:num>
  <w:num w:numId="13">
    <w:abstractNumId w:val="21"/>
  </w:num>
  <w:num w:numId="14">
    <w:abstractNumId w:val="22"/>
  </w:num>
  <w:num w:numId="15">
    <w:abstractNumId w:val="14"/>
  </w:num>
  <w:num w:numId="16">
    <w:abstractNumId w:val="32"/>
  </w:num>
  <w:num w:numId="17">
    <w:abstractNumId w:val="27"/>
  </w:num>
  <w:num w:numId="18">
    <w:abstractNumId w:val="17"/>
  </w:num>
  <w:num w:numId="19">
    <w:abstractNumId w:val="28"/>
  </w:num>
  <w:num w:numId="20">
    <w:abstractNumId w:val="9"/>
  </w:num>
  <w:num w:numId="21">
    <w:abstractNumId w:val="35"/>
  </w:num>
  <w:num w:numId="22">
    <w:abstractNumId w:val="23"/>
  </w:num>
  <w:num w:numId="23">
    <w:abstractNumId w:val="33"/>
  </w:num>
  <w:num w:numId="24">
    <w:abstractNumId w:val="20"/>
  </w:num>
  <w:num w:numId="25">
    <w:abstractNumId w:val="12"/>
  </w:num>
  <w:num w:numId="26">
    <w:abstractNumId w:val="24"/>
  </w:num>
  <w:num w:numId="27">
    <w:abstractNumId w:val="8"/>
  </w:num>
  <w:num w:numId="28">
    <w:abstractNumId w:val="34"/>
  </w:num>
  <w:num w:numId="29">
    <w:abstractNumId w:val="6"/>
  </w:num>
  <w:num w:numId="30">
    <w:abstractNumId w:val="18"/>
  </w:num>
  <w:num w:numId="31">
    <w:abstractNumId w:val="30"/>
  </w:num>
  <w:num w:numId="32">
    <w:abstractNumId w:val="19"/>
  </w:num>
  <w:num w:numId="33">
    <w:abstractNumId w:val="25"/>
  </w:num>
  <w:num w:numId="34">
    <w:abstractNumId w:val="40"/>
  </w:num>
  <w:num w:numId="35">
    <w:abstractNumId w:val="16"/>
  </w:num>
  <w:num w:numId="36">
    <w:abstractNumId w:val="13"/>
  </w:num>
  <w:num w:numId="37">
    <w:abstractNumId w:val="5"/>
  </w:num>
  <w:num w:numId="38">
    <w:abstractNumId w:val="42"/>
  </w:num>
  <w:num w:numId="39">
    <w:abstractNumId w:val="15"/>
  </w:num>
  <w:num w:numId="40">
    <w:abstractNumId w:val="10"/>
  </w:num>
  <w:num w:numId="41">
    <w:abstractNumId w:val="29"/>
  </w:num>
  <w:num w:numId="42">
    <w:abstractNumId w:val="7"/>
  </w:num>
  <w:num w:numId="43">
    <w:abstractNumId w:val="3"/>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compat>
    <w:useFELayout/>
    <w:splitPgBreakAndParaMark/>
    <w:compatSetting w:name="compatibilityMode" w:uri="http://schemas.microsoft.com/office/word" w:val="12"/>
  </w:compat>
  <w:rsids>
    <w:rsidRoot w:val="00000000"/>
    <w:rsid w:val="02397F20"/>
    <w:rsid w:val="07743210"/>
    <w:rsid w:val="07E06245"/>
    <w:rsid w:val="0BEA4330"/>
    <w:rsid w:val="0C5C1C12"/>
    <w:rsid w:val="112C6057"/>
    <w:rsid w:val="12F901BB"/>
    <w:rsid w:val="1C163B8C"/>
    <w:rsid w:val="2E1E4B22"/>
    <w:rsid w:val="300264A9"/>
    <w:rsid w:val="35076310"/>
    <w:rsid w:val="36940077"/>
    <w:rsid w:val="3B914B85"/>
    <w:rsid w:val="3D930DF3"/>
    <w:rsid w:val="3E7954E8"/>
    <w:rsid w:val="42021C48"/>
    <w:rsid w:val="451F3201"/>
    <w:rsid w:val="55B67488"/>
    <w:rsid w:val="6C8B2DA7"/>
    <w:rsid w:val="6E364F94"/>
    <w:rsid w:val="78F65A4C"/>
    <w:rsid w:val="7E8171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3851</Words>
  <Characters>5356</Characters>
  <TotalTime>20</TotalTime>
  <ScaleCrop>false</ScaleCrop>
  <LinksUpToDate>false</LinksUpToDate>
  <CharactersWithSpaces>5382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2026-01-31T03:26:00Z</dcterms:created>
  <dc:creator>Apache POI</dc:creator>
  <cp:lastModifiedBy>Authors</cp:lastModifiedBy>
  <dcterms:modified xsi:type="dcterms:W3CDTF">2026-01-31T04:04:57Z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eyJoZGlkIjoiNWRkODIxNjdjYjZkZmEwMjgyYmUzMjdmZGI4ZWY0YzciLCJ1c2VySWQiOiIxNjE5OTY4MzMyIn0=</vt:lpwstr>
  </property>
  <property fmtid="{D5CDD505-2E9C-101B-9397-08002B2CF9AE}" pid="3" name="KSOProductBuildVer">
    <vt:lpwstr>2052-12.1.0.25225</vt:lpwstr>
  </property>
  <property fmtid="{D5CDD505-2E9C-101B-9397-08002B2CF9AE}" pid="4" name="ICV">
    <vt:lpwstr>FDE244C901394177B333A9D7E8113425_12</vt:lpwstr>
  </property>
</Properties>
</file>