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45867">
      <w:pPr>
        <w:spacing w:before="480" w:after="480" w:line="288" w:lineRule="auto"/>
        <w:ind w:left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52"/>
        </w:rPr>
        <w:t>D 第二问：球员收购策略模型</w:t>
      </w:r>
    </w:p>
    <w:p w14:paraId="01DAA6AD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0" w:name="heading_1"/>
      <w:r>
        <w:rPr>
          <w:rFonts w:hint="default" w:ascii="Times New Roman" w:hAnsi="Times New Roman" w:eastAsia="宋体" w:cs="Times New Roman"/>
          <w:b/>
          <w:sz w:val="32"/>
        </w:rPr>
        <w:t>1.1 问题核心</w:t>
      </w:r>
      <w:bookmarkEnd w:id="0"/>
    </w:p>
    <w:p w14:paraId="67EC3A8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bookmarkStart w:id="28" w:name="_GoBack"/>
      <w:r>
        <w:rPr>
          <w:rFonts w:hint="default" w:ascii="Times New Roman" w:hAnsi="Times New Roman" w:eastAsia="宋体" w:cs="Times New Roman"/>
          <w:sz w:val="22"/>
        </w:rPr>
        <w:t>基于第一问“球队利润与品牌估值双目标动态决策模型”的框架，聚焦“球员收购”这一核心执行环节，制定适配WNBA联盟规则（选秀、自由市场、交易）的球员收购策略。核心目标是在薪资帽、阵容结构、健康风险等约束下，通过多维度评估球员价值，选择最优收购渠道与目标球员组合，实现“即战力补强”与“长期潜力培养”的平衡，确保收购策略能支撑第一问中利润与品牌估值最大化的核心目标，同时保障球队竞技表现稳定性与财务健康。</w:t>
      </w:r>
    </w:p>
    <w:p w14:paraId="19660103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第一问构建了球队动态决策的整体框架，明确了“利润=竞技收入+商业收入-总成本”“估值=当期价值+未来现金流折现”的双目标函数，以及薪资帽、阵容人数等基础约束；第二问是第一问模型的核心执行模块，重点解决“如何通过球员收购优化阵容结构，进而提升球队竞技表现与商业价值”的问题。</w:t>
      </w:r>
    </w:p>
    <w:bookmarkEnd w:id="28"/>
    <w:p w14:paraId="2179553C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1" w:name="heading_3"/>
      <w:r>
        <w:rPr>
          <w:rFonts w:hint="default" w:ascii="Times New Roman" w:hAnsi="Times New Roman" w:eastAsia="宋体" w:cs="Times New Roman"/>
          <w:b/>
          <w:sz w:val="36"/>
        </w:rPr>
        <w:t>2. 数据适配与筛选（基于现有WNBA数据字段）</w:t>
      </w:r>
      <w:bookmarkEnd w:id="1"/>
    </w:p>
    <w:p w14:paraId="0F8F410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结合用户提供的4份参考文档（数据解析、综合表、问题原文等），提取与球员收购策略直接相关的数据字段，明确各字段的模型用途，确保模型贴合数据实际，避免无数据支撑的参数设定，具体适配如下表所示（仅列核心字段，不涉及真实数据）：</w:t>
      </w:r>
    </w:p>
    <w:tbl>
      <w:tblPr>
        <w:tblStyle w:val="2"/>
        <w:tblW w:w="1000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8"/>
        <w:gridCol w:w="2574"/>
        <w:gridCol w:w="2352"/>
        <w:gridCol w:w="2616"/>
      </w:tblGrid>
      <w:tr w14:paraId="0D19E77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5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38FEF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数据来源文档</w:t>
            </w:r>
          </w:p>
        </w:tc>
        <w:tc>
          <w:tcPr>
            <w:tcW w:w="217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D1808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核心数据字段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CE07E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模型用途</w:t>
            </w:r>
          </w:p>
        </w:tc>
        <w:tc>
          <w:tcPr>
            <w:tcW w:w="300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F075C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对应模型模块</w:t>
            </w:r>
          </w:p>
        </w:tc>
      </w:tr>
      <w:tr w14:paraId="2C73655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5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85386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player_salaries_2025.csv</w:t>
            </w:r>
          </w:p>
        </w:tc>
        <w:tc>
          <w:tcPr>
            <w:tcW w:w="217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54236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salary_2025、contract_type、contract_length、player_name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644C1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设定球员收购薪资基准（Cᵢ）；2. 区分收购渠道（新秀合同=选秀、自由球员合同=自由市场）；3. 计算合同剩余价值</w:t>
            </w:r>
          </w:p>
        </w:tc>
        <w:tc>
          <w:tcPr>
            <w:tcW w:w="300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078EC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球员价值评估、成本约束、收购渠道约束</w:t>
            </w:r>
          </w:p>
        </w:tc>
      </w:tr>
      <w:tr w14:paraId="0B059FB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C0347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salary_cap_history.csv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7555C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salary_cap、salary_floor、max_salary、rookie_min_0_2_yrs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111F9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设定薪资帽硬约束（Cap）；2. 限定球员薪资上下限（sₘᵢₙ,ᵢ、sₘₐₓ,ᵢ）；3. 校准新秀、老将薪资基准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473F4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财务约束、薪资合理性约束</w:t>
            </w:r>
          </w:p>
        </w:tc>
      </w:tr>
      <w:tr w14:paraId="42A5443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65868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ICM_D_WNBA_数据说明文档（综合表）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70B93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pos、minutes、points、rebounds、assists、plus_minus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D0613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量化球员竞技表现（Sᵢ）；2. 确定球员位置（Posₖ），支撑阵容适配度计算；3. 评估球员出场负荷（Loadᵢₜ）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29CBB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球员竞技价值评估、阵容约束、健康风险模型</w:t>
            </w:r>
          </w:p>
        </w:tc>
      </w:tr>
      <w:tr w14:paraId="3DBCAED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B763C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attendance_data.csv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1A752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avg_attendance、capacity_utilization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00CE5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间接量化球员商业号召力（Fᵢ）（上座率与球星流量正相关）；2. 校准商业收入转化系数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EE694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球员商业价值评估、收入函数</w:t>
            </w:r>
          </w:p>
        </w:tc>
      </w:tr>
      <w:tr w14:paraId="795001A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79F1B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model_parameters.csv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17424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injury_risk_coeff、salary_cap_growth_rate、discount_rate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5B0F2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量化球员伤病风险（P(Injuryᵢₜ)）；2. 预测未来薪资帽，支撑长期收购规划；3. 计算未来潜力折现价值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F7FEF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健康风险约束、潜力评估、敏感性分析</w:t>
            </w:r>
          </w:p>
        </w:tc>
      </w:tr>
      <w:tr w14:paraId="10823F4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5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DACEF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参考.pdf（问题映射）</w:t>
            </w:r>
          </w:p>
        </w:tc>
        <w:tc>
          <w:tcPr>
            <w:tcW w:w="217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90F70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Perfᵢ、Fansᵢ、Clutch Rating、WPA</w:t>
            </w:r>
          </w:p>
        </w:tc>
        <w:tc>
          <w:tcPr>
            <w:tcW w:w="246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FCDB2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构建球员综合价值评估体系；2. 量化关键球能力，补充竞技价值维度；3. 校准协同效应系数</w:t>
            </w:r>
          </w:p>
        </w:tc>
        <w:tc>
          <w:tcPr>
            <w:tcW w:w="300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B2823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球员综合价值评估、竞技表现函数</w:t>
            </w:r>
          </w:p>
        </w:tc>
      </w:tr>
    </w:tbl>
    <w:p w14:paraId="00AF46B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说明：所有数据字段仅用于设定模型参数、定义变量，建模过程中不代入具体真实数据，仅保留参数符号与逻辑关系，确保模型的通用性与可扩展性。</w:t>
      </w:r>
    </w:p>
    <w:p w14:paraId="770701C1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2" w:name="heading_4"/>
      <w:r>
        <w:rPr>
          <w:rFonts w:hint="default" w:ascii="Times New Roman" w:hAnsi="Times New Roman" w:eastAsia="宋体" w:cs="Times New Roman"/>
          <w:b/>
          <w:sz w:val="36"/>
        </w:rPr>
        <w:t>3. 模型假设（延续第一问，补充专项假设）</w:t>
      </w:r>
      <w:bookmarkEnd w:id="2"/>
    </w:p>
    <w:p w14:paraId="34E3E4D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结合第一问假设与球员收购场景，补充专项假设，确保模型简化合理、无逻辑矛盾，同时贴合WNBA联盟规则与数据特性：</w:t>
      </w:r>
    </w:p>
    <w:p w14:paraId="78E6E1E8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球员价值假设：球员综合价值由竞技、商业、健康、潜力、阵容契合度五维度构成；球员价值在合同期内的波动服从正态分布，无突发性突变。</w:t>
      </w:r>
    </w:p>
    <w:p w14:paraId="485ACAAB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收购渠道假设：① 选秀（q=1）：仅针对新秀（contract_type=Rookie），薪资按rookie_min_0_2_yrs及顺位校准，潜力兑现概率服从二项分布；② 自由市场（q=2）：针对合同到期球员（contract_type=Free Agent），薪资可在max_salary范围内协商，存在溢价系数；③ 交易（q=3）：需付出现有球员薪资节省或资产折价，交易人数不超过放弃球员人数。</w:t>
      </w:r>
    </w:p>
    <w:p w14:paraId="6C7A5D64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风险假设：球员伤病概率服从指数分布（基于《model_parameters.csv》的injury_risk_coeff与《ICM_D_WNBA_数据说明文档（综合表）》的minutes字段计算的出场负荷）；新秀潜力兑现概率仅与历史新秀数据校准的潜力系数相关，与其他无关因素无关；商业风险（上座率波动）可通过球员商业号召力对冲。</w:t>
      </w:r>
    </w:p>
    <w:p w14:paraId="3EE5784E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3" w:name="heading_5"/>
      <w:r>
        <w:rPr>
          <w:rFonts w:hint="default" w:ascii="Times New Roman" w:hAnsi="Times New Roman" w:eastAsia="宋体" w:cs="Times New Roman"/>
          <w:b/>
          <w:sz w:val="36"/>
        </w:rPr>
        <w:t>4. 符号定义（衔接第一问，补充收购专项符号）</w:t>
      </w:r>
      <w:bookmarkEnd w:id="3"/>
    </w:p>
    <w:p w14:paraId="0D849F6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符号分类定义，清晰对应数据字段与模型模块，每个符号均有明确含义与数据支撑，避免歧义，与第一问符号保持一致，新增收购相关符号：</w:t>
      </w:r>
    </w:p>
    <w:p w14:paraId="23D29521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4" w:name="heading_6"/>
      <w:r>
        <w:rPr>
          <w:rFonts w:hint="default" w:ascii="Times New Roman" w:hAnsi="Times New Roman" w:eastAsia="宋体" w:cs="Times New Roman"/>
          <w:b/>
          <w:sz w:val="32"/>
        </w:rPr>
        <w:t>4.1 决策变量（新增+延续）</w:t>
      </w:r>
      <w:bookmarkEnd w:id="4"/>
    </w:p>
    <w:tbl>
      <w:tblPr>
        <w:tblStyle w:val="2"/>
        <w:tblW w:w="8521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7"/>
        <w:gridCol w:w="1527"/>
        <w:gridCol w:w="3251"/>
        <w:gridCol w:w="3146"/>
      </w:tblGrid>
      <w:tr w14:paraId="3F4B827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59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12DA6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符号</w:t>
            </w:r>
          </w:p>
        </w:tc>
        <w:tc>
          <w:tcPr>
            <w:tcW w:w="152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5E80D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类型</w:t>
            </w:r>
          </w:p>
        </w:tc>
        <w:tc>
          <w:tcPr>
            <w:tcW w:w="325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3EB74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含义解释</w:t>
            </w:r>
          </w:p>
        </w:tc>
        <w:tc>
          <w:tcPr>
            <w:tcW w:w="314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492CF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数据支撑字段</w:t>
            </w:r>
          </w:p>
        </w:tc>
      </w:tr>
      <w:tr w14:paraId="0EF4C1D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9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D92A0A">
            <w:pPr>
              <w:snapToGrid w:val="0"/>
              <w:spacing w:before="120" w:after="120" w:line="240" w:lineRule="auto"/>
              <w:ind w:left="0"/>
              <w:jc w:val="center"/>
              <w:rPr>
                <w:rFonts w:hint="default" w:ascii="Times New Roman" w:hAnsi="Cambria Math" w:eastAsia="宋体" w:cs="Times New Roman"/>
                <w:i w:val="0"/>
                <w:sz w:val="22"/>
                <w:szCs w:val="22"/>
              </w:rPr>
            </w:pPr>
            <m:oMathPara>
              <m:oMath>
                <m:r>
                  <m:rPr/>
                  <w:rPr>
                    <w:rFonts w:hint="default" w:ascii="Times New Roman" w:hAnsi="Times New Roman" w:eastAsia="宋体"/>
                    <w:sz w:val="22"/>
                  </w:rPr>
                  <m:t>x</m:t>
                </m:r>
                <m:r>
                  <m:rPr>
                    <m:sty m:val="p"/>
                  </m:rPr>
                  <w:rPr>
                    <w:rFonts w:hint="default" w:ascii="Times New Roman" w:hAnsi="Times New Roman" w:eastAsia="宋体"/>
                    <w:sz w:val="22"/>
                  </w:rPr>
                  <m:t>ᵢ</m:t>
                </m:r>
                <m:sSub>
                  <m:sSubPr>
                    <m:ctrlPr>
                      <w:rPr>
                        <w:rFonts w:hint="default" w:ascii="Cambria Math" w:hAnsi="Cambria Math" w:eastAsia="宋体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Times New Roman" w:hAnsi="Times New Roman" w:eastAsia="宋体"/>
                        <w:sz w:val="22"/>
                      </w:rPr>
                      <m:t>,</m:t>
                    </m:r>
                    <m:ctrlPr>
                      <w:rPr>
                        <w:rFonts w:ascii="Cambria Math" w:hAnsi="Cambria Math" w:eastAsia="宋体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Times New Roman" w:hAnsi="Times New Roman" w:eastAsia="宋体"/>
                        <w:sz w:val="22"/>
                      </w:rPr>
                      <m:t>q</m:t>
                    </m:r>
                    <m:ctrlPr>
                      <w:rPr>
                        <w:rFonts w:ascii="Cambria Math" w:hAnsi="Cambria Math" w:eastAsia="宋体"/>
                        <w:sz w:val="22"/>
                      </w:rPr>
                    </m:ctrlPr>
                  </m:sub>
                </m:sSub>
              </m:oMath>
            </m:oMathPara>
          </w:p>
        </w:tc>
        <w:tc>
          <w:tcPr>
            <w:tcW w:w="152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7CFF0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0-1整数变量</w:t>
            </w:r>
          </w:p>
        </w:tc>
        <w:tc>
          <w:tcPr>
            <w:tcW w:w="325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BB6B8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球员i是否通过渠道q被收购（q=1：选秀；q=2：自由市场；q=3：交易；xᵢ,_q=1表示收购，0反之）</w:t>
            </w:r>
          </w:p>
        </w:tc>
        <w:tc>
          <w:tcPr>
            <w:tcW w:w="314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DEC9D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《player_salaries_2025.csv》的contract_type</w:t>
            </w:r>
          </w:p>
        </w:tc>
      </w:tr>
      <w:tr w14:paraId="7A53983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CE269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Cambria Math" w:eastAsia="宋体" w:cs="Times New Roman"/>
                <w:i w:val="0"/>
                <w:sz w:val="22"/>
                <w:szCs w:val="22"/>
              </w:rPr>
            </w:pPr>
            <m:oMathPara>
              <m:oMath>
                <m:r>
                  <m:rPr/>
                  <w:rPr>
                    <w:rFonts w:hint="default" w:ascii="Times New Roman" w:hAnsi="Times New Roman" w:eastAsia="宋体"/>
                    <w:sz w:val="22"/>
                  </w:rPr>
                  <m:t>s</m:t>
                </m:r>
                <m:r>
                  <m:rPr>
                    <m:sty m:val="p"/>
                  </m:rPr>
                  <w:rPr>
                    <w:rFonts w:hint="default" w:ascii="Times New Roman" w:hAnsi="Times New Roman" w:eastAsia="宋体"/>
                    <w:sz w:val="22"/>
                  </w:rPr>
                  <m:t>ᵢ</m:t>
                </m:r>
              </m:oMath>
            </m:oMathPara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9F244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连续变量（≥0）</w:t>
            </w:r>
          </w:p>
        </w:tc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091F0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收购球员i后的签约薪资（单位：万美元/赛季）</w:t>
            </w: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9C824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《player_salaries_2025.csv》的salary_2025、《salary_cap_history.csv》的max_salary、rookie_min_0_2_yrs</w:t>
            </w:r>
          </w:p>
        </w:tc>
      </w:tr>
      <w:tr w14:paraId="2643E34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0C8741">
            <w:pPr>
              <w:snapToGrid w:val="0"/>
              <w:spacing w:before="120" w:after="120" w:line="240" w:lineRule="auto"/>
              <w:ind w:left="0"/>
              <w:jc w:val="center"/>
              <w:rPr>
                <w:rFonts w:hint="default" w:ascii="Times New Roman" w:hAnsi="Cambria Math" w:eastAsia="宋体" w:cs="Times New Roman"/>
                <w:i w:val="0"/>
                <w:sz w:val="22"/>
                <w:szCs w:val="22"/>
              </w:rPr>
            </w:pPr>
            <m:oMathPara>
              <m:oMath>
                <m:r>
                  <m:rPr/>
                  <w:rPr>
                    <w:rFonts w:hint="default" w:ascii="Times New Roman" w:hAnsi="Times New Roman" w:eastAsia="宋体"/>
                    <w:sz w:val="22"/>
                  </w:rPr>
                  <m:t>y</m:t>
                </m:r>
                <m:r>
                  <m:rPr>
                    <m:sty m:val="p"/>
                  </m:rPr>
                  <w:rPr>
                    <w:rFonts w:hint="default" w:ascii="Times New Roman" w:hAnsi="Times New Roman" w:eastAsia="宋体"/>
                    <w:sz w:val="22"/>
                  </w:rPr>
                  <m:t>ⱼ</m:t>
                </m:r>
              </m:oMath>
            </m:oMathPara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72342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0-1整数变量</w:t>
            </w:r>
          </w:p>
        </w:tc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08418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为收购球员i是否放弃现有球员j（yⱼ=1表示放弃，0反之）</w:t>
            </w: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23D49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《player_salaries_2025.csv》的salary_2025、contract_length</w:t>
            </w:r>
          </w:p>
        </w:tc>
      </w:tr>
      <w:tr w14:paraId="62EBDA8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823F2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Cambria Math" w:eastAsia="宋体" w:cs="Times New Roman"/>
                <w:i w:val="0"/>
                <w:sz w:val="22"/>
                <w:szCs w:val="22"/>
              </w:rPr>
            </w:pPr>
            <m:oMathPara>
              <m:oMath>
                <m:r>
                  <m:rPr/>
                  <w:rPr>
                    <w:rFonts w:hint="default" w:ascii="Times New Roman" w:hAnsi="Times New Roman" w:eastAsia="宋体"/>
                    <w:sz w:val="22"/>
                  </w:rPr>
                  <m:t>t</m:t>
                </m:r>
                <m:r>
                  <m:rPr>
                    <m:sty m:val="p"/>
                  </m:rPr>
                  <w:rPr>
                    <w:rFonts w:hint="default" w:ascii="Times New Roman" w:hAnsi="Times New Roman" w:eastAsia="宋体"/>
                    <w:sz w:val="22"/>
                  </w:rPr>
                  <m:t>ᵢ</m:t>
                </m:r>
              </m:oMath>
            </m:oMathPara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5F967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连续变量（0≤tᵢ≤1）</w:t>
            </w:r>
          </w:p>
        </w:tc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AF26F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收购球员i后的预期出场时间占比</w:t>
            </w: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CCD1D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《ICM_D_WNBA_数据说明文档（综合表）》的minutes</w:t>
            </w:r>
          </w:p>
        </w:tc>
      </w:tr>
      <w:tr w14:paraId="66144F6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BA29C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Cambria Math" w:eastAsia="宋体" w:cs="Times New Roman"/>
                <w:i w:val="0"/>
                <w:sz w:val="22"/>
                <w:szCs w:val="22"/>
              </w:rPr>
            </w:pPr>
            <m:oMathPara>
              <m:oMath>
                <m:r>
                  <m:rPr/>
                  <w:rPr>
                    <w:rFonts w:hint="default" w:ascii="Times New Roman" w:hAnsi="Times New Roman" w:eastAsia="宋体"/>
                    <w:sz w:val="22"/>
                  </w:rPr>
                  <m:t>k</m:t>
                </m:r>
                <m:r>
                  <m:rPr>
                    <m:sty m:val="p"/>
                  </m:rPr>
                  <w:rPr>
                    <w:rFonts w:hint="default" w:ascii="Times New Roman" w:hAnsi="Times New Roman" w:eastAsia="宋体"/>
                    <w:sz w:val="22"/>
                  </w:rPr>
                  <m:t>ᵢ</m:t>
                </m:r>
              </m:oMath>
            </m:oMathPara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BEC63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连续变量（0≤kᵢ≤1）</w:t>
            </w:r>
          </w:p>
        </w:tc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C8F52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球员i的潜力兑现系数（kᵢ=1表示完全兑现，0表示未兑现）</w:t>
            </w: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D07E2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《model_parameters.csv》相关潜力参数</w:t>
            </w:r>
          </w:p>
        </w:tc>
      </w:tr>
      <w:tr w14:paraId="5A5ECD5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9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A683A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Cambria Math" w:eastAsia="宋体" w:cs="Times New Roman"/>
                <w:i w:val="0"/>
                <w:sz w:val="22"/>
                <w:szCs w:val="22"/>
              </w:rPr>
            </w:pPr>
            <m:oMathPara>
              <m:oMath>
                <m:r>
                  <m:rPr/>
                  <w:rPr>
                    <w:rFonts w:hint="default" w:ascii="Times New Roman" w:hAnsi="Times New Roman" w:eastAsia="宋体"/>
                    <w:sz w:val="22"/>
                  </w:rPr>
                  <m:t>x</m:t>
                </m:r>
                <m:r>
                  <m:rPr>
                    <m:sty m:val="p"/>
                  </m:rPr>
                  <w:rPr>
                    <w:rFonts w:hint="default" w:ascii="Times New Roman" w:hAnsi="Times New Roman" w:eastAsia="宋体"/>
                    <w:sz w:val="22"/>
                  </w:rPr>
                  <m:t>ᵢ</m:t>
                </m:r>
              </m:oMath>
            </m:oMathPara>
          </w:p>
        </w:tc>
        <w:tc>
          <w:tcPr>
            <w:tcW w:w="152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D3CA9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0-1整数变量（延续第一问）</w:t>
            </w:r>
          </w:p>
        </w:tc>
        <w:tc>
          <w:tcPr>
            <w:tcW w:w="325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2B3A3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球员i是否入选球队最终阵容（xᵢ=1表示入选，0反之），xᵢ=∑xᵢ,_q（q=1,2,3）</w:t>
            </w:r>
          </w:p>
        </w:tc>
        <w:tc>
          <w:tcPr>
            <w:tcW w:w="314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6AB17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延续第一问，关联收购决策</w:t>
            </w:r>
          </w:p>
        </w:tc>
      </w:tr>
    </w:tbl>
    <w:p w14:paraId="031B416A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5" w:name="heading_7"/>
      <w:r>
        <w:rPr>
          <w:rFonts w:hint="default" w:ascii="Times New Roman" w:hAnsi="Times New Roman" w:eastAsia="宋体" w:cs="Times New Roman"/>
          <w:b/>
          <w:sz w:val="32"/>
        </w:rPr>
        <w:t>4.2 核心参数（新增+延续）</w:t>
      </w:r>
      <w:bookmarkEnd w:id="5"/>
    </w:p>
    <w:tbl>
      <w:tblPr>
        <w:tblStyle w:val="2"/>
        <w:tblW w:w="8641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1"/>
        <w:gridCol w:w="3020"/>
        <w:gridCol w:w="3020"/>
      </w:tblGrid>
      <w:tr w14:paraId="56404C8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60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F10ED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符号</w:t>
            </w:r>
          </w:p>
        </w:tc>
        <w:tc>
          <w:tcPr>
            <w:tcW w:w="302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84F8C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含义解释</w:t>
            </w:r>
          </w:p>
        </w:tc>
        <w:tc>
          <w:tcPr>
            <w:tcW w:w="302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BD9EF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数据支撑字段</w:t>
            </w:r>
          </w:p>
        </w:tc>
      </w:tr>
      <w:tr w14:paraId="3D25F26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0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DA99D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V</m:t>
                </m:r>
                <m:sSup>
                  <m:sSupP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2"/>
                      </w:rPr>
                      <m:t>ᵢ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e>
                  <m:sup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2"/>
                      </w:rPr>
                      <m:t>A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up>
                </m:sSup>
              </m:oMath>
            </m:oMathPara>
          </w:p>
        </w:tc>
        <w:tc>
          <w:tcPr>
            <w:tcW w:w="302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68AE1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球员i的竞技价值评分（标准化后∈[0,1]），基于得分、篮板、助攻等计算</w:t>
            </w:r>
          </w:p>
        </w:tc>
        <w:tc>
          <w:tcPr>
            <w:tcW w:w="302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BC011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《ICM_D_WNBA_数据说明文档（综合表）》的points、rebounds、assists、plus_minus</w:t>
            </w:r>
          </w:p>
        </w:tc>
      </w:tr>
      <w:tr w14:paraId="7DBFF0E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A17CA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V</m:t>
                </m:r>
                <m:sSup>
                  <m:sSupP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2"/>
                      </w:rPr>
                      <m:t>ᵢ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e>
                  <m:sup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2"/>
                      </w:rPr>
                      <m:t>B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up>
                </m:sSup>
              </m:oMath>
            </m:oMathPara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F4617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球员i的商业价值评分（标准化后∈[0,1]），关联上座率与粉丝号召力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72D1B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《attendance_data.csv》的avg_attendance、capacity_utilization</w:t>
            </w:r>
          </w:p>
        </w:tc>
      </w:tr>
      <w:tr w14:paraId="3130F9A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F10A1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V</m:t>
                </m:r>
                <m:sSup>
                  <m:sSupP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2"/>
                      </w:rPr>
                      <m:t>ᵢ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e>
                  <m:sup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2"/>
                      </w:rPr>
                      <m:t>H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up>
                </m:sSup>
              </m:oMath>
            </m:oMathPara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A546F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球员i的健康价值评分（标准化后∈[0,1]），Vᵢ^H=1-P(Injuryᵢₜ)，反映伤病风险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FFD23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《model_parameters.csv》的injury_risk_coeff、《ICM_D_WNBA_数据说明文档（综合表）》的minutes</w:t>
            </w:r>
          </w:p>
        </w:tc>
      </w:tr>
      <w:tr w14:paraId="365399D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A0389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V</m:t>
                </m:r>
                <m:sSup>
                  <m:sSupP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2"/>
                      </w:rPr>
                      <m:t>ᵢ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e>
                  <m:sup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2"/>
                      </w:rPr>
                      <m:t>P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up>
                </m:sSup>
              </m:oMath>
            </m:oMathPara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314A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球员i的潜力价值评分（标准化后∈[0,1]），新秀更高，老将递减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594A8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《player_salaries_2025.csv》的contract_type、contract_length</w:t>
            </w:r>
          </w:p>
        </w:tc>
      </w:tr>
      <w:tr w14:paraId="179B4CF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641F5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V</m:t>
                </m:r>
                <m:sSup>
                  <m:sSupP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2"/>
                      </w:rPr>
                      <m:t>ᵢ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e>
                  <m:sup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2"/>
                      </w:rPr>
                      <m:t>F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up>
                </m:sSup>
              </m:oMath>
            </m:oMathPara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879F3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球员i的阵容契合度评分（标准化后∈[0,1]），基于位置适配与战术协同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5372F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《ICM_D_WNBA_数据说明文档（综合表）》的pos、plus_minus</w:t>
            </w:r>
          </w:p>
        </w:tc>
      </w:tr>
      <w:tr w14:paraId="37A2F98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24858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2"/>
                      </w:rPr>
                      <m:t>ω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2"/>
                      </w:rPr>
                      <m:t>A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2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2"/>
                      </w:rPr>
                      <m:t>ω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2"/>
                      </w:rPr>
                      <m:t>B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2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2"/>
                      </w:rPr>
                      <m:t>ω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2"/>
                      </w:rPr>
                      <m:t>H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2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2"/>
                      </w:rPr>
                      <m:t>ω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2"/>
                      </w:rPr>
                      <m:t>P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2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2"/>
                      </w:rPr>
                      <m:t>ω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2"/>
                      </w:rPr>
                      <m:t>F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ub>
                </m:sSub>
              </m:oMath>
            </m:oMathPara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D401C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五维度价值的权重系数（∑ω=1），通过AHP法确定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F6B0E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《参考.pdf（问题映射）》中价值映射逻辑</w:t>
            </w:r>
          </w:p>
        </w:tc>
      </w:tr>
      <w:tr w14:paraId="5658049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F4850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C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2"/>
                  </w:rPr>
                  <m:t>ᵢ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2"/>
                      </w:rPr>
                      <m:t>,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2"/>
                      </w:rPr>
                      <m:t>q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ub>
                </m:sSub>
              </m:oMath>
            </m:oMathPara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B7DCF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球员i通过渠道q的收购成本（q=1：新秀签约薪资；q=2：自由市场溢价薪资；q=3：交易资产折价）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9AC4B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《player_salaries_2025.csv》的salary_2025、《salary_cap_history.csv》的rookie_min_0_2_yrs</w:t>
            </w:r>
          </w:p>
        </w:tc>
      </w:tr>
      <w:tr w14:paraId="17A54F7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39143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Cap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426E4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联盟薪资帽（万美元/赛季）（延续第一问）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3AC41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《salary_cap_history.csv》的salary_cap</w:t>
            </w:r>
          </w:p>
        </w:tc>
      </w:tr>
      <w:tr w14:paraId="23FFCDD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D8745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sz w:val="22"/>
                <w:szCs w:val="22"/>
              </w:rPr>
            </w:pPr>
            <m:oMath>
              <m:sSubSup>
                <m:sSubSupPr>
                  <m:ctrlPr>
                    <w:rPr>
                      <w:rFonts w:hint="default" w:ascii="Cambria Math" w:hAnsi="Times New Roman" w:eastAsia="宋体" w:cs="Times New Roman"/>
                      <w:sz w:val="22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宋体"/>
                      <w:sz w:val="22"/>
                    </w:rPr>
                    <m:t>N</m:t>
                  </m:r>
                  <m:ctrlPr>
                    <w:rPr>
                      <w:rFonts w:hint="default" w:ascii="Cambria Math" w:hAnsi="Times New Roman" w:eastAsia="宋体" w:cs="Times New Roman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2"/>
                    </w:rPr>
                    <m:t>pos</m:t>
                  </m:r>
                  <m:r>
                    <m:rPr/>
                    <w:rPr>
                      <w:rFonts w:hint="default" w:ascii="Cambria Math" w:hAnsi="Cambria Math" w:eastAsia="宋体"/>
                      <w:sz w:val="22"/>
                      <w:lang w:val="en-US" w:eastAsia="zh-CN"/>
                    </w:rPr>
                    <m:t>,k</m:t>
                  </m:r>
                  <m:ctrlPr>
                    <w:rPr>
                      <w:rFonts w:hint="default" w:ascii="Cambria Math" w:hAnsi="Times New Roman" w:eastAsia="宋体" w:cs="Times New Roman"/>
                      <w:sz w:val="22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Cambria Math" w:hAnsi="Times New Roman" w:eastAsia="宋体" w:cs="Times New Roman"/>
                      <w:sz w:val="22"/>
                      <w:lang w:val="en-US" w:eastAsia="zh-CN"/>
                    </w:rPr>
                    <m:t>min</m:t>
                  </m:r>
                  <m:ctrlPr>
                    <w:rPr>
                      <w:rFonts w:hint="default" w:ascii="Cambria Math" w:hAnsi="Times New Roman" w:eastAsia="宋体" w:cs="Times New Roman"/>
                      <w:sz w:val="22"/>
                    </w:rPr>
                  </m:ctrlPr>
                </m:sup>
              </m:sSubSup>
            </m:oMath>
            <w:r>
              <w:rPr>
                <w:rFonts w:hint="default" w:ascii="Times New Roman" w:hAnsi="Times New Roman" w:eastAsia="宋体" w:cs="Times New Roman"/>
                <w:sz w:val="22"/>
              </w:rPr>
              <w:t>、</w:t>
            </w:r>
            <m:oMath>
              <m:sSubSup>
                <m:sSubSupPr>
                  <m:ctrlPr>
                    <w:rPr>
                      <w:rFonts w:hint="default" w:ascii="Cambria Math" w:hAnsi="Times New Roman" w:eastAsia="宋体" w:cs="Times New Roman"/>
                      <w:sz w:val="22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宋体"/>
                      <w:sz w:val="22"/>
                    </w:rPr>
                    <m:t>N</m:t>
                  </m:r>
                  <m:ctrlPr>
                    <w:rPr>
                      <w:rFonts w:hint="default" w:ascii="Cambria Math" w:hAnsi="Times New Roman" w:eastAsia="宋体" w:cs="Times New Roman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2"/>
                    </w:rPr>
                    <m:t>pos</m:t>
                  </m:r>
                  <m:r>
                    <m:rPr/>
                    <w:rPr>
                      <w:rFonts w:hint="default" w:ascii="Cambria Math" w:hAnsi="Cambria Math" w:eastAsia="宋体"/>
                      <w:sz w:val="22"/>
                      <w:lang w:val="en-US" w:eastAsia="zh-CN"/>
                    </w:rPr>
                    <m:t>,k</m:t>
                  </m:r>
                  <m:ctrlPr>
                    <w:rPr>
                      <w:rFonts w:hint="default" w:ascii="Cambria Math" w:hAnsi="Times New Roman" w:eastAsia="宋体" w:cs="Times New Roman"/>
                      <w:sz w:val="22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Cambria Math" w:hAnsi="Times New Roman" w:eastAsia="宋体" w:cs="Times New Roman"/>
                      <w:sz w:val="22"/>
                      <w:lang w:val="en-US" w:eastAsia="zh-CN"/>
                    </w:rPr>
                    <m:t>max</m:t>
                  </m:r>
                  <m:ctrlPr>
                    <w:rPr>
                      <w:rFonts w:hint="default" w:ascii="Cambria Math" w:hAnsi="Times New Roman" w:eastAsia="宋体" w:cs="Times New Roman"/>
                      <w:b w:val="0"/>
                      <w:i w:val="0"/>
                      <w:sz w:val="22"/>
                      <w:lang w:val="en-US" w:eastAsia="zh-CN"/>
                    </w:rPr>
                  </m:ctrlPr>
                </m:sup>
              </m:sSubSup>
            </m:oMath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B82F4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位置k（k=G后卫、F前锋、C中锋）的最少/最多人数约束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890E7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《ICM_D_WNBA_数据说明文档（综合表）》的pos、延续第一问阵容约束</w:t>
            </w:r>
          </w:p>
        </w:tc>
      </w:tr>
      <w:tr w14:paraId="5715DE6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7196C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2"/>
                      </w:rPr>
                      <m:t>λ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2"/>
                      </w:rPr>
                      <m:t>synergy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ub>
                </m:sSub>
              </m:oMath>
            </m:oMathPara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2997A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阵容协同效应系数（∈[0,1]），值越大协同越好（延续第一问）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427FF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《ICM_D_WNBA_数据说明文档（综合表）》的plus_minus、《参考.pdf（问题映射）》竞技表现函数</w:t>
            </w:r>
          </w:p>
        </w:tc>
      </w:tr>
      <w:tr w14:paraId="67E794B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6B2A2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2"/>
                      </w:rPr>
                      <m:t>R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2"/>
                      </w:rPr>
                      <m:t>loss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2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2"/>
                      </w:rPr>
                      <m:t>i</m:t>
                    </m:r>
                    <m:ctrlPr>
                      <w:rPr>
                        <w:rFonts w:hint="default" w:ascii="Cambria Math" w:hAnsi="Cambria Math" w:eastAsia="宋体" w:cs="Times New Roman"/>
                        <w:sz w:val="22"/>
                      </w:rPr>
                    </m:ctrlPr>
                  </m:sub>
                </m:sSub>
              </m:oMath>
            </m:oMathPara>
          </w:p>
          <w:p w14:paraId="05A349A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sz w:val="22"/>
                <w:szCs w:val="22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64D91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球员i未兑现潜力/伤病的预期损失（万美元）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D36FE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《model_parameters.csv》的injury_risk_coeff、《player_salaries_2025.csv》的salary_2025</w:t>
            </w:r>
          </w:p>
        </w:tc>
      </w:tr>
      <w:tr w14:paraId="1A6A912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0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042F2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hAnsi="Cambria Math" w:eastAsia="宋体" w:cs="Times New Roman"/>
                <w:i w:val="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α</m:t>
                    </m:r>
                    <m:ctrlPr>
                      <w:rPr>
                        <w:rFonts w:ascii="Cambria Math" w:hAnsi="Cambria Math" w:eastAsia="宋体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2"/>
                      </w:rPr>
                      <m:t>q</m:t>
                    </m:r>
                    <m:ctrlPr>
                      <w:rPr>
                        <w:rFonts w:ascii="Cambria Math" w:hAnsi="Cambria Math" w:eastAsia="宋体"/>
                        <w:sz w:val="22"/>
                      </w:rPr>
                    </m:ctrlPr>
                  </m:sub>
                </m:sSub>
              </m:oMath>
            </m:oMathPara>
          </w:p>
        </w:tc>
        <w:tc>
          <w:tcPr>
            <w:tcW w:w="302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C068E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渠道q的风险系数（q=1最大，q=2中等，q=3最小，∈[0,1]）</w:t>
            </w:r>
          </w:p>
        </w:tc>
        <w:tc>
          <w:tcPr>
            <w:tcW w:w="302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0216B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《player_salaries_2025.csv》的contract_type、《model_parameters.csv》风险参数</w:t>
            </w:r>
          </w:p>
        </w:tc>
      </w:tr>
    </w:tbl>
    <w:p w14:paraId="6512129E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6" w:name="heading_8"/>
      <w:r>
        <w:rPr>
          <w:rFonts w:hint="default" w:ascii="Times New Roman" w:hAnsi="Times New Roman" w:eastAsia="宋体" w:cs="Times New Roman"/>
          <w:b/>
          <w:sz w:val="32"/>
        </w:rPr>
        <w:t>4.3 中间变量（新增+延续）</w:t>
      </w:r>
      <w:bookmarkEnd w:id="6"/>
    </w:p>
    <w:tbl>
      <w:tblPr>
        <w:tblStyle w:val="2"/>
        <w:tblW w:w="8521" w:type="dxa"/>
        <w:tblInd w:w="0" w:type="dxa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2"/>
        <w:gridCol w:w="3293"/>
        <w:gridCol w:w="4476"/>
      </w:tblGrid>
      <w:tr w14:paraId="1DDE6F8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</w:trPr>
        <w:tc>
          <w:tcPr>
            <w:tcW w:w="75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C1D87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符号</w:t>
            </w:r>
          </w:p>
        </w:tc>
        <w:tc>
          <w:tcPr>
            <w:tcW w:w="329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B8768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含义解释</w:t>
            </w:r>
          </w:p>
        </w:tc>
        <w:tc>
          <w:tcPr>
            <w:tcW w:w="447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AAA01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关联公式</w:t>
            </w:r>
          </w:p>
        </w:tc>
      </w:tr>
      <w:tr w14:paraId="5A533C5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75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88235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Vᵢ</w:t>
            </w:r>
          </w:p>
        </w:tc>
        <w:tc>
          <w:tcPr>
            <w:tcW w:w="329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94DCD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球员i的综合价值（核心中间变量）</w:t>
            </w:r>
          </w:p>
        </w:tc>
        <w:tc>
          <w:tcPr>
            <w:tcW w:w="447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CB122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V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i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ω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A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ub>
                </m:sSub>
                <m:sSubSup>
                  <m:sSubSupP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V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i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ub>
                  <m:sup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A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up>
                </m:sSub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ω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B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ub>
                </m:sSub>
                <m:sSubSup>
                  <m:sSubSupP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V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i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ub>
                  <m:sup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B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up>
                </m:sSub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ω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H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ub>
                </m:sSub>
                <m:sSubSup>
                  <m:sSubSupP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V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i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ub>
                  <m:sup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H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up>
                </m:sSub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ω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P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ub>
                </m:sSub>
                <m:sSubSup>
                  <m:sSubSupP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V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i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ub>
                  <m:sup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P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up>
                </m:sSub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ω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F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ub>
                </m:sSub>
                <m:sSubSup>
                  <m:sSubSupP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V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i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ub>
                  <m:sup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F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up>
                </m:sSubSup>
              </m:oMath>
            </m:oMathPara>
          </w:p>
        </w:tc>
      </w:tr>
      <w:tr w14:paraId="363AA41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1B0E9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1"/>
                  </w:rPr>
                  <m:t>T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C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acq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ub>
                </m:sSub>
              </m:oMath>
            </m:oMathPara>
          </w:p>
        </w:tc>
        <w:tc>
          <w:tcPr>
            <w:tcW w:w="32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EAF43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收购总成本（新增）</w:t>
            </w:r>
          </w:p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5246C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hAnsi="Cambria Math" w:eastAsia="宋体" w:cs="Times New Roman"/>
                <w:i w:val="0"/>
                <w:sz w:val="21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1"/>
                  </w:rPr>
                  <m:t>T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C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acq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1"/>
                  </w:rPr>
                  <m:t>=∑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i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b w:val="0"/>
                            <w:i w:val="0"/>
                            <w:sz w:val="21"/>
                          </w:rPr>
                          <m:t>,</m:t>
                        </m:r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q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i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b w:val="0"/>
                            <w:i w:val="0"/>
                            <w:sz w:val="21"/>
                          </w:rPr>
                          <m:t>,</m:t>
                        </m:r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q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e>
                </m:d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1"/>
                  </w:rPr>
                  <m:t>+∑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s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i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1"/>
                  </w:rPr>
                  <m:t>−∑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j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j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e>
                </m:d>
              </m:oMath>
            </m:oMathPara>
          </w:p>
          <w:p w14:paraId="0B2479E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（Cⱼ为放弃球员j的薪资节省）</w:t>
            </w:r>
          </w:p>
        </w:tc>
      </w:tr>
      <w:tr w14:paraId="5C8A8A2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EC17B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1"/>
                  </w:rPr>
                  <m:t>T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R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acq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ub>
                </m:sSub>
              </m:oMath>
            </m:oMathPara>
          </w:p>
        </w:tc>
        <w:tc>
          <w:tcPr>
            <w:tcW w:w="32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F7729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收购总收益（新增，衔接第一问TR）</w:t>
            </w:r>
          </w:p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6F8C2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hAnsi="Cambria Math" w:eastAsia="宋体" w:cs="Times New Roman"/>
                <w:i w:val="0"/>
                <w:sz w:val="21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1"/>
                  </w:rPr>
                  <m:t>T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R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acq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1"/>
                  </w:rPr>
                  <m:t>=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1"/>
                  </w:rPr>
                  <m:t>α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1"/>
                  </w:rPr>
                  <m:t>⋅ln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d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1"/>
                      </w:rPr>
                      <m:t>1+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perf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e>
                </m:d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1"/>
                  </w:rPr>
                  <m:t>+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1"/>
                  </w:rPr>
                  <m:t>β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1"/>
                  </w:rPr>
                  <m:t>⋅∑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V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sub>
                      <m:sup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sup>
                    </m:sSubSup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i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b w:val="0"/>
                            <w:i w:val="0"/>
                            <w:sz w:val="21"/>
                          </w:rPr>
                          <m:t>,</m:t>
                        </m:r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q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e>
                </m:d>
              </m:oMath>
            </m:oMathPara>
          </w:p>
          <w:p w14:paraId="495DE6A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（延续第一问收入函数）</w:t>
            </w:r>
          </w:p>
        </w:tc>
      </w:tr>
      <w:tr w14:paraId="3B8978A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D3546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T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perf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ub>
                </m:sSub>
              </m:oMath>
            </m:oMathPara>
          </w:p>
        </w:tc>
        <w:tc>
          <w:tcPr>
            <w:tcW w:w="32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B2DEF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收购后球队整体竞技表现（延续第一问）</w:t>
            </w:r>
          </w:p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F5B9F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T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perf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1"/>
                  </w:rPr>
                  <m:t>=∑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V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sub>
                      <m:sup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sup>
                    </m:sSubSup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i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b w:val="0"/>
                            <w:i w:val="0"/>
                            <w:sz w:val="21"/>
                          </w:rPr>
                          <m:t>,</m:t>
                        </m:r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q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e>
                </m:d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1"/>
                  </w:rPr>
                  <m:t>⋅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d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1"/>
                      </w:rPr>
                      <m:t>1+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λ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synergy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e>
                </m:d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1"/>
                  </w:rPr>
                  <m:t>−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1"/>
                  </w:rPr>
                  <m:t>λ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1"/>
                  </w:rPr>
                  <m:t>⋅</m:t>
                </m:r>
                <m:sSup>
                  <m:sSupP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d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b w:val="0"/>
                            <w:i w:val="0"/>
                            <w:sz w:val="21"/>
                          </w:rPr>
                          <m:t>∑</m:t>
                        </m:r>
                        <m:d>
                          <m:dPr>
                            <m:sepChr m:val=","/>
                            <m:ctrlPr>
                              <w:rPr>
                                <w:rFonts w:hint="default" w:ascii="Cambria Math" w:hAnsi="Cambria Math" w:eastAsia="宋体" w:cs="Times New Roman"/>
                                <w:sz w:val="21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hint="default" w:ascii="Cambria Math" w:hAnsi="Cambria Math" w:eastAsia="宋体" w:cs="Times New Roman"/>
                                    <w:sz w:val="21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宋体" w:cs="Times New Roman"/>
                                    <w:i/>
                                    <w:sz w:val="21"/>
                                  </w:rPr>
                                  <m:t>V</m:t>
                                </m:r>
                                <m:ctrlPr>
                                  <w:rPr>
                                    <w:rFonts w:hint="default" w:ascii="Cambria Math" w:hAnsi="Cambria Math" w:eastAsia="宋体" w:cs="Times New Roman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宋体" w:cs="Times New Roman"/>
                                    <w:i/>
                                    <w:sz w:val="21"/>
                                  </w:rPr>
                                  <m:t>i</m:t>
                                </m:r>
                                <m:ctrlPr>
                                  <w:rPr>
                                    <w:rFonts w:hint="default" w:ascii="Cambria Math" w:hAnsi="Cambria Math" w:eastAsia="宋体" w:cs="Times New Roman"/>
                                    <w:sz w:val="21"/>
                                  </w:rPr>
                                </m:ctrlPr>
                              </m:sub>
                              <m:sup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宋体" w:cs="Times New Roman"/>
                                    <w:i/>
                                    <w:sz w:val="21"/>
                                  </w:rPr>
                                  <m:t>A</m:t>
                                </m:r>
                                <m:ctrlPr>
                                  <w:rPr>
                                    <w:rFonts w:hint="default" w:ascii="Cambria Math" w:hAnsi="Cambria Math" w:eastAsia="宋体" w:cs="Times New Roman"/>
                                    <w:sz w:val="21"/>
                                  </w:rPr>
                                </m:ctrlP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宋体" w:cs="Times New Roman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宋体" w:cs="Times New Roman"/>
                                    <w:i/>
                                    <w:sz w:val="21"/>
                                  </w:rPr>
                                  <m:t>x</m:t>
                                </m:r>
                                <m:ctrlPr>
                                  <w:rPr>
                                    <w:rFonts w:hint="default" w:ascii="Cambria Math" w:hAnsi="Cambria Math" w:eastAsia="宋体" w:cs="Times New Roman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宋体" w:cs="Times New Roman"/>
                                    <w:i/>
                                    <w:sz w:val="21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Times New Roman" w:hAnsi="Times New Roman" w:eastAsia="宋体" w:cs="Times New Roman"/>
                                    <w:b w:val="0"/>
                                    <w:i w:val="0"/>
                                    <w:sz w:val="21"/>
                                  </w:rPr>
                                  <m:t>,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宋体" w:cs="Times New Roman"/>
                                    <w:i/>
                                    <w:sz w:val="21"/>
                                  </w:rPr>
                                  <m:t>q</m:t>
                                </m:r>
                                <m:ctrlPr>
                                  <w:rPr>
                                    <w:rFonts w:hint="default" w:ascii="Cambria Math" w:hAnsi="Cambria Math" w:eastAsia="宋体" w:cs="Times New Roman"/>
                                    <w:sz w:val="21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宋体" w:cs="Times New Roman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宋体" w:cs="Times New Roman"/>
                                    <w:i/>
                                    <w:sz w:val="21"/>
                                  </w:rPr>
                                  <m:t>t</m:t>
                                </m:r>
                                <m:ctrlPr>
                                  <w:rPr>
                                    <w:rFonts w:hint="default" w:ascii="Cambria Math" w:hAnsi="Cambria Math" w:eastAsia="宋体" w:cs="Times New Roman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宋体" w:cs="Times New Roman"/>
                                    <w:i/>
                                    <w:sz w:val="21"/>
                                  </w:rPr>
                                  <m:t>i</m:t>
                                </m:r>
                                <m:ctrlPr>
                                  <w:rPr>
                                    <w:rFonts w:hint="default" w:ascii="Cambria Math" w:hAnsi="Cambria Math" w:eastAsia="宋体" w:cs="Times New Roman"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宋体" w:cs="Times New Roman"/>
                                <w:sz w:val="21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1"/>
                      </w:rPr>
                      <m:t>2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up>
                </m:sSup>
              </m:oMath>
            </m:oMathPara>
          </w:p>
        </w:tc>
      </w:tr>
      <w:tr w14:paraId="792D264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3E87F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1"/>
                  </w:rPr>
                  <m:t>Ris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k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acq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ub>
                </m:sSub>
              </m:oMath>
            </m:oMathPara>
          </w:p>
        </w:tc>
        <w:tc>
          <w:tcPr>
            <w:tcW w:w="32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128E7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收购总风险（新增）</w:t>
            </w:r>
          </w:p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26361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1"/>
                  </w:rPr>
                  <m:t>Ris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k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1"/>
                      </w:rPr>
                      <m:t>acq</m:t>
                    </m:r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1"/>
                  </w:rPr>
                  <m:t>=∑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α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q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loss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b w:val="0"/>
                            <w:i w:val="0"/>
                            <w:sz w:val="21"/>
                          </w:rPr>
                          <m:t>,</m:t>
                        </m:r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i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b w:val="0"/>
                            <w:i w:val="0"/>
                            <w:sz w:val="21"/>
                          </w:rPr>
                          <m:t>,</m:t>
                        </m:r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1"/>
                          </w:rPr>
                          <m:t>q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sub>
                    </m:sSub>
                    <m:d>
                      <m:dPr>
                        <m:sepChr m:val=","/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d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b w:val="0"/>
                            <w:i w:val="0"/>
                            <w:sz w:val="21"/>
                          </w:rPr>
                          <m:t>1−</m:t>
                        </m:r>
                        <m:sSubSup>
                          <m:sSubSupPr>
                            <m:ctrlPr>
                              <w:rPr>
                                <w:rFonts w:hint="default" w:ascii="Cambria Math" w:hAnsi="Cambria Math" w:eastAsia="宋体" w:cs="Times New Roman"/>
                                <w:sz w:val="21"/>
                              </w:rPr>
                            </m:ctrlPr>
                          </m:sSubSupPr>
                          <m:e>
                            <m:r>
                              <m:rPr>
                                <m:nor/>
                              </m:rPr>
                              <w:rPr>
                                <w:rFonts w:hint="default" w:ascii="Times New Roman" w:hAnsi="Times New Roman" w:eastAsia="宋体" w:cs="Times New Roman"/>
                                <w:i/>
                                <w:sz w:val="21"/>
                              </w:rPr>
                              <m:t>V</m:t>
                            </m:r>
                            <m:ctrlPr>
                              <w:rPr>
                                <w:rFonts w:hint="default" w:ascii="Cambria Math" w:hAnsi="Cambria Math" w:eastAsia="宋体" w:cs="Times New Roman"/>
                                <w:sz w:val="21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hint="default" w:ascii="Times New Roman" w:hAnsi="Times New Roman" w:eastAsia="宋体" w:cs="Times New Roman"/>
                                <w:i/>
                                <w:sz w:val="21"/>
                              </w:rPr>
                              <m:t>i</m:t>
                            </m:r>
                            <m:ctrlPr>
                              <w:rPr>
                                <w:rFonts w:hint="default" w:ascii="Cambria Math" w:hAnsi="Cambria Math" w:eastAsia="宋体" w:cs="Times New Roman"/>
                                <w:sz w:val="21"/>
                              </w:rPr>
                            </m:ctrlPr>
                          </m:sub>
                          <m:sup>
                            <m:r>
                              <m:rPr>
                                <m:nor/>
                              </m:rPr>
                              <w:rPr>
                                <w:rFonts w:hint="default" w:ascii="Times New Roman" w:hAnsi="Times New Roman" w:eastAsia="宋体" w:cs="Times New Roman"/>
                                <w:i/>
                                <w:sz w:val="21"/>
                              </w:rPr>
                              <m:t>H</m:t>
                            </m:r>
                            <m:ctrlPr>
                              <w:rPr>
                                <w:rFonts w:hint="default" w:ascii="Cambria Math" w:hAnsi="Cambria Math" w:eastAsia="宋体" w:cs="Times New Roman"/>
                                <w:sz w:val="21"/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Cambria Math" w:hAnsi="Cambria Math" w:eastAsia="宋体" w:cs="Times New Roman"/>
                            <w:sz w:val="21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宋体" w:cs="Times New Roman"/>
                        <w:sz w:val="21"/>
                      </w:rPr>
                    </m:ctrlPr>
                  </m:e>
                </m:d>
              </m:oMath>
            </m:oMathPara>
          </w:p>
        </w:tc>
      </w:tr>
      <w:tr w14:paraId="5C427D5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75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A464E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1"/>
                  </w:rPr>
                  <m:t>Fit</m:t>
                </m:r>
              </m:oMath>
            </m:oMathPara>
          </w:p>
        </w:tc>
        <w:tc>
          <w:tcPr>
            <w:tcW w:w="329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693E4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阵容适配度（新增）</w:t>
            </w:r>
          </w:p>
        </w:tc>
        <w:tc>
          <w:tcPr>
            <w:tcW w:w="447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7A5BE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m:oMath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1"/>
                </w:rPr>
                <m:t>Fit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1"/>
                </w:rPr>
                <m:t>=∑</m:t>
              </m:r>
              <m:d>
                <m:dPr>
                  <m:sepChr m:val=","/>
                  <m:ctrlPr>
                    <w:rPr>
                      <w:rFonts w:hint="default" w:ascii="Cambria Math" w:hAnsi="Cambria Math" w:eastAsia="宋体" w:cs="Times New Roman"/>
                      <w:sz w:val="21"/>
                    </w:rPr>
                  </m:ctrlPr>
                </m:d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1"/>
                    </w:rPr>
                    <m:t>∑</m:t>
                  </m:r>
                  <m:d>
                    <m:dPr>
                      <m:sepChr m:val=","/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hint="default" w:ascii="Cambria Math" w:hAnsi="Cambria Math" w:eastAsia="宋体" w:cs="Times New Roman"/>
                              <w:sz w:val="21"/>
                            </w:rPr>
                          </m:ctrlPr>
                        </m:sSubSup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1"/>
                            </w:rPr>
                            <m:t>V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1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1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1"/>
                            </w:rPr>
                          </m:ctrlPr>
                        </m:sub>
                        <m:sup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1"/>
                            </w:rPr>
                            <m:t>F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1"/>
                            </w:rPr>
                          </m:ctrlPr>
                        </m:sup>
                      </m:sSubSup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1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1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1"/>
                            </w:rPr>
                            <m:t>i</m:t>
                          </m:r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1"/>
                            </w:rPr>
                            <m:t>,</m:t>
                          </m:r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1"/>
                            </w:rPr>
                            <m:t>q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</w:rPr>
                      </m:ctrlPr>
                    </m:e>
                  </m:d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1"/>
                    </w:rPr>
                    <m:t>fori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1"/>
                    </w:rPr>
                    <m:t>∈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1"/>
                    </w:rPr>
                    <m:t>Po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1"/>
                        </w:rPr>
                        <m:t>s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1"/>
                        </w:rPr>
                        <m:t>k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Times New Roman"/>
                      <w:sz w:val="21"/>
                    </w:rPr>
                  </m:ctrlPr>
                </m:e>
              </m:d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1"/>
                </w:rPr>
                <m:t>/3</m:t>
              </m:r>
            </m:oMath>
            <w:r>
              <w:rPr>
                <w:rFonts w:hint="default" w:ascii="Times New Roman" w:hAnsi="Times New Roman" w:eastAsia="宋体" w:cs="Times New Roman"/>
                <w:sz w:val="21"/>
              </w:rPr>
              <w:t>（k=G,F,C）</w:t>
            </w:r>
          </w:p>
        </w:tc>
      </w:tr>
    </w:tbl>
    <w:p w14:paraId="5780066E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7" w:name="heading_9"/>
      <w:r>
        <w:rPr>
          <w:rFonts w:hint="default" w:ascii="Times New Roman" w:hAnsi="Times New Roman" w:eastAsia="宋体" w:cs="Times New Roman"/>
          <w:b/>
          <w:sz w:val="36"/>
        </w:rPr>
        <w:t>5. 模型构建</w:t>
      </w:r>
      <w:bookmarkEnd w:id="7"/>
    </w:p>
    <w:p w14:paraId="0CE95601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模型整体框架：</w:t>
      </w:r>
      <w:r>
        <w:rPr>
          <w:rFonts w:hint="default" w:ascii="Times New Roman" w:hAnsi="Times New Roman" w:eastAsia="宋体" w:cs="Times New Roman"/>
          <w:b/>
          <w:sz w:val="22"/>
        </w:rPr>
        <w:t>球员综合价值评估模块 → 多目标优化目标函数 → 多重约束条件</w:t>
      </w:r>
      <w:r>
        <w:rPr>
          <w:rFonts w:hint="default" w:ascii="Times New Roman" w:hAnsi="Times New Roman" w:eastAsia="宋体" w:cs="Times New Roman"/>
          <w:sz w:val="22"/>
        </w:rPr>
        <w:t>。</w:t>
      </w:r>
    </w:p>
    <w:p w14:paraId="6277802C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8" w:name="heading_10"/>
      <w:r>
        <w:rPr>
          <w:rFonts w:hint="default" w:ascii="Times New Roman" w:hAnsi="Times New Roman" w:eastAsia="宋体" w:cs="Times New Roman"/>
          <w:b/>
          <w:sz w:val="32"/>
        </w:rPr>
        <w:t>5.1 模块1：球员综合价值评估模块</w:t>
      </w:r>
      <w:bookmarkEnd w:id="8"/>
    </w:p>
    <w:p w14:paraId="40B56C5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球员综合价值是收购决策的核心依据，结合现有数据字段，构建“竞技-商业-健康-潜力-契合度”五维度评估体系，权重通过层次分析法（AHP）确定，确保评估贴合球队需求（如争冠队侧重竞技价值，重建队侧重潜力价值），每个维度均有明确的量化公式与数据支撑：</w:t>
      </w:r>
    </w:p>
    <w:p w14:paraId="13BED0EA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9" w:name="heading_11"/>
      <w:r>
        <w:rPr>
          <w:rFonts w:hint="default" w:ascii="Times New Roman" w:hAnsi="Times New Roman" w:eastAsia="宋体" w:cs="Times New Roman"/>
          <w:b/>
          <w:sz w:val="30"/>
        </w:rPr>
        <w:t>5.1.1 各维度价值量化公式</w:t>
      </w:r>
      <w:bookmarkEnd w:id="9"/>
    </w:p>
    <w:p w14:paraId="217FA29E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竞技价值（</w:t>
      </w:r>
      <m:oMath>
        <m:sSubSup>
          <m:sSubSupPr>
            <m:ctrlPr>
              <w:rPr>
                <w:rFonts w:hint="default" w:ascii="Cambria Math" w:hAnsi="Cambria Math" w:eastAsia="宋体" w:cs="Times New Roman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V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A</m:t>
            </m:r>
            <m:ctrlPr>
              <w:rPr>
                <w:rFonts w:hint="default" w:ascii="Cambria Math" w:hAnsi="Cambria Math" w:eastAsia="宋体" w:cs="Times New Roman"/>
              </w:rPr>
            </m:ctrlPr>
          </m:sup>
        </m:sSubSup>
      </m:oMath>
      <w:r>
        <w:rPr>
          <w:rFonts w:hint="default" w:ascii="Times New Roman" w:hAnsi="Times New Roman" w:eastAsia="宋体" w:cs="Times New Roman"/>
          <w:sz w:val="22"/>
        </w:rPr>
        <w:t>）：基于球员赛场表现数据，标准化至[0,1]，融合基础数据与关键球能力（参考《参考.pdf（问题映射）》的WPA、Clutch Rating逻辑）：</w:t>
      </w:r>
      <w:r>
        <w:rPr>
          <w:rFonts w:hint="eastAsia" w:ascii="Times New Roman" w:hAnsi="Times New Roman" w:eastAsia="宋体" w:cs="Times New Roman"/>
          <w:sz w:val="22"/>
          <w:highlight w:val="yellow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2"/>
          <w:highlight w:val="yellow"/>
          <w:lang w:val="en-US" w:eastAsia="zh-CN"/>
        </w:rPr>
        <w:t>示例，权重不一定</w:t>
      </w:r>
      <w:r>
        <w:rPr>
          <w:rFonts w:hint="eastAsia" w:ascii="Times New Roman" w:hAnsi="Times New Roman" w:eastAsia="宋体" w:cs="Times New Roman"/>
          <w:sz w:val="22"/>
          <w:highlight w:val="yellow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m:oMathPara>
        <m:oMath>
          <m:m>
            <m:mPr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hint="default" w:ascii="Cambria Math" w:hAnsi="Cambria Math" w:eastAsia="宋体" w:cs="Times New Roman"/>
                  <w:i w:val="0"/>
                </w:rPr>
              </m:ctrlPr>
            </m:mPr>
            <m:mr>
              <m:e>
                <m:sSubSup>
                  <m:sSubSupP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</w:rPr>
                      <m:t>V</m:t>
                    </m: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</w:rPr>
                      <m:t>i</m:t>
                    </m: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sub>
                  <m:sup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</w:rPr>
                      <m:t>A</m:t>
                    </m: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sup>
                </m:sSub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</w:rPr>
                  <m:t>=0.25⋅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</w:rPr>
                      <m:t>points</m:t>
                    </m: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</w:rPr>
                      <m:t>norm</m:t>
                    </m: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</w:rPr>
                  <m:t>+0.2⋅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</w:rPr>
                      <m:t>rebounds</m:t>
                    </m: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</w:rPr>
                      <m:t>norm</m:t>
                    </m: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</w:rPr>
                  <m:t>+0.2⋅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</w:rPr>
                      <m:t>assists</m:t>
                    </m: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</w:rPr>
                      <m:t>norm</m:t>
                    </m: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i w:val="0"/>
                  </w:rPr>
                </m:ctrlPr>
              </m:e>
            </m:mr>
            <m:m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</w:rPr>
                  <m:t>+0.15⋅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</w:rPr>
                      <m:t>plus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</w:rPr>
                      <m:t>_</m:t>
                    </m:r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</w:rPr>
                      <m:t>minus</m:t>
                    </m: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</w:rPr>
                      <m:t>norm</m:t>
                    </m: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</w:rPr>
                  <m:t>+0.2⋅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</w:rPr>
                      <m:t>Clutc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</w:rPr>
                      <m:t>h</m:t>
                    </m:r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</w:rPr>
                      <m:t>Rating</m:t>
                    </m: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</w:rPr>
                      <m:t>norm</m:t>
                    </m: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i w:val="0"/>
                  </w:rPr>
                </m:ctrlPr>
              </m:e>
            </m:mr>
          </m:m>
        </m:oMath>
      </m:oMathPara>
    </w:p>
    <w:p w14:paraId="35B4D4F9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说明：points_norm、rebounds_norm等均为对应数据字段的标准化值（消除量纲影响）；ClutchRating为关键球能力评分，基于球员关键时刻（如第四节最后5分钟）的表现量化，数据来源于《ICM_D_WNBA_数据说明文档（综合表）》的plus_minus、points等字段的细分统计。</w:t>
      </w:r>
    </w:p>
    <w:p w14:paraId="25F14E4D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商业价值（</w:t>
      </w:r>
      <m:oMath>
        <m:sSubSup>
          <m:sSubSupPr>
            <m:ctrlPr>
              <w:rPr>
                <w:rFonts w:hint="default" w:ascii="Cambria Math" w:hAnsi="Cambria Math" w:eastAsia="宋体" w:cs="Times New Roman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V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lang w:val="en-US" w:eastAsia="zh-CN"/>
              </w:rPr>
              <m:t>B</m:t>
            </m:r>
            <m:ctrlPr>
              <w:rPr>
                <w:rFonts w:hint="default" w:ascii="Cambria Math" w:hAnsi="Cambria Math" w:eastAsia="宋体" w:cs="Times New Roman"/>
              </w:rPr>
            </m:ctrlPr>
          </m:sup>
        </m:sSubSup>
      </m:oMath>
      <w:r>
        <w:rPr>
          <w:rFonts w:hint="default" w:ascii="Times New Roman" w:hAnsi="Times New Roman" w:eastAsia="宋体" w:cs="Times New Roman"/>
          <w:sz w:val="22"/>
        </w:rPr>
        <w:t>）：关联上座率数据，量化球员对门票、周边收入的带动作用，标准化至[0,1]：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 xml:space="preserve">        </w:t>
      </w:r>
      <m:oMath>
        <m:sSubSup>
          <m:sSubSupPr>
            <m:ctrlPr>
              <w:rPr>
                <w:rFonts w:hint="default" w:ascii="Cambria Math" w:hAnsi="Cambria Math" w:eastAsia="宋体" w:cs="Times New Roman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V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B</m:t>
            </m:r>
            <m:ctrlPr>
              <w:rPr>
                <w:rFonts w:hint="default" w:ascii="Cambria Math" w:hAnsi="Cambria Math" w:eastAsia="宋体" w:cs="Times New Roman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=0.6⋅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avg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</w:rPr>
              <m:t>_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attendance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norm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+0.4⋅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capacity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</w:rPr>
              <m:t>_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utilization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norm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</m:oMath>
    </w:p>
    <w:p w14:paraId="1F87DA51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说明：</w:t>
      </w:r>
      <m:oMath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avg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</w:rPr>
              <m:t>_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attendance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norm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为球员i加盟后球队场均上座率的标准化值（假设球员加盟对上座率的带动效应可通过历史数据校准）；</w:t>
      </w:r>
      <m:oMath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capacity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</w:rPr>
              <m:t>_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utilization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norm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为场馆利用率标准化值，反映球员的现场流量号召力，数据来源于《attendance_data.csv》。</w:t>
      </w:r>
    </w:p>
    <w:p w14:paraId="46F17296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健康价值（</w:t>
      </w:r>
      <m:oMath>
        <m:sSubSup>
          <m:sSubSupPr>
            <m:ctrlPr>
              <w:rPr>
                <w:rFonts w:hint="default" w:ascii="Cambria Math" w:hAnsi="Cambria Math" w:eastAsia="宋体" w:cs="Times New Roman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V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H</m:t>
            </m:r>
            <m:ctrlPr>
              <w:rPr>
                <w:rFonts w:hint="default" w:ascii="Cambria Math" w:hAnsi="Cambria Math" w:eastAsia="宋体" w:cs="Times New Roman"/>
              </w:rPr>
            </m:ctrlPr>
          </m:sup>
        </m:sSubSup>
      </m:oMath>
      <w:r>
        <w:rPr>
          <w:rFonts w:hint="default" w:ascii="Times New Roman" w:hAnsi="Times New Roman" w:eastAsia="宋体" w:cs="Times New Roman"/>
          <w:sz w:val="22"/>
        </w:rPr>
        <w:t>）：基于伤病风险参数，量化球员健康稳定性，</w:t>
      </w:r>
      <m:oMath>
        <m:r>
          <m:rPr/>
          <w:rPr>
            <w:rFonts w:hint="default" w:ascii="Cambria Math" w:hAnsi="Cambria Math" w:eastAsia="宋体"/>
            <w:sz w:val="22"/>
          </w:rPr>
          <m:t>V</m:t>
        </m:r>
        <m:sSup>
          <m:sSupPr>
            <m:ctrlPr>
              <w:rPr>
                <w:rFonts w:hint="default" w:ascii="Cambria Math" w:hAnsi="Cambria Math" w:eastAsia="宋体"/>
                <w:sz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2"/>
              </w:rPr>
              <m:t>ᵢ</m:t>
            </m:r>
            <m:ctrlPr>
              <w:rPr>
                <w:rFonts w:ascii="Cambria Math" w:hAnsi="Cambria Math" w:eastAsia="宋体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2"/>
              </w:rPr>
              <m:t>H</m:t>
            </m:r>
            <m:ctrlPr>
              <w:rPr>
                <w:rFonts w:ascii="Cambria Math" w:hAnsi="Cambria Math" w:eastAsia="宋体"/>
                <w:sz w:val="22"/>
              </w:rPr>
            </m:ctrlPr>
          </m:sup>
        </m:sSup>
        <m:r>
          <m:rPr/>
          <w:rPr>
            <w:rFonts w:hint="default" w:ascii="Cambria Math" w:hAnsi="Cambria Math" w:eastAsia="宋体"/>
            <w:sz w:val="22"/>
          </w:rPr>
          <m:t>=1−</m:t>
        </m:r>
        <m:r>
          <m:rPr>
            <m:sty m:val="p"/>
          </m:rPr>
          <w:rPr>
            <w:rFonts w:hint="default" w:ascii="Cambria Math" w:hAnsi="Cambria Math" w:eastAsia="宋体"/>
            <w:sz w:val="22"/>
          </w:rPr>
          <m:t>伤病概率</m:t>
        </m:r>
      </m:oMath>
      <w:r>
        <w:rPr>
          <w:rFonts w:hint="default" w:ascii="Times New Roman" w:hAnsi="Times New Roman" w:eastAsia="宋体" w:cs="Times New Roman"/>
          <w:sz w:val="22"/>
        </w:rPr>
        <w:t>，标准化至[0,1]：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 xml:space="preserve">        </w:t>
      </w:r>
      <m:oMath>
        <m:sSubSup>
          <m:sSubSupPr>
            <m:ctrlPr>
              <w:rPr>
                <w:rFonts w:hint="default" w:ascii="Cambria Math" w:hAnsi="Cambria Math" w:eastAsia="宋体" w:cs="Times New Roman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V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H</m:t>
            </m:r>
            <m:ctrlPr>
              <w:rPr>
                <w:rFonts w:hint="default" w:ascii="Cambria Math" w:hAnsi="Cambria Math" w:eastAsia="宋体" w:cs="Times New Roman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=1−</m:t>
        </m:r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P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Injury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t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)=1−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P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base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⋅</m:t>
        </m:r>
        <m:sSup>
          <m:sSupPr>
            <m:ctrlPr>
              <w:rPr>
                <w:rFonts w:hint="default" w:ascii="Cambria Math" w:hAnsi="Cambria Math" w:eastAsia="宋体" w:cs="Times New Roman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e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β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</w:rPr>
              <m:t>⋅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t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i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</w:rPr>
            </m:ctrlPr>
          </m:sup>
        </m:sSup>
      </m:oMath>
    </w:p>
    <w:p w14:paraId="6C24D781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说明：</w:t>
      </w:r>
      <m:oMath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P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base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为球员i的基础伤病概率（基于《model_parameters.csv》的injury_risk_coeff校准）；</w:t>
      </w:r>
      <m:oMath>
        <m:sSub>
          <m:sSubPr>
            <m:ctrlPr>
              <w:rPr>
                <w:rFonts w:hint="default" w:ascii="Cambria Math" w:hAnsi="Cambria Math" w:eastAsia="宋体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2"/>
              </w:rPr>
              <m:t>t</m:t>
            </m:r>
            <m:ctrlPr>
              <w:rPr>
                <w:rFonts w:ascii="Cambria Math" w:hAnsi="Cambria Math" w:eastAsia="宋体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i</m:t>
            </m:r>
            <m:ctrlPr>
              <w:rPr>
                <w:rFonts w:ascii="Cambria Math" w:hAnsi="Cambria Math" w:eastAsia="宋体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为球员i的预期出场时间占比（数据来源于《ICM_D_WNBA_数据说明文档（综合表）》的minutes字段）；β为伤病负荷系数（来源于《model_parameters.csv》），出场负荷越大，伤病概率越高，健康价值越低。</w:t>
      </w:r>
    </w:p>
    <w:p w14:paraId="37216C2F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潜力价值（</w:t>
      </w:r>
      <m:oMath>
        <m:sSubSup>
          <m:sSubSupPr>
            <m:ctrlPr>
              <w:rPr>
                <w:rFonts w:hint="default" w:ascii="Cambria Math" w:hAnsi="Cambria Math" w:eastAsia="宋体" w:cs="Times New Roman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V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P</m:t>
            </m:r>
            <m:ctrlPr>
              <w:rPr>
                <w:rFonts w:hint="default" w:ascii="Cambria Math" w:hAnsi="Cambria Math" w:eastAsia="宋体" w:cs="Times New Roman"/>
              </w:rPr>
            </m:ctrlPr>
          </m:sup>
        </m:sSubSup>
      </m:oMath>
      <w:r>
        <w:rPr>
          <w:rFonts w:hint="default" w:ascii="Times New Roman" w:hAnsi="Times New Roman" w:eastAsia="宋体" w:cs="Times New Roman"/>
          <w:sz w:val="22"/>
        </w:rPr>
        <w:t>）：结合合同类型与剩余年限，量化球员未来价值，标准化至[0,1]：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 xml:space="preserve">        </w:t>
      </w:r>
      <m:oMath>
        <m:sSubSup>
          <m:sSubSupPr>
            <m:ctrlPr>
              <w:rPr>
                <w:rFonts w:hint="default" w:ascii="Cambria Math" w:hAnsi="Cambria Math" w:eastAsia="宋体" w:cs="Times New Roman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V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P</m:t>
            </m:r>
            <m:ctrlPr>
              <w:rPr>
                <w:rFonts w:hint="default" w:ascii="Cambria Math" w:hAnsi="Cambria Math" w:eastAsia="宋体" w:cs="Times New Roman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k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⋅</m:t>
        </m:r>
        <m:d>
          <m:dPr>
            <m:ctrlPr>
              <w:rPr>
                <w:rFonts w:hint="default" w:ascii="Cambria Math" w:hAnsi="Cambria Math" w:eastAsia="宋体" w:cs="Times New Roman"/>
                <w:i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</w:rPr>
              <m:t>1−</m:t>
            </m:r>
            <m:f>
              <m:fPr>
                <m:ctrlPr>
                  <w:rPr>
                    <w:rFonts w:hint="default" w:ascii="Cambria Math" w:hAnsi="Cambria Math" w:eastAsia="宋体" w:cs="Times New Roman"/>
                    <w:i/>
                  </w:rPr>
                </m:ctrlPr>
              </m:fPr>
              <m:num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contract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</w:rPr>
                  <m:t>_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used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num>
              <m:den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contract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</w:rPr>
                  <m:t>_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lengt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</w:rPr>
                  <m:t>h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den>
            </m:f>
            <m:ctrlPr>
              <w:rPr>
                <w:rFonts w:hint="default" w:ascii="Cambria Math" w:hAnsi="Cambria Math" w:eastAsia="宋体" w:cs="Times New Roman"/>
                <w:i/>
              </w:rPr>
            </m:ctrlPr>
          </m:e>
        </m:d>
      </m:oMath>
    </w:p>
    <w:p w14:paraId="6B938F4C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说明：</w:t>
      </w:r>
      <m:oMath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k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为潜力兑现系数（</w:t>
      </w:r>
      <w:r>
        <w:rPr>
          <w:rFonts w:hint="eastAsia" w:ascii="Times New Roman" w:hAnsi="Times New Roman" w:eastAsia="宋体" w:cs="Times New Roman"/>
          <w:sz w:val="22"/>
          <w:highlight w:val="yellow"/>
          <w:lang w:val="en-US" w:eastAsia="zh-CN"/>
        </w:rPr>
        <w:t>例如</w:t>
      </w:r>
      <w:r>
        <w:rPr>
          <w:rFonts w:hint="default" w:ascii="Times New Roman" w:hAnsi="Times New Roman" w:eastAsia="宋体" w:cs="Times New Roman"/>
          <w:sz w:val="22"/>
        </w:rPr>
        <w:t>新秀</w:t>
      </w:r>
      <m:oMath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k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取值0.7-1.0，老将</w:t>
      </w:r>
      <m:oMath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k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取值0.1-0.6，基于《player_salaries_2025.csv》的contract_type校准）；contract_used为球员已使用合同年限；contract_length为合同剩余年限（数据来源于《player_salaries_2025.csv》的contract_length字段），合同剩余越久，潜力价值越高。</w:t>
      </w:r>
    </w:p>
    <w:p w14:paraId="5C3AEF0D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阵容契合度（</w:t>
      </w:r>
      <m:oMath>
        <m:r>
          <m:rPr/>
          <w:rPr>
            <w:rFonts w:hint="default" w:ascii="Cambria Math" w:hAnsi="Cambria Math" w:eastAsia="宋体"/>
            <w:sz w:val="22"/>
          </w:rPr>
          <m:t>V</m:t>
        </m:r>
        <m:sSup>
          <m:sSupPr>
            <m:ctrlPr>
              <w:rPr>
                <w:rFonts w:hint="default" w:ascii="Cambria Math" w:hAnsi="Cambria Math" w:eastAsia="宋体"/>
                <w:sz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2"/>
              </w:rPr>
              <m:t>ᵢ</m:t>
            </m:r>
            <m:ctrlPr>
              <w:rPr>
                <w:rFonts w:ascii="Cambria Math" w:hAnsi="Cambria Math" w:eastAsia="宋体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2"/>
              </w:rPr>
              <m:t>F</m:t>
            </m:r>
            <m:ctrlPr>
              <w:rPr>
                <w:rFonts w:ascii="Cambria Math" w:hAnsi="Cambria Math" w:eastAsia="宋体"/>
                <w:sz w:val="22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2"/>
        </w:rPr>
        <w:t>）：基于球员位置与球队战术协同，量化球员与现有阵容的适配性，标准化至[0,1]：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 xml:space="preserve">        </w:t>
      </w:r>
      <m:oMath>
        <m:sSubSup>
          <m:sSubSupPr>
            <m:ctrlPr>
              <w:rPr>
                <w:rFonts w:hint="default" w:ascii="Cambria Math" w:hAnsi="Cambria Math" w:eastAsia="宋体" w:cs="Times New Roman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V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F</m:t>
            </m:r>
            <m:ctrlPr>
              <w:rPr>
                <w:rFonts w:hint="default" w:ascii="Cambria Math" w:hAnsi="Cambria Math" w:eastAsia="宋体" w:cs="Times New Roman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=0.5⋅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PosFit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+0.5⋅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StyleFit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</m:oMath>
    </w:p>
    <w:p w14:paraId="02453AB9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说明：</w:t>
      </w:r>
      <m:oMath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PosFit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为位置适配度（1-位置缺口率，基于</w:t>
      </w:r>
      <m:oMath>
        <m:sSubSup>
          <m:sSubSupPr>
            <m:ctrlPr>
              <w:rPr>
                <w:rFonts w:hint="default" w:ascii="Cambria Math" w:hAnsi="Times New Roman" w:eastAsia="宋体" w:cs="Times New Roman"/>
                <w:sz w:val="22"/>
              </w:rPr>
            </m:ctrlPr>
          </m:sSubSupPr>
          <m:e>
            <m:r>
              <m:rPr/>
              <w:rPr>
                <w:rFonts w:hint="default" w:ascii="Cambria Math" w:hAnsi="Cambria Math" w:eastAsia="宋体"/>
                <w:sz w:val="22"/>
              </w:rPr>
              <m:t>N</m:t>
            </m:r>
            <m:ctrlPr>
              <w:rPr>
                <w:rFonts w:hint="default" w:ascii="Cambria Math" w:hAnsi="Times New Roman" w:eastAsia="宋体" w:cs="Times New Roman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pos</m:t>
            </m:r>
            <m:r>
              <m:rPr/>
              <w:rPr>
                <w:rFonts w:hint="default" w:ascii="Cambria Math" w:hAnsi="Cambria Math" w:eastAsia="宋体"/>
                <w:sz w:val="22"/>
                <w:lang w:val="en-US" w:eastAsia="zh-CN"/>
              </w:rPr>
              <m:t>,k</m:t>
            </m:r>
            <m:ctrlPr>
              <w:rPr>
                <w:rFonts w:hint="default" w:ascii="Cambria Math" w:hAnsi="Times New Roman" w:eastAsia="宋体" w:cs="Times New Roman"/>
                <w:sz w:val="22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Times New Roman" w:eastAsia="宋体" w:cs="Times New Roman"/>
                <w:sz w:val="22"/>
                <w:lang w:val="en-US" w:eastAsia="zh-CN"/>
              </w:rPr>
              <m:t>min</m:t>
            </m:r>
            <m:ctrlPr>
              <w:rPr>
                <w:rFonts w:hint="default" w:ascii="Cambria Math" w:hAnsi="Times New Roman" w:eastAsia="宋体" w:cs="Times New Roman"/>
                <w:sz w:val="22"/>
              </w:rPr>
            </m:ctrlPr>
          </m:sup>
        </m:sSubSup>
      </m:oMath>
      <w:r>
        <w:rPr>
          <w:rFonts w:hint="default" w:ascii="Times New Roman" w:hAnsi="Times New Roman" w:eastAsia="宋体" w:cs="Times New Roman"/>
          <w:sz w:val="22"/>
        </w:rPr>
        <w:t>、</w:t>
      </w:r>
      <m:oMath>
        <m:sSubSup>
          <m:sSubSupPr>
            <m:ctrlPr>
              <w:rPr>
                <w:rFonts w:hint="default" w:ascii="Cambria Math" w:hAnsi="Times New Roman" w:eastAsia="宋体" w:cs="Times New Roman"/>
                <w:sz w:val="22"/>
              </w:rPr>
            </m:ctrlPr>
          </m:sSubSupPr>
          <m:e>
            <m:r>
              <m:rPr/>
              <w:rPr>
                <w:rFonts w:hint="default" w:ascii="Cambria Math" w:hAnsi="Cambria Math" w:eastAsia="宋体"/>
                <w:sz w:val="22"/>
              </w:rPr>
              <m:t>N</m:t>
            </m:r>
            <m:ctrlPr>
              <w:rPr>
                <w:rFonts w:hint="default" w:ascii="Cambria Math" w:hAnsi="Times New Roman" w:eastAsia="宋体" w:cs="Times New Roman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2"/>
              </w:rPr>
              <m:t>pos</m:t>
            </m:r>
            <m:r>
              <m:rPr/>
              <w:rPr>
                <w:rFonts w:hint="default" w:ascii="Cambria Math" w:hAnsi="Cambria Math" w:eastAsia="宋体"/>
                <w:sz w:val="22"/>
                <w:lang w:val="en-US" w:eastAsia="zh-CN"/>
              </w:rPr>
              <m:t>,k</m:t>
            </m:r>
            <m:ctrlPr>
              <w:rPr>
                <w:rFonts w:hint="default" w:ascii="Cambria Math" w:hAnsi="Times New Roman" w:eastAsia="宋体" w:cs="Times New Roman"/>
                <w:sz w:val="22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Times New Roman" w:eastAsia="宋体" w:cs="Times New Roman"/>
                <w:sz w:val="22"/>
                <w:lang w:val="en-US" w:eastAsia="zh-CN"/>
              </w:rPr>
              <m:t>max</m:t>
            </m:r>
            <m:ctrlPr>
              <w:rPr>
                <w:rFonts w:hint="default" w:ascii="Cambria Math" w:hAnsi="Times New Roman" w:eastAsia="宋体" w:cs="Times New Roman"/>
                <w:b w:val="0"/>
                <w:i w:val="0"/>
                <w:sz w:val="22"/>
                <w:lang w:val="en-US" w:eastAsia="zh-CN"/>
              </w:rPr>
            </m:ctrlPr>
          </m:sup>
        </m:sSubSup>
      </m:oMath>
      <w:r>
        <w:rPr>
          <w:rFonts w:hint="default" w:ascii="Times New Roman" w:hAnsi="Times New Roman" w:eastAsia="宋体" w:cs="Times New Roman"/>
          <w:sz w:val="22"/>
        </w:rPr>
        <w:t>与现有阵容位置分布计算）；</w:t>
      </w:r>
      <m:oMath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StyleFit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为战术风格适配度（基于《ICM_D_WNBA_数据说明文档（综合表）》的plus_minus字段校准，正负值反映球员与球队战术的契合程度）。</w:t>
      </w:r>
    </w:p>
    <w:p w14:paraId="7E887062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0" w:name="heading_12"/>
      <w:r>
        <w:rPr>
          <w:rFonts w:hint="default" w:ascii="Times New Roman" w:hAnsi="Times New Roman" w:eastAsia="宋体" w:cs="Times New Roman"/>
          <w:b/>
          <w:sz w:val="30"/>
        </w:rPr>
        <w:t>5.1.2 综合价值汇总公式</w:t>
      </w:r>
      <w:bookmarkEnd w:id="10"/>
    </w:p>
    <w:p w14:paraId="5C2F2FD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通过加权求和法整合五维度价值，权重ω通过AHP法确定（结合球队目标，如争冠队</w:t>
      </w:r>
      <m:oMath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ω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A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=0.35，重建队</w:t>
      </w:r>
      <m:oMath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ω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P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=0.35）：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 xml:space="preserve">      </w:t>
      </w:r>
      <m:oMath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V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ω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A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sSubSup>
          <m:sSubSupPr>
            <m:ctrlPr>
              <w:rPr>
                <w:rFonts w:hint="default" w:ascii="Cambria Math" w:hAnsi="Cambria Math" w:eastAsia="宋体" w:cs="Times New Roman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V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A</m:t>
            </m:r>
            <m:ctrlPr>
              <w:rPr>
                <w:rFonts w:hint="default" w:ascii="Cambria Math" w:hAnsi="Cambria Math" w:eastAsia="宋体" w:cs="Times New Roman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+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ω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B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sSubSup>
          <m:sSubSupPr>
            <m:ctrlPr>
              <w:rPr>
                <w:rFonts w:hint="default" w:ascii="Cambria Math" w:hAnsi="Cambria Math" w:eastAsia="宋体" w:cs="Times New Roman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V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B</m:t>
            </m:r>
            <m:ctrlPr>
              <w:rPr>
                <w:rFonts w:hint="default" w:ascii="Cambria Math" w:hAnsi="Cambria Math" w:eastAsia="宋体" w:cs="Times New Roman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+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ω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H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sSubSup>
          <m:sSubSupPr>
            <m:ctrlPr>
              <w:rPr>
                <w:rFonts w:hint="default" w:ascii="Cambria Math" w:hAnsi="Cambria Math" w:eastAsia="宋体" w:cs="Times New Roman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V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H</m:t>
            </m:r>
            <m:ctrlPr>
              <w:rPr>
                <w:rFonts w:hint="default" w:ascii="Cambria Math" w:hAnsi="Cambria Math" w:eastAsia="宋体" w:cs="Times New Roman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+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ω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P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sSubSup>
          <m:sSubSupPr>
            <m:ctrlPr>
              <w:rPr>
                <w:rFonts w:hint="default" w:ascii="Cambria Math" w:hAnsi="Cambria Math" w:eastAsia="宋体" w:cs="Times New Roman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V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P</m:t>
            </m:r>
            <m:ctrlPr>
              <w:rPr>
                <w:rFonts w:hint="default" w:ascii="Cambria Math" w:hAnsi="Cambria Math" w:eastAsia="宋体" w:cs="Times New Roman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+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ω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F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sSubSup>
          <m:sSubSupPr>
            <m:ctrlPr>
              <w:rPr>
                <w:rFonts w:hint="default" w:ascii="Cambria Math" w:hAnsi="Cambria Math" w:eastAsia="宋体" w:cs="Times New Roman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V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F</m:t>
            </m:r>
            <m:ctrlPr>
              <w:rPr>
                <w:rFonts w:hint="default" w:ascii="Cambria Math" w:hAnsi="Cambria Math" w:eastAsia="宋体" w:cs="Times New Roman"/>
              </w:rPr>
            </m:ctrlPr>
          </m:sup>
        </m:sSubSup>
      </m:oMath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 xml:space="preserve">      约束：</w:t>
      </w:r>
      <m:oMath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ω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A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+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ω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B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+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ω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H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+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ω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P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+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ω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F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=1</m:t>
        </m:r>
      </m:oMath>
      <w:r>
        <w:rPr>
          <w:rFonts w:hint="default" w:ascii="Times New Roman" w:hAnsi="Times New Roman" w:eastAsia="宋体" w:cs="Times New Roman"/>
          <w:sz w:val="22"/>
        </w:rPr>
        <w:t>，且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0≤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ω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A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ω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B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ω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H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ω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P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ω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F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≤1</m:t>
        </m:r>
      </m:oMath>
      <w:r>
        <w:rPr>
          <w:rFonts w:hint="default" w:ascii="Times New Roman" w:hAnsi="Times New Roman" w:eastAsia="宋体" w:cs="Times New Roman"/>
          <w:sz w:val="22"/>
        </w:rPr>
        <w:t>。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 xml:space="preserve">    </w:t>
      </w:r>
    </w:p>
    <w:p w14:paraId="274DD576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1" w:name="heading_13"/>
      <w:r>
        <w:rPr>
          <w:rFonts w:hint="default" w:ascii="Times New Roman" w:hAnsi="Times New Roman" w:eastAsia="宋体" w:cs="Times New Roman"/>
          <w:b/>
          <w:sz w:val="32"/>
        </w:rPr>
        <w:t>5.2 模块2：多目标优化目标函数（衔接第一问）</w:t>
      </w:r>
      <w:bookmarkEnd w:id="11"/>
    </w:p>
    <w:p w14:paraId="71A9ACE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核心目标：延续第一问“利润与估值最大化”的核心，结合收购场景，新增“风险最小化”“阵容适配度最大化”目标，形成三目标优化模型，通过加权转化为单目标优化（权重μ₁,μ₂,μ₃，∑μ=1），确保目标函数贴合收购决策需求：</w:t>
      </w:r>
    </w:p>
    <w:p w14:paraId="481E0D0E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2" w:name="heading_14"/>
      <w:r>
        <w:rPr>
          <w:rFonts w:hint="default" w:ascii="Times New Roman" w:hAnsi="Times New Roman" w:eastAsia="宋体" w:cs="Times New Roman"/>
          <w:b/>
          <w:sz w:val="30"/>
        </w:rPr>
        <w:t>5.2.1 目标函数定义</w:t>
      </w:r>
      <w:bookmarkEnd w:id="12"/>
    </w:p>
    <w:p w14:paraId="660DB87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m:oMathPara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max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</w:rPr>
            <m:t xml:space="preserve"> 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Z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</w:rPr>
            <m:t>=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μ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</w:rPr>
                <m:t>1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</w:rPr>
            <m:t>⋅</m:t>
          </m:r>
          <m:f>
            <m:fPr>
              <m:ctrlPr>
                <w:rPr>
                  <w:rFonts w:hint="default" w:ascii="Cambria Math" w:hAnsi="Cambria Math" w:eastAsia="宋体" w:cs="Times New Roman"/>
                </w:rPr>
              </m:ctrlPr>
            </m:fPr>
            <m:num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T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R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acq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</w:rPr>
                <m:t>−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Ris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k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acq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</w:rPr>
              </m:ctrlPr>
            </m:num>
            <m:den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T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C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acq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</w:rPr>
            <m:t>+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μ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</w:rPr>
            <m:t>⋅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V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avg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</w:rPr>
            <m:t>+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μ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</w:rPr>
                <m:t>3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</w:rPr>
            <m:t>⋅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Fit</m:t>
          </m:r>
        </m:oMath>
      </m:oMathPara>
    </w:p>
    <w:p w14:paraId="4E211ED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说明：Z为收购策略的综合效用值，值越大，收购策略越优；μ₁,μ₂,μ₃为目标权重（μ₁=0.4，μ₂=0.3，μ₃=0.3，可根据球队目标调整）。</w:t>
      </w:r>
    </w:p>
    <w:p w14:paraId="02225FD4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3" w:name="heading_15"/>
      <w:r>
        <w:rPr>
          <w:rFonts w:hint="default" w:ascii="Times New Roman" w:hAnsi="Times New Roman" w:eastAsia="宋体" w:cs="Times New Roman"/>
          <w:b/>
          <w:sz w:val="30"/>
        </w:rPr>
        <w:t>5.2.2 各分项详细解释（均衔接数据与第一问）</w:t>
      </w:r>
      <w:bookmarkEnd w:id="13"/>
    </w:p>
    <w:p w14:paraId="31C2241F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收购净收益比（</w:t>
      </w:r>
      <m:oMath>
        <m:f>
          <m:fPr>
            <m:ctrlPr>
              <w:rPr>
                <w:rFonts w:hint="default" w:ascii="Cambria Math" w:hAnsi="Cambria Math" w:eastAsia="宋体" w:cs="Times New Roman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T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R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acq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</w:rPr>
              <m:t>−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Ris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k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acq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T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C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acq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</w:rPr>
            </m:ctrlPr>
          </m:den>
        </m:f>
      </m:oMath>
      <w:r>
        <w:rPr>
          <w:rFonts w:hint="default" w:ascii="Times New Roman" w:hAnsi="Times New Roman" w:eastAsia="宋体" w:cs="Times New Roman"/>
          <w:sz w:val="22"/>
        </w:rPr>
        <w:t>）：核心分项，反映收购的投入产出效率，衔接第一问的利润目标：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 xml:space="preserve">        </w:t>
      </w:r>
    </w:p>
    <w:p w14:paraId="6DEE5543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m:oMath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T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R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acq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（收购总收益）：分为竞技驱动收入与商业驱动收入，延续第一问的收入函数逻辑，融入收购球员的商业价值：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 xml:space="preserve">           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T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R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acq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α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⋅ln</m:t>
        </m:r>
        <m:d>
          <m:dPr>
            <m:sepChr m:val=","/>
            <m:ctrlPr>
              <w:rPr>
                <w:rFonts w:hint="default" w:ascii="Cambria Math" w:hAnsi="Cambria Math" w:eastAsia="宋体" w:cs="Times New Roman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</w:rPr>
              <m:t>1+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T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perf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+</m:t>
        </m:r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β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⋅</m:t>
        </m:r>
        <m:nary>
          <m:naryPr>
            <m:chr m:val="∑"/>
            <m:grow m:val="1"/>
            <m:limLoc m:val="subSup"/>
            <m:supHide m:val="1"/>
            <m:ctrlPr>
              <w:rPr>
                <w:rFonts w:hint="default" w:ascii="Cambria Math" w:hAnsi="Cambria Math" w:eastAsia="宋体" w:cs="Times New Roman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q</m:t>
            </m:r>
            <m:ctrlPr>
              <w:rPr>
                <w:rFonts w:hint="default" w:ascii="Cambria Math" w:hAnsi="Cambria Math" w:eastAsia="宋体" w:cs="Times New Roman"/>
              </w:rPr>
            </m:ctrlPr>
          </m:sub>
          <m:sup>
            <m:ctrlPr>
              <w:rPr>
                <w:rFonts w:hint="default" w:ascii="Cambria Math" w:hAnsi="Cambria Math" w:eastAsia="宋体" w:cs="Times New Roman"/>
              </w:rPr>
            </m:ctrlPr>
          </m:sup>
          <m:e>
            <m:sSubSup>
              <m:sSubSupPr>
                <m:ctrlPr>
                  <w:rPr>
                    <w:rFonts w:hint="default" w:ascii="Cambria Math" w:hAnsi="Cambria Math" w:eastAsia="宋体" w:cs="Times New Roman"/>
                  </w:rPr>
                </m:ctrlPr>
              </m:sSub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i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sub>
              <m:sup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B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sup>
            </m:sSubSup>
            <m:sSub>
              <m:sSubPr>
                <m:ctrlPr>
                  <w:rPr>
                    <w:rFonts w:hint="default" w:ascii="Cambria Math" w:hAnsi="Cambria Math" w:eastAsia="宋体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i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</w:rPr>
                  <m:t>,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q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</w:rPr>
            </m:ctrlPr>
          </m:e>
        </m:nary>
      </m:oMath>
    </w:p>
    <w:p w14:paraId="6E25A26D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α为市场规模系数（来源于《model_parameters.csv》），</w:t>
      </w:r>
      <m:oMath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T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perf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为收购后球队整体竞技表现（融入收购球员的竞技价值与协同效应）；β为商业价值转化系数，量化球员商业价值对收入的带动作用。</w:t>
      </w:r>
    </w:p>
    <w:p w14:paraId="0C4F3587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hAnsi="Cambria Math" w:eastAsia="宋体" w:cs="Times New Roman"/>
          <w:i w:val="0"/>
        </w:rPr>
      </w:pPr>
      <m:oMath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Ris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k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acq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（收购总风险）：量化收购的潜在损失，包括伤病损失与潜力未兑现损失，数据来源于伤病风险参数与球员潜力参数：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 xml:space="preserve">           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Ris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k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acq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=</m:t>
        </m:r>
        <m:nary>
          <m:naryPr>
            <m:chr m:val="∑"/>
            <m:grow m:val="1"/>
            <m:limLoc m:val="subSup"/>
            <m:supHide m:val="1"/>
            <m:ctrlPr>
              <w:rPr>
                <w:rFonts w:hint="default" w:ascii="Cambria Math" w:hAnsi="Cambria Math" w:eastAsia="宋体" w:cs="Times New Roman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q</m:t>
            </m:r>
            <m:ctrlPr>
              <w:rPr>
                <w:rFonts w:hint="default" w:ascii="Cambria Math" w:hAnsi="Cambria Math" w:eastAsia="宋体" w:cs="Times New Roman"/>
              </w:rPr>
            </m:ctrlPr>
          </m:sub>
          <m:sup>
            <m:ctrlPr>
              <w:rPr>
                <w:rFonts w:hint="default" w:ascii="Cambria Math" w:hAnsi="Cambria Math" w:eastAsia="宋体" w:cs="Times New Roman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宋体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α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q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R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loss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</w:rPr>
                  <m:t>,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i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i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</w:rPr>
                  <m:t>,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q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sub>
            </m:sSub>
            <m:d>
              <m:dPr>
                <m:sepChr m:val=","/>
                <m:ctrlPr>
                  <w:rPr>
                    <w:rFonts w:hint="default" w:ascii="Cambria Math" w:hAnsi="Cambria Math" w:eastAsia="宋体" w:cs="Times New Roman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</w:rPr>
                  <m:t>1−</m:t>
                </m:r>
                <m:sSubSup>
                  <m:sSubSupP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</w:rPr>
                      <m:t>V</m:t>
                    </m: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</w:rPr>
                      <m:t>i</m:t>
                    </m: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sub>
                  <m:sup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</w:rPr>
                      <m:t>H</m:t>
                    </m: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sup>
                </m:sSubSup>
                <m:ctrlPr>
                  <w:rPr>
                    <w:rFonts w:hint="default" w:ascii="Cambria Math" w:hAnsi="Cambria Math" w:eastAsia="宋体" w:cs="Times New Roman"/>
                  </w:rPr>
                </m:ctrlPr>
              </m:e>
            </m:d>
            <m:ctrlPr>
              <w:rPr>
                <w:rFonts w:hint="default" w:ascii="Cambria Math" w:hAnsi="Cambria Math" w:eastAsia="宋体" w:cs="Times New Roman"/>
              </w:rPr>
            </m:ctrlPr>
          </m:e>
        </m:nary>
      </m:oMath>
    </w:p>
    <w:p w14:paraId="5F1026A3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α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q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为渠道风险系数（选秀风险最高，交易风险最低）；</w:t>
      </w:r>
      <m:oMath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R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loss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为球员i的预期损失（基于《player_salaries_2025.csv》的salary_2025与伤病概率校准）；</w:t>
      </w:r>
      <m:oMath>
        <m:d>
          <m:dPr>
            <m:sepChr m:val=","/>
            <m:ctrlPr>
              <w:rPr>
                <w:rFonts w:hint="default" w:ascii="Cambria Math" w:hAnsi="Cambria Math" w:eastAsia="宋体" w:cs="Times New Roman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</w:rPr>
              <m:t>1−</m:t>
            </m:r>
            <m:sSubSup>
              <m:sSubSupPr>
                <m:ctrlPr>
                  <w:rPr>
                    <w:rFonts w:hint="default" w:ascii="Cambria Math" w:hAnsi="Cambria Math" w:eastAsia="宋体" w:cs="Times New Roman"/>
                  </w:rPr>
                </m:ctrlPr>
              </m:sSub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i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sub>
              <m:sup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H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sup>
            </m:sSubSup>
            <m:ctrlPr>
              <w:rPr>
                <w:rFonts w:hint="default" w:ascii="Cambria Math" w:hAnsi="Cambria Math" w:eastAsia="宋体" w:cs="Times New Roman"/>
              </w:rPr>
            </m:ctrlPr>
          </m:e>
        </m:d>
      </m:oMath>
      <w:r>
        <w:rPr>
          <w:rFonts w:hint="default" w:ascii="Times New Roman" w:hAnsi="Times New Roman" w:eastAsia="宋体" w:cs="Times New Roman"/>
          <w:sz w:val="22"/>
        </w:rPr>
        <w:t>为伤病风险敞口，健康价值越低，风险敞口越大。</w:t>
      </w:r>
    </w:p>
    <w:p w14:paraId="61336E3C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hAnsi="Cambria Math" w:eastAsia="宋体" w:cs="Times New Roman"/>
          <w:i w:val="0"/>
          <w:highlight w:val="none"/>
        </w:rPr>
      </w:pPr>
      <m:oMath>
        <m:r>
          <m:rPr>
            <m:nor/>
          </m:rPr>
          <w:rPr>
            <w:rFonts w:hint="default" w:ascii="Times New Roman" w:hAnsi="Times New Roman" w:eastAsia="宋体" w:cs="Times New Roman"/>
            <w:i/>
            <w:highlight w:val="none"/>
          </w:rPr>
          <m:t>T</m:t>
        </m:r>
        <m:sSub>
          <m:sSubPr>
            <m:ctrlPr>
              <w:rPr>
                <w:rFonts w:hint="default" w:ascii="Cambria Math" w:hAnsi="Cambria Math" w:eastAsia="宋体" w:cs="Times New Roman"/>
                <w:highlight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highlight w:val="none"/>
              </w:rPr>
              <m:t>C</m:t>
            </m:r>
            <m:ctrlPr>
              <w:rPr>
                <w:rFonts w:hint="default" w:ascii="Cambria Math" w:hAnsi="Cambria Math" w:eastAsia="宋体" w:cs="Times New Roman"/>
                <w:highlight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highlight w:val="none"/>
              </w:rPr>
              <m:t>acq</m:t>
            </m:r>
            <m:ctrlPr>
              <w:rPr>
                <w:rFonts w:hint="default" w:ascii="Cambria Math" w:hAnsi="Cambria Math" w:eastAsia="宋体" w:cs="Times New Roman"/>
                <w:highlight w:val="none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  <w:highlight w:val="none"/>
        </w:rPr>
        <w:t>（收购总成本）：包括收购直接成本、签约薪资，减去放弃球员的薪资节省，数据来源于球员薪资与收购渠道成本：</w:t>
      </w:r>
      <w:r>
        <w:rPr>
          <w:rFonts w:hint="default" w:ascii="Times New Roman" w:hAnsi="Times New Roman" w:eastAsia="宋体" w:cs="Times New Roman"/>
          <w:sz w:val="22"/>
          <w:highlight w:val="none"/>
        </w:rPr>
        <w:br w:type="textWrapping"/>
      </w:r>
      <w:r>
        <w:rPr>
          <w:rFonts w:hint="default" w:ascii="Times New Roman" w:hAnsi="Times New Roman" w:eastAsia="宋体" w:cs="Times New Roman"/>
          <w:sz w:val="22"/>
          <w:highlight w:val="none"/>
        </w:rPr>
        <w:t xml:space="preserve">           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highlight w:val="none"/>
          </w:rPr>
          <m:t>T</m:t>
        </m:r>
        <m:sSub>
          <m:sSubPr>
            <m:ctrlPr>
              <w:rPr>
                <w:rFonts w:hint="default" w:ascii="Cambria Math" w:hAnsi="Cambria Math" w:eastAsia="宋体" w:cs="Times New Roman"/>
                <w:highlight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highlight w:val="none"/>
              </w:rPr>
              <m:t>C</m:t>
            </m:r>
            <m:ctrlPr>
              <w:rPr>
                <w:rFonts w:hint="default" w:ascii="Cambria Math" w:hAnsi="Cambria Math" w:eastAsia="宋体" w:cs="Times New Roman"/>
                <w:highlight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highlight w:val="none"/>
              </w:rPr>
              <m:t>acq</m:t>
            </m:r>
            <m:ctrlPr>
              <w:rPr>
                <w:rFonts w:hint="default" w:ascii="Cambria Math" w:hAnsi="Cambria Math" w:eastAsia="宋体" w:cs="Times New Roman"/>
                <w:highlight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highlight w:val="none"/>
          </w:rPr>
          <m:t>=</m:t>
        </m:r>
        <m:nary>
          <m:naryPr>
            <m:chr m:val="∑"/>
            <m:grow m:val="1"/>
            <m:limLoc m:val="subSup"/>
            <m:supHide m:val="1"/>
            <m:ctrlPr>
              <w:rPr>
                <w:rFonts w:hint="default" w:ascii="Cambria Math" w:hAnsi="Cambria Math" w:eastAsia="宋体" w:cs="Times New Roman"/>
                <w:highlight w:val="none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highlight w:val="none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highlight w:val="none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highlight w:val="none"/>
              </w:rPr>
              <m:t>q</m:t>
            </m:r>
            <m:ctrlPr>
              <w:rPr>
                <w:rFonts w:hint="default" w:ascii="Cambria Math" w:hAnsi="Cambria Math" w:eastAsia="宋体" w:cs="Times New Roman"/>
                <w:highlight w:val="none"/>
              </w:rPr>
            </m:ctrlPr>
          </m:sub>
          <m:sup>
            <m:ctrlPr>
              <w:rPr>
                <w:rFonts w:hint="default" w:ascii="Cambria Math" w:hAnsi="Cambria Math" w:eastAsia="宋体" w:cs="Times New Roman"/>
                <w:highlight w:val="none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宋体" w:cs="Times New Roman"/>
                    <w:highlight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highlight w:val="none"/>
                  </w:rPr>
                  <m:t>C</m:t>
                </m:r>
                <m:ctrlPr>
                  <w:rPr>
                    <w:rFonts w:hint="default" w:ascii="Cambria Math" w:hAnsi="Cambria Math" w:eastAsia="宋体" w:cs="Times New Roman"/>
                    <w:highlight w:val="none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highlight w:val="none"/>
                  </w:rPr>
                  <m:t>i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highlight w:val="none"/>
                  </w:rPr>
                  <m:t>,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highlight w:val="none"/>
                  </w:rPr>
                  <m:t>q</m:t>
                </m:r>
                <m:ctrlPr>
                  <w:rPr>
                    <w:rFonts w:hint="default" w:ascii="Cambria Math" w:hAnsi="Cambria Math" w:eastAsia="宋体" w:cs="Times New Roman"/>
                    <w:highlight w:val="none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Times New Roman"/>
                    <w:highlight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highlight w:val="none"/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highlight w:val="none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highlight w:val="none"/>
                  </w:rPr>
                  <m:t>i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highlight w:val="none"/>
                  </w:rPr>
                  <m:t>,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highlight w:val="none"/>
                  </w:rPr>
                  <m:t>q</m:t>
                </m:r>
                <m:ctrlPr>
                  <w:rPr>
                    <w:rFonts w:hint="default" w:ascii="Cambria Math" w:hAnsi="Cambria Math" w:eastAsia="宋体" w:cs="Times New Roman"/>
                    <w:highlight w:val="none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highlight w:val="none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highlight w:val="none"/>
          </w:rPr>
          <m:t>+</m:t>
        </m:r>
        <m:nary>
          <m:naryPr>
            <m:chr m:val="∑"/>
            <m:grow m:val="1"/>
            <m:limLoc m:val="subSup"/>
            <m:supHide m:val="1"/>
            <m:ctrlPr>
              <w:rPr>
                <w:rFonts w:hint="default" w:ascii="Cambria Math" w:hAnsi="Cambria Math" w:eastAsia="宋体" w:cs="Times New Roman"/>
                <w:highlight w:val="none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highlight w:val="none"/>
              </w:rPr>
              <m:t>i</m:t>
            </m:r>
            <m:ctrlPr>
              <w:rPr>
                <w:rFonts w:hint="default" w:ascii="Cambria Math" w:hAnsi="Cambria Math" w:eastAsia="宋体" w:cs="Times New Roman"/>
                <w:highlight w:val="none"/>
              </w:rPr>
            </m:ctrlPr>
          </m:sub>
          <m:sup>
            <m:ctrlPr>
              <w:rPr>
                <w:rFonts w:hint="default" w:ascii="Cambria Math" w:hAnsi="Cambria Math" w:eastAsia="宋体" w:cs="Times New Roman"/>
                <w:highlight w:val="none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宋体" w:cs="Times New Roman"/>
                    <w:highlight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highlight w:val="none"/>
                  </w:rPr>
                  <m:t>s</m:t>
                </m:r>
                <m:ctrlPr>
                  <w:rPr>
                    <w:rFonts w:hint="default" w:ascii="Cambria Math" w:hAnsi="Cambria Math" w:eastAsia="宋体" w:cs="Times New Roman"/>
                    <w:highlight w:val="none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highlight w:val="none"/>
                  </w:rPr>
                  <m:t>i</m:t>
                </m:r>
                <m:ctrlPr>
                  <w:rPr>
                    <w:rFonts w:hint="default" w:ascii="Cambria Math" w:hAnsi="Cambria Math" w:eastAsia="宋体" w:cs="Times New Roman"/>
                    <w:highlight w:val="none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highlight w:val="none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highlight w:val="none"/>
          </w:rPr>
          <m:t>−</m:t>
        </m:r>
        <m:nary>
          <m:naryPr>
            <m:chr m:val="∑"/>
            <m:grow m:val="1"/>
            <m:limLoc m:val="subSup"/>
            <m:supHide m:val="1"/>
            <m:ctrlPr>
              <w:rPr>
                <w:rFonts w:hint="default" w:ascii="Cambria Math" w:hAnsi="Cambria Math" w:eastAsia="宋体" w:cs="Times New Roman"/>
                <w:highlight w:val="none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highlight w:val="none"/>
              </w:rPr>
              <m:t>j</m:t>
            </m:r>
            <m:ctrlPr>
              <w:rPr>
                <w:rFonts w:hint="default" w:ascii="Cambria Math" w:hAnsi="Cambria Math" w:eastAsia="宋体" w:cs="Times New Roman"/>
                <w:highlight w:val="none"/>
              </w:rPr>
            </m:ctrlPr>
          </m:sub>
          <m:sup>
            <m:ctrlPr>
              <w:rPr>
                <w:rFonts w:hint="default" w:ascii="Cambria Math" w:hAnsi="Cambria Math" w:eastAsia="宋体" w:cs="Times New Roman"/>
                <w:highlight w:val="none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宋体" w:cs="Times New Roman"/>
                    <w:highlight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highlight w:val="none"/>
                  </w:rPr>
                  <m:t>C</m:t>
                </m:r>
                <m:ctrlPr>
                  <w:rPr>
                    <w:rFonts w:hint="default" w:ascii="Cambria Math" w:hAnsi="Cambria Math" w:eastAsia="宋体" w:cs="Times New Roman"/>
                    <w:highlight w:val="none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highlight w:val="none"/>
                  </w:rPr>
                  <m:t>j</m:t>
                </m:r>
                <m:ctrlPr>
                  <w:rPr>
                    <w:rFonts w:hint="default" w:ascii="Cambria Math" w:hAnsi="Cambria Math" w:eastAsia="宋体" w:cs="Times New Roman"/>
                    <w:highlight w:val="none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Times New Roman"/>
                    <w:highlight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highlight w:val="none"/>
                  </w:rPr>
                  <m:t>y</m:t>
                </m:r>
                <m:ctrlPr>
                  <w:rPr>
                    <w:rFonts w:hint="default" w:ascii="Cambria Math" w:hAnsi="Cambria Math" w:eastAsia="宋体" w:cs="Times New Roman"/>
                    <w:highlight w:val="none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highlight w:val="none"/>
                  </w:rPr>
                  <m:t>j</m:t>
                </m:r>
                <m:ctrlPr>
                  <w:rPr>
                    <w:rFonts w:hint="default" w:ascii="Cambria Math" w:hAnsi="Cambria Math" w:eastAsia="宋体" w:cs="Times New Roman"/>
                    <w:highlight w:val="none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highlight w:val="none"/>
              </w:rPr>
            </m:ctrlPr>
          </m:e>
        </m:nary>
      </m:oMath>
    </w:p>
    <w:p w14:paraId="21E47FD5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  <w:highlight w:val="none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highlight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highlight w:val="none"/>
              </w:rPr>
              <m:t>C</m:t>
            </m:r>
            <m:ctrlPr>
              <w:rPr>
                <w:rFonts w:hint="default" w:ascii="Cambria Math" w:hAnsi="Cambria Math" w:eastAsia="宋体" w:cs="Times New Roman"/>
                <w:highlight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highlight w:val="none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highlight w:val="none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highlight w:val="none"/>
              </w:rPr>
              <m:t>q</m:t>
            </m:r>
            <m:ctrlPr>
              <w:rPr>
                <w:rFonts w:hint="default" w:ascii="Cambria Math" w:hAnsi="Cambria Math" w:eastAsia="宋体" w:cs="Times New Roman"/>
                <w:highlight w:val="none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  <w:highlight w:val="none"/>
        </w:rPr>
        <w:t>为渠道收购成本（新秀签约薪资、自由市场溢价等）；</w:t>
      </w:r>
      <m:oMath>
        <m:sSub>
          <m:sSubPr>
            <m:ctrlPr>
              <w:rPr>
                <w:rFonts w:hint="default" w:ascii="Cambria Math" w:hAnsi="Cambria Math" w:eastAsia="宋体" w:cs="Times New Roman"/>
                <w:highlight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highlight w:val="none"/>
              </w:rPr>
              <m:t>s</m:t>
            </m:r>
            <m:ctrlPr>
              <w:rPr>
                <w:rFonts w:hint="default" w:ascii="Cambria Math" w:hAnsi="Cambria Math" w:eastAsia="宋体" w:cs="Times New Roman"/>
                <w:highlight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highlight w:val="none"/>
              </w:rPr>
              <m:t>i</m:t>
            </m:r>
            <m:ctrlPr>
              <w:rPr>
                <w:rFonts w:hint="default" w:ascii="Cambria Math" w:hAnsi="Cambria Math" w:eastAsia="宋体" w:cs="Times New Roman"/>
                <w:highlight w:val="none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  <w:highlight w:val="none"/>
        </w:rPr>
        <w:t>为签约薪资（不超过《salary_cap_history.csv》的max_salary）；</w:t>
      </w:r>
      <m:oMath>
        <m:sSub>
          <m:sSubPr>
            <m:ctrlPr>
              <w:rPr>
                <w:rFonts w:hint="default" w:ascii="Cambria Math" w:hAnsi="Cambria Math" w:eastAsia="宋体" w:cs="Times New Roman"/>
                <w:highlight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highlight w:val="none"/>
              </w:rPr>
              <m:t>C</m:t>
            </m:r>
            <m:ctrlPr>
              <w:rPr>
                <w:rFonts w:hint="default" w:ascii="Cambria Math" w:hAnsi="Cambria Math" w:eastAsia="宋体" w:cs="Times New Roman"/>
                <w:highlight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highlight w:val="none"/>
              </w:rPr>
              <m:t>j</m:t>
            </m:r>
            <m:ctrlPr>
              <w:rPr>
                <w:rFonts w:hint="default" w:ascii="Cambria Math" w:hAnsi="Cambria Math" w:eastAsia="宋体" w:cs="Times New Roman"/>
                <w:highlight w:val="none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  <w:highlight w:val="none"/>
        </w:rPr>
        <w:t>为放弃球员j的薪资（来源于《player_salaries_2025.csv》的salary_2025），</w:t>
      </w:r>
      <m:oMath>
        <m:sSub>
          <m:sSubPr>
            <m:ctrlPr>
              <w:rPr>
                <w:rFonts w:hint="default" w:ascii="Cambria Math" w:hAnsi="Cambria Math" w:eastAsia="宋体" w:cs="Times New Roman"/>
                <w:highlight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highlight w:val="none"/>
              </w:rPr>
              <m:t>y</m:t>
            </m:r>
            <m:ctrlPr>
              <w:rPr>
                <w:rFonts w:hint="default" w:ascii="Cambria Math" w:hAnsi="Cambria Math" w:eastAsia="宋体" w:cs="Times New Roman"/>
                <w:highlight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highlight w:val="none"/>
              </w:rPr>
              <m:t>j</m:t>
            </m:r>
            <m:ctrlPr>
              <w:rPr>
                <w:rFonts w:hint="default" w:ascii="Cambria Math" w:hAnsi="Cambria Math" w:eastAsia="宋体" w:cs="Times New Roman"/>
                <w:highlight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highlight w:val="none"/>
            <w:lang w:val="en-US" w:eastAsia="zh-CN"/>
          </w:rPr>
          <m:t>=1</m:t>
        </m:r>
      </m:oMath>
      <w:r>
        <w:rPr>
          <w:rFonts w:hint="default" w:ascii="Times New Roman" w:hAnsi="Times New Roman" w:eastAsia="宋体" w:cs="Times New Roman"/>
          <w:sz w:val="22"/>
          <w:highlight w:val="none"/>
        </w:rPr>
        <w:t>表示放弃，可抵扣部分收购成本。</w:t>
      </w:r>
    </w:p>
    <w:p w14:paraId="2D63BEFE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hAnsi="Cambria Math" w:eastAsia="宋体" w:cs="Times New Roman"/>
          <w:i w:val="0"/>
        </w:rPr>
      </w:pPr>
      <w:r>
        <w:rPr>
          <w:rFonts w:hint="default" w:ascii="Times New Roman" w:hAnsi="Times New Roman" w:eastAsia="宋体" w:cs="Times New Roman"/>
          <w:sz w:val="22"/>
          <w:highlight w:val="none"/>
        </w:rPr>
        <w:t>平均综合价值（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  <w:highlight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  <w:highlight w:val="none"/>
              </w:rPr>
              <m:t>V</m:t>
            </m:r>
            <m:ctrlPr>
              <w:rPr>
                <w:rFonts w:hint="default" w:ascii="Cambria Math" w:hAnsi="Cambria Math" w:eastAsia="宋体" w:cs="Times New Roman"/>
                <w:sz w:val="22"/>
                <w:highlight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  <w:highlight w:val="none"/>
              </w:rPr>
              <m:t>avg</m:t>
            </m:r>
            <m:ctrlPr>
              <w:rPr>
                <w:rFonts w:hint="default" w:ascii="Cambria Math" w:hAnsi="Cambria Math" w:eastAsia="宋体" w:cs="Times New Roman"/>
                <w:sz w:val="22"/>
                <w:highlight w:val="none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  <w:highlight w:val="none"/>
        </w:rPr>
        <w:t>）：反映收购球员的整体质量，确保收购</w:t>
      </w:r>
      <w:r>
        <w:rPr>
          <w:rFonts w:hint="default" w:ascii="Times New Roman" w:hAnsi="Times New Roman" w:eastAsia="宋体" w:cs="Times New Roman"/>
          <w:sz w:val="22"/>
        </w:rPr>
        <w:t>球员能有效提升阵容实力：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 xml:space="preserve">        </w:t>
      </w:r>
      <m:oMath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V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avg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</w:rPr>
            </m:ctrlPr>
          </m:fPr>
          <m:num>
            <m:nary>
              <m:naryPr>
                <m:chr m:val="∑"/>
                <m:grow m:val="1"/>
                <m:limLoc m:val="subSup"/>
                <m:supHide m:val="1"/>
                <m:ctrlPr>
                  <w:rPr>
                    <w:rFonts w:hint="default" w:ascii="Cambria Math" w:hAnsi="Cambria Math" w:eastAsia="宋体" w:cs="Times New Roman"/>
                  </w:rPr>
                </m:ctrlPr>
              </m:naryPr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i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</w:rPr>
                  <m:t>,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q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sub>
              <m:sup>
                <m:ctrlPr>
                  <w:rPr>
                    <w:rFonts w:hint="default" w:ascii="Cambria Math" w:hAnsi="Cambria Math" w:eastAsia="宋体" w:cs="Times New Roman"/>
                  </w:rPr>
                </m:ctrlPr>
              </m:sup>
              <m:e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</w:rPr>
                      <m:t>V</m:t>
                    </m: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</w:rPr>
                      <m:t>i</m:t>
                    </m: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</w:rPr>
                      <m:t>x</m:t>
                    </m: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</w:rPr>
                      <m:t>i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</w:rPr>
                      <m:t>q</m:t>
                    </m: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</w:rPr>
                </m:ctrlPr>
              </m:e>
            </m:nary>
            <m:ctrlPr>
              <w:rPr>
                <w:rFonts w:hint="default" w:ascii="Cambria Math" w:hAnsi="Cambria Math" w:eastAsia="宋体" w:cs="Times New Roman"/>
              </w:rPr>
            </m:ctrlPr>
          </m:num>
          <m:den>
            <m:nary>
              <m:naryPr>
                <m:chr m:val="∑"/>
                <m:grow m:val="1"/>
                <m:limLoc m:val="subSup"/>
                <m:supHide m:val="1"/>
                <m:ctrlPr>
                  <w:rPr>
                    <w:rFonts w:hint="default" w:ascii="Cambria Math" w:hAnsi="Cambria Math" w:eastAsia="宋体" w:cs="Times New Roman"/>
                  </w:rPr>
                </m:ctrlPr>
              </m:naryPr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i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</w:rPr>
                  <m:t>,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q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sub>
              <m:sup>
                <m:ctrlPr>
                  <w:rPr>
                    <w:rFonts w:hint="default" w:ascii="Cambria Math" w:hAnsi="Cambria Math" w:eastAsia="宋体" w:cs="Times New Roman"/>
                  </w:rPr>
                </m:ctrlPr>
              </m:sup>
              <m:e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</w:rPr>
                      <m:t>x</m:t>
                    </m: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</w:rPr>
                      <m:t>i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</w:rPr>
                      <m:t>q</m:t>
                    </m:r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</w:rPr>
                </m:ctrlPr>
              </m:e>
            </m:nary>
            <m:ctrlPr>
              <w:rPr>
                <w:rFonts w:hint="default" w:ascii="Cambria Math" w:hAnsi="Cambria Math" w:eastAsia="宋体" w:cs="Times New Roman"/>
              </w:rPr>
            </m:ctrlPr>
          </m:den>
        </m:f>
      </m:oMath>
    </w:p>
    <w:p w14:paraId="25469968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分子为所有收购球员的综合价值之和，分母为收购球员总数，</w:t>
      </w:r>
      <m:oMath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V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avg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越高，收购球员的整体质量越好。</w:t>
      </w:r>
    </w:p>
    <w:p w14:paraId="31BA352F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阵容适配度（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Fit</m:t>
        </m:r>
      </m:oMath>
      <w:r>
        <w:rPr>
          <w:rFonts w:hint="default" w:ascii="Times New Roman" w:hAnsi="Times New Roman" w:eastAsia="宋体" w:cs="Times New Roman"/>
          <w:sz w:val="22"/>
        </w:rPr>
        <w:t>）：确保收购球员与现有阵容适配，避免位置冗余或缺口，衔接阵容约束：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 xml:space="preserve">       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Fit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</w:rPr>
            </m:ctrlPr>
          </m:fPr>
          <m:num>
            <m:nary>
              <m:naryPr>
                <m:chr m:val="∑"/>
                <m:grow m:val="1"/>
                <m:limLoc m:val="subSup"/>
                <m:supHide m:val="1"/>
                <m:ctrlPr>
                  <w:rPr>
                    <w:rFonts w:hint="default" w:ascii="Cambria Math" w:hAnsi="Cambria Math" w:eastAsia="宋体" w:cs="Times New Roman"/>
                  </w:rPr>
                </m:ctrlPr>
              </m:naryPr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k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</w:rPr>
                  <m:t>=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G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</w:rPr>
                  <m:t>,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F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</w:rPr>
                  <m:t>,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C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sub>
              <m:sup>
                <m:ctrlPr>
                  <w:rPr>
                    <w:rFonts w:hint="default" w:ascii="Cambria Math" w:hAnsi="Cambria Math" w:eastAsia="宋体" w:cs="Times New Roman"/>
                  </w:rPr>
                </m:ctrlPr>
              </m:sup>
              <m:e>
                <m:nary>
                  <m:naryPr>
                    <m:chr m:val="∑"/>
                    <m:grow m:val="1"/>
                    <m:limLoc m:val="subSup"/>
                    <m:supHide m:val="1"/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</w:rPr>
                      <m:t>i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</w:rPr>
                      <m:t>∈</m:t>
                    </m:r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</w:rPr>
                      <m:t>Po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</w:rPr>
                          <m:t>s</m:t>
                        </m:r>
                        <m:ctrlPr>
                          <w:rPr>
                            <w:rFonts w:hint="default" w:ascii="Cambria Math" w:hAnsi="Cambria Math" w:eastAsia="宋体" w:cs="Times New Roman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eastAsia="宋体" w:cs="Times New Roma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eastAsia="宋体" w:cs="Times New Roman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</w:rPr>
                          <m:t>V</m:t>
                        </m:r>
                        <m:ctrlPr>
                          <w:rPr>
                            <w:rFonts w:hint="default" w:ascii="Cambria Math" w:hAnsi="Cambria Math" w:eastAsia="宋体" w:cs="Times New Roman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宋体" w:cs="Times New Roman"/>
                          </w:rPr>
                        </m:ctrlPr>
                      </m:sub>
                      <m:sup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eastAsia="宋体" w:cs="Times New Roman"/>
                          </w:rPr>
                        </m:ctrlPr>
                      </m:sup>
                    </m:sSubSup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Times New Roman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</w:rPr>
                          <m:t>i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b w:val="0"/>
                            <w:i w:val="0"/>
                          </w:rPr>
                          <m:t>,</m:t>
                        </m:r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</w:rPr>
                          <m:t>q</m:t>
                        </m:r>
                        <m:ctrlPr>
                          <w:rPr>
                            <w:rFonts w:hint="default" w:ascii="Cambria Math" w:hAnsi="Cambria Math" w:eastAsia="宋体" w:cs="Times New Roma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Times New Roman"/>
                      </w:rPr>
                    </m:ctrlPr>
                  </m:e>
                </m:nary>
                <m:ctrlPr>
                  <w:rPr>
                    <w:rFonts w:hint="default" w:ascii="Cambria Math" w:hAnsi="Cambria Math" w:eastAsia="宋体" w:cs="Times New Roman"/>
                  </w:rPr>
                </m:ctrlPr>
              </m:e>
            </m:nary>
            <m:ctrlPr>
              <w:rPr>
                <w:rFonts w:hint="default" w:ascii="Cambria Math" w:hAnsi="Cambria Math" w:eastAsia="宋体" w:cs="Times New Roman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</w:rPr>
              <m:t>3</m:t>
            </m:r>
            <m:ctrlPr>
              <w:rPr>
                <w:rFonts w:hint="default" w:ascii="Cambria Math" w:hAnsi="Cambria Math" w:eastAsia="宋体" w:cs="Times New Roman"/>
              </w:rPr>
            </m:ctrlPr>
          </m:den>
        </m:f>
      </m:oMath>
      <w:r>
        <w:rPr>
          <w:rFonts w:hint="default" w:ascii="Times New Roman" w:hAnsi="Times New Roman" w:eastAsia="宋体" w:cs="Times New Roman"/>
          <w:sz w:val="22"/>
        </w:rPr>
        <w:t>说明：分母为3（三个位置），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Fit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≥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Fi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min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（适配度最低阈值，∈[0.6,0.8]，可根据球队现有阵容校准），确保每个位置的适配度达标。</w:t>
      </w:r>
    </w:p>
    <w:p w14:paraId="494E599D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4" w:name="heading_16"/>
      <w:r>
        <w:rPr>
          <w:rFonts w:hint="default" w:ascii="Times New Roman" w:hAnsi="Times New Roman" w:eastAsia="宋体" w:cs="Times New Roman"/>
          <w:b/>
          <w:sz w:val="32"/>
        </w:rPr>
        <w:t>5.3 模块3：多重约束条件</w:t>
      </w:r>
      <w:bookmarkEnd w:id="14"/>
    </w:p>
    <w:p w14:paraId="7AC1899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约束条件分为5类，均贴合WNBA联盟规则与现有数据字段，确保模型解的可行性与合理性，与第一问约束保持一致，新增收购渠道、风险、潜力等专项约束：</w:t>
      </w:r>
    </w:p>
    <w:p w14:paraId="68BC1707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5" w:name="heading_17"/>
      <w:r>
        <w:rPr>
          <w:rFonts w:hint="default" w:ascii="Times New Roman" w:hAnsi="Times New Roman" w:eastAsia="宋体" w:cs="Times New Roman"/>
          <w:b/>
          <w:sz w:val="30"/>
        </w:rPr>
        <w:t>5.3.1 财务约束（延续第一问，补充收购细节）</w:t>
      </w:r>
      <w:bookmarkEnd w:id="15"/>
    </w:p>
    <w:p w14:paraId="7080F021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薪资帽约束（硬约束）：收购后球队总薪资（含留存球员+收购球员）不超过联盟薪资帽，数据来源于salary_cap字段：</w:t>
      </w:r>
    </w:p>
    <w:p w14:paraId="6C4EBCA4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宋体" w:cs="Times New Roman"/>
                  <w:i/>
                  <w:sz w:val="22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  <m:sup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s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宋体" w:cs="Times New Roman"/>
                  <w:i/>
                  <w:sz w:val="22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j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  <m:sup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C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j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(1−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y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j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)≤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2"/>
            </w:rPr>
            <m:t>Cap</m:t>
          </m:r>
        </m:oMath>
      </m:oMathPara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 xml:space="preserve">        说明：</w:t>
      </w:r>
      <m:oMath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j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C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j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(1−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j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)</m:t>
        </m:r>
      </m:oMath>
      <w:r>
        <w:rPr>
          <w:rFonts w:hint="default" w:ascii="Times New Roman" w:hAnsi="Times New Roman" w:eastAsia="宋体" w:cs="Times New Roman"/>
          <w:sz w:val="22"/>
        </w:rPr>
        <w:t>为留存球员的总薪资（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j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=0</m:t>
        </m:r>
      </m:oMath>
      <w:r>
        <w:rPr>
          <w:rFonts w:hint="default" w:ascii="Times New Roman" w:hAnsi="Times New Roman" w:eastAsia="宋体" w:cs="Times New Roman"/>
          <w:sz w:val="22"/>
        </w:rPr>
        <w:t>表示留存），确保整体薪资符合联盟规则。</w:t>
      </w:r>
    </w:p>
    <w:p w14:paraId="5CEC643D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收购成本约束：收购总直接成本不超过球队专项收购预算（预算=Cap×30%，可调整）：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 xml:space="preserve">        </w:t>
      </w:r>
      <m:oMath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q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C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i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2"/>
                  </w:rPr>
                  <m:t>,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q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nary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q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≤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Budget</m:t>
        </m:r>
      </m:oMath>
    </w:p>
    <w:p w14:paraId="53471E75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薪资合理性约束：球员签约薪资符合联盟薪资标准，数据来源于max_salary、rookie_min_0_2_yrs等字段：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 xml:space="preserve">        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min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≤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≤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max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br w:type="textWrapping"/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min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为球员i的最低工资（新秀按rookie_min_0_2_yrs，老将按veteran_min_3plus_yrs）；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max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为球员i的顶薪（按max_salary或supermax_salary）。</w:t>
      </w:r>
    </w:p>
    <w:p w14:paraId="59E0E094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6" w:name="heading_18"/>
      <w:r>
        <w:rPr>
          <w:rFonts w:hint="default" w:ascii="Times New Roman" w:hAnsi="Times New Roman" w:eastAsia="宋体" w:cs="Times New Roman"/>
          <w:b/>
          <w:sz w:val="30"/>
        </w:rPr>
        <w:t>5.3.2 阵容约束（延续第一问，补充位置细节）</w:t>
      </w:r>
      <w:bookmarkEnd w:id="16"/>
    </w:p>
    <w:p w14:paraId="7C96E955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位置覆盖约束：每个位置的人数（留存+收购）符合联盟规定，数据来源于pos字段：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 xml:space="preserve">        </w:t>
      </w:r>
      <m:oMath>
        <m:sSubSup>
          <m:sSub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N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pos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min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≤</m:t>
        </m:r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∈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Po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s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k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q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i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2"/>
                  </w:rPr>
                  <m:t>,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q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+</m:t>
        </m:r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j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∈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Po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s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k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(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1−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j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)≤</m:t>
        </m:r>
        <m:sSubSup>
          <m:sSub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N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pos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k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max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 ∀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k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∈{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G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F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}</m:t>
        </m:r>
      </m:oMath>
    </w:p>
    <w:p w14:paraId="4AE4E820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总人数约束：球队最终阵容人数符合联盟规定（延续第一问）：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 xml:space="preserve">        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N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min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≤</m:t>
        </m:r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q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i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2"/>
                  </w:rPr>
                  <m:t>,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q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+</m:t>
        </m:r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j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(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1−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j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)≤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N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max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 xml:space="preserve">        说明：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N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min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、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N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max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为联盟规定的阵容人数上下限（如WNBA常规阵容人数12-15人）。</w:t>
      </w:r>
    </w:p>
    <w:p w14:paraId="1ACDC508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出场时间约束：所有球员（留存+收购）的出场时间占比之和为1，数据来源于minutes字段：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 xml:space="preserve">        </w:t>
      </w:r>
      <m:oMath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q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i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2"/>
                  </w:rPr>
                  <m:t>,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2"/>
                  </w:rPr>
                  <m:t>q</m:t>
                </m:r>
                <m:ctrlPr>
                  <w:rPr>
                    <w:rFonts w:hint="default" w:ascii="Cambria Math" w:hAnsi="Cambria Math" w:eastAsia="宋体" w:cs="Times New Roman"/>
                    <w:sz w:val="22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nary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+</m:t>
        </m:r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eastAsia="宋体" w:cs="Times New Roman"/>
                <w:i/>
                <w:sz w:val="22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j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  <m:sup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(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1−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j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)</m:t>
        </m:r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j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'=1</m:t>
        </m:r>
      </m:oMath>
      <w:r>
        <w:rPr>
          <w:rFonts w:hint="default" w:ascii="Times New Roman" w:hAnsi="Times New Roman" w:eastAsia="宋体" w:cs="Times New Roman"/>
          <w:sz w:val="22"/>
        </w:rPr>
        <w:t>说明：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j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'</m:t>
        </m:r>
      </m:oMath>
      <w:r>
        <w:rPr>
          <w:rFonts w:hint="default" w:ascii="Times New Roman" w:hAnsi="Times New Roman" w:eastAsia="宋体" w:cs="Times New Roman"/>
          <w:sz w:val="22"/>
        </w:rPr>
        <w:t>为留存球员j的出场时间占比，确保出场时间分配合理，无冗余。</w:t>
      </w:r>
    </w:p>
    <w:p w14:paraId="7788557D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7" w:name="heading_19"/>
      <w:r>
        <w:rPr>
          <w:rFonts w:hint="default" w:ascii="Times New Roman" w:hAnsi="Times New Roman" w:eastAsia="宋体" w:cs="Times New Roman"/>
          <w:b/>
          <w:sz w:val="30"/>
        </w:rPr>
        <w:t>5.3.3 收购渠道约束（贴合联盟规则）</w:t>
      </w:r>
      <w:bookmarkEnd w:id="17"/>
    </w:p>
    <w:p w14:paraId="57BB5ABE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选秀约束：选秀收购人数不超过球队当季选秀名额（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N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draft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，联盟规定，如每队每年1-2个选秀权）：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m:oMathPara>
        <m:oMath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宋体" w:cs="Times New Roman"/>
                  <w:i/>
                  <w:sz w:val="22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,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q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=1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  <m:sup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x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2"/>
                    </w:rPr>
                    <m:t>,1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≤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N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draft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</m:oMath>
      </m:oMathPara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q=1对应选秀渠道，仅针对contract_type=Rookie的球员。</w:t>
      </w:r>
    </w:p>
    <w:p w14:paraId="57BCA57D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自由市场约束：自由市场签约人数不超过联盟规定上限（N_free，如每队每年最多3名自由球员签约）：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m:oMathPara>
        <m:oMath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宋体" w:cs="Times New Roman"/>
                  <w:i/>
                  <w:sz w:val="22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,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q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=2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  <m:sup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x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2"/>
                    </w:rPr>
                    <m:t>,2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≤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N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free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</m:oMath>
      </m:oMathPara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q=2对应自由市场渠道，仅针对contract_type=Free Agent的球员。</w:t>
      </w:r>
    </w:p>
    <w:p w14:paraId="20688203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交易约束：交易收购人数不超过放弃球员人数（确保阵容人数平衡）：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m:oMathPara>
        <m:oMath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宋体" w:cs="Times New Roman"/>
                  <w:i/>
                  <w:sz w:val="22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,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q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=3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  <m:sup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x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2"/>
                    </w:rPr>
                    <m:t>,3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≤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宋体" w:cs="Times New Roman"/>
                  <w:i/>
                  <w:sz w:val="22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j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  <m:sup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y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j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</m:nary>
        </m:oMath>
      </m:oMathPara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q=3对应交易渠道，放弃球员（y_j=1）的薪资可抵扣交易成本。</w:t>
      </w:r>
    </w:p>
    <w:p w14:paraId="580B16E2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8" w:name="heading_20"/>
      <w:r>
        <w:rPr>
          <w:rFonts w:hint="default" w:ascii="Times New Roman" w:hAnsi="Times New Roman" w:eastAsia="宋体" w:cs="Times New Roman"/>
          <w:b/>
          <w:sz w:val="30"/>
        </w:rPr>
        <w:t>5.3.4 风险与潜力约束（新增，贴合数据特性）</w:t>
      </w:r>
      <w:bookmarkEnd w:id="18"/>
    </w:p>
    <w:p w14:paraId="1ABA507C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高风险球员约束：高伤病风险球员（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V</m:t>
        </m:r>
        <m:sSup>
          <m:sSup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2"/>
              </w:rPr>
              <m:t>ᵢ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H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&lt;0.6</m:t>
        </m:r>
      </m:oMath>
      <w:r>
        <w:rPr>
          <w:rFonts w:hint="default" w:ascii="Times New Roman" w:hAnsi="Times New Roman" w:eastAsia="宋体" w:cs="Times New Roman"/>
          <w:sz w:val="22"/>
        </w:rPr>
        <w:t>）的收购人数不超过上限（N_highrisk，如最多1人）：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m:oMathPara>
        <m:oMath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宋体" w:cs="Times New Roman"/>
                  <w:i/>
                  <w:sz w:val="22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:</m:t>
              </m:r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V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H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up>
              </m:sSub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&lt;0.6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  <m:sup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x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2"/>
                    </w:rPr>
                    <m:t>,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q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≤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N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h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ig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h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risk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</m:oMath>
      </m:oMathPara>
    </w:p>
    <w:p w14:paraId="3680D9F9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潜力球员约束：潜力球员（Vᵢ^P &gt; 0.8）的收购人数不低于下限（N_potential，如至少1人），保障长期竞争力：</w:t>
      </w:r>
    </w:p>
    <w:p w14:paraId="55C4B69A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宋体" w:cs="Times New Roman"/>
                  <w:i/>
                  <w:sz w:val="22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:</m:t>
              </m:r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V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P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up>
              </m:sSub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&gt;0.8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  <m:sup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x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2"/>
                    </w:rPr>
                    <m:t>,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2"/>
                    </w:rPr>
                    <m:t>q</m:t>
                  </m:r>
                  <m:ctrlPr>
                    <w:rPr>
                      <w:rFonts w:hint="default" w:ascii="Cambria Math" w:hAnsi="Cambria Math" w:eastAsia="宋体" w:cs="Times New Roman"/>
                      <w:sz w:val="22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≥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N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potential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</m:sSub>
        </m:oMath>
      </m:oMathPara>
    </w:p>
    <w:p w14:paraId="0275F0FC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9" w:name="heading_21"/>
      <w:r>
        <w:rPr>
          <w:rFonts w:hint="default" w:ascii="Times New Roman" w:hAnsi="Times New Roman" w:eastAsia="宋体" w:cs="Times New Roman"/>
          <w:b/>
          <w:sz w:val="30"/>
        </w:rPr>
        <w:t>5.3.5 决策变量约束（规范变量取值）</w:t>
      </w:r>
      <w:bookmarkEnd w:id="19"/>
    </w:p>
    <w:p w14:paraId="3C04BF4D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20" w:name="heading_22"/>
      <w:r>
        <w:rPr>
          <w:rFonts w:hint="default" w:ascii="Times New Roman" w:hAnsi="Times New Roman" w:eastAsia="宋体" w:cs="Times New Roman"/>
          <w:b/>
          <w:sz w:val="36"/>
        </w:rPr>
        <w:t>6. 算法设计与实现（NSGA-Ⅲ-SA融合算法）</w:t>
      </w:r>
      <w:bookmarkEnd w:id="20"/>
    </w:p>
    <w:p w14:paraId="210F2D3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球员收购策略是</w:t>
      </w:r>
      <w:r>
        <w:rPr>
          <w:rFonts w:hint="default" w:ascii="Times New Roman" w:hAnsi="Times New Roman" w:eastAsia="宋体" w:cs="Times New Roman"/>
          <w:b/>
          <w:sz w:val="22"/>
        </w:rPr>
        <w:t>多目标、多约束、混合变量（0-1整数变量+连续变量）</w:t>
      </w:r>
      <w:r>
        <w:rPr>
          <w:rFonts w:hint="default" w:ascii="Times New Roman" w:hAnsi="Times New Roman" w:eastAsia="宋体" w:cs="Times New Roman"/>
          <w:sz w:val="22"/>
        </w:rPr>
        <w:t>的复杂优化问题，传统算法（如整数线性规划、贪心算法）难以平衡多目标的帕累托最优性与约束满足性，且易陷入局部最优。因此，选用“改进型非支配排序遗传算法Ⅲ（NSGA-Ⅲ）与模拟退火（SA）融合算法”，结合两者优势，适配本模型的求解需求。</w:t>
      </w:r>
    </w:p>
    <w:p w14:paraId="4A724C72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21" w:name="heading_24"/>
      <w:r>
        <w:rPr>
          <w:rFonts w:hint="default" w:ascii="Times New Roman" w:hAnsi="Times New Roman" w:eastAsia="宋体" w:cs="Times New Roman"/>
          <w:b/>
          <w:sz w:val="32"/>
        </w:rPr>
        <w:t>6.2 算法核心原理与步骤</w:t>
      </w:r>
      <w:bookmarkEnd w:id="21"/>
    </w:p>
    <w:p w14:paraId="75E8766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算法整体流程：编码 → 初始化种群 → 适应度函数计算 → NSGA-Ⅲ非支配排序 → SA温度衰减与接受准则 → 交叉变异 → 迭代终止 → 输出最优解，详细步骤如下（结合模型变量与约束）：</w:t>
      </w:r>
    </w:p>
    <w:p w14:paraId="5407F0F6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22" w:name="heading_25"/>
      <w:r>
        <w:rPr>
          <w:rFonts w:hint="default" w:ascii="Times New Roman" w:hAnsi="Times New Roman" w:eastAsia="宋体" w:cs="Times New Roman"/>
          <w:b/>
          <w:sz w:val="30"/>
        </w:rPr>
        <w:t>6.2.1 步骤1：编码设计</w:t>
      </w:r>
      <w:bookmarkEnd w:id="22"/>
    </w:p>
    <w:p w14:paraId="61C61F71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采用“二进制编码+实数编码”的混合编码方式，适配模型中的0-1整数变量与连续变量：</w:t>
      </w:r>
    </w:p>
    <w:p w14:paraId="1A65E30E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二进制编码（长度为M+N）：M为候选收购球员总数，N为现有球员总数；每一位对应一个决策变量（xᵢ,q或yⱼ），“1”表示“收购该球员”或“放弃该现有球员”，“0”表示反之。</w:t>
      </w:r>
    </w:p>
    <w:p w14:paraId="4606D19D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实数编码（长度为2M）：每两位对应一个连续变量（sᵢ或tᵢ），取值范围分别为[s_min,i, s_max,i]与[0,1]，确保连续变量符合约束。</w:t>
      </w:r>
    </w:p>
    <w:p w14:paraId="0D0CCA40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23" w:name="heading_26"/>
      <w:r>
        <w:rPr>
          <w:rFonts w:hint="default" w:ascii="Times New Roman" w:hAnsi="Times New Roman" w:eastAsia="宋体" w:cs="Times New Roman"/>
          <w:b/>
          <w:sz w:val="30"/>
        </w:rPr>
        <w:t>6.2.2 步骤2：初始化种群</w:t>
      </w:r>
      <w:bookmarkEnd w:id="23"/>
    </w:p>
    <w:p w14:paraId="1136EB55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设定种群规模为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N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pop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（如100-200），随机生成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N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pop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个混合编码个体（初始种群）。</w:t>
      </w:r>
    </w:p>
    <w:p w14:paraId="12EBACDC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对初始种群进行约束检验，剔除违反核心约束（薪资帽、位置覆盖）的个体，补充随机生成的有效个体，确保初始种群均为可行解。</w:t>
      </w:r>
    </w:p>
    <w:p w14:paraId="3FDD88A0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24" w:name="heading_27"/>
      <w:r>
        <w:rPr>
          <w:rFonts w:hint="default" w:ascii="Times New Roman" w:hAnsi="Times New Roman" w:eastAsia="宋体" w:cs="Times New Roman"/>
          <w:b/>
          <w:sz w:val="30"/>
        </w:rPr>
        <w:t>6.2.3 步骤3：适应度函数计算（关联目标函数）</w:t>
      </w:r>
      <w:bookmarkEnd w:id="24"/>
    </w:p>
    <w:p w14:paraId="321A768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以模型的单目标优化函数Z作为适应度函数，同时引入约束惩罚项，确保个体满足所有约束：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m:oMathPara>
        <m:oMath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[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2"/>
            </w:rPr>
            <m:t>Fitness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=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2"/>
            </w:rPr>
            <m:t>Z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−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2"/>
            </w:rPr>
            <m:t>ξ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⋅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宋体" w:cs="Times New Roman"/>
                  <w:i/>
                  <w:sz w:val="22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c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2"/>
                </w:rPr>
                <m:t>=1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b>
            <m:sup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C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sup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2"/>
                </w:rPr>
                <m:t>Viol</m:t>
              </m:r>
              <m:ctrlPr>
                <w:rPr>
                  <w:rFonts w:hint="default" w:ascii="Cambria Math" w:hAnsi="Cambria Math" w:eastAsia="宋体" w:cs="Times New Roman"/>
                  <w:sz w:val="22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(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2"/>
            </w:rPr>
            <m:t>c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2"/>
            </w:rPr>
            <m:t>)</m:t>
          </m:r>
        </m:oMath>
      </m:oMathPara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ξ为惩罚系数（如100），Viol(c)为第c个约束的违反程度（违反约束时Viol(c)=1，否则为0）；C为约束总数，通过惩罚项确保算法优先选择可行解。</w:t>
      </w:r>
    </w:p>
    <w:p w14:paraId="78969A58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25" w:name="heading_28"/>
      <w:r>
        <w:rPr>
          <w:rFonts w:hint="default" w:ascii="Times New Roman" w:hAnsi="Times New Roman" w:eastAsia="宋体" w:cs="Times New Roman"/>
          <w:b/>
          <w:sz w:val="30"/>
        </w:rPr>
        <w:t>6.2.4 步骤4：NSGA-Ⅲ非支配排序与种群更新</w:t>
      </w:r>
      <w:bookmarkEnd w:id="25"/>
    </w:p>
    <w:p w14:paraId="1287EF0B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非支配排序：对种群中的每个个体，根据适应度函数值进行非支配排序，将个体划分为不同的非支配层（第1层为最优层，无其他个体优于该层个体）。</w:t>
      </w:r>
    </w:p>
    <w:p w14:paraId="1D875A3C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拥挤度计算：计算每个个体在其非支配层中的拥挤度，拥挤度越大，个体的多样性越好，避免种群收敛到局部最优。</w:t>
      </w:r>
    </w:p>
    <w:p w14:paraId="73854CE9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种群选择：基于非支配层优先级与拥挤度，选择适应度高、多样性好的个体，组成新一代种群（父代种群）。</w:t>
      </w:r>
    </w:p>
    <w:p w14:paraId="41DE49DF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26" w:name="heading_29"/>
      <w:r>
        <w:rPr>
          <w:rFonts w:hint="default" w:ascii="Times New Roman" w:hAnsi="Times New Roman" w:eastAsia="宋体" w:cs="Times New Roman"/>
          <w:b/>
          <w:sz w:val="30"/>
        </w:rPr>
        <w:t>6.2.5 步骤5：SA温度衰减与接受准则</w:t>
      </w:r>
      <w:bookmarkEnd w:id="26"/>
    </w:p>
    <w:p w14:paraId="25361B6B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初始化温度T₀（如100），设定温度衰减系数α（0.85-0.95），终止温度T_end（如1e-3）。</w:t>
      </w:r>
    </w:p>
    <w:p w14:paraId="1173F22A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对父代种群进行交叉、变异操作，生成子代种群：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交叉：二进制编码采用单点交叉，实数编码采用算术交叉，交叉概率P_c（0.7-0.8）。</w:t>
      </w:r>
    </w:p>
    <w:p w14:paraId="319CD5F6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变异：二进制编码采用位变异，实数编码采用高斯变异，变异概率P_m（0.01-0.05）。</w:t>
      </w:r>
    </w:p>
    <w:p w14:paraId="3ACF31BD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接受准则：计算子代个体与父代个体的适应度差值ΔF=Fitness_子代 - Fitness_父代：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若ΔF≥0（子代更优），直接接受子代个体。</w:t>
      </w:r>
    </w:p>
    <w:p w14:paraId="77BD1E71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若ΔF&lt;0（子代较差），按概率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P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exp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(−Δ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F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/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2"/>
          </w:rPr>
          <m:t>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2"/>
          </w:rPr>
          <m:t>)</m:t>
        </m:r>
      </m:oMath>
      <w:r>
        <w:rPr>
          <w:rFonts w:hint="default" w:ascii="Times New Roman" w:hAnsi="Times New Roman" w:eastAsia="宋体" w:cs="Times New Roman"/>
          <w:sz w:val="22"/>
        </w:rPr>
        <w:t>接受子代个体，温度T越高，接受较差解的概率越大，确保全局搜索；温度越低，接受较差解的概率越小，确保算法收敛。</w:t>
      </w:r>
    </w:p>
    <w:p w14:paraId="6E704E06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温度衰减：T=α·T，重复步骤6.2.5.2-6.2.5.3，直至温度降至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end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。</w:t>
      </w:r>
    </w:p>
    <w:p w14:paraId="505A60C7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27" w:name="heading_30"/>
      <w:r>
        <w:rPr>
          <w:rFonts w:hint="default" w:ascii="Times New Roman" w:hAnsi="Times New Roman" w:eastAsia="宋体" w:cs="Times New Roman"/>
          <w:b/>
          <w:sz w:val="30"/>
        </w:rPr>
        <w:t>6.2.6 步骤6：迭代终止与最优解输出</w:t>
      </w:r>
      <w:bookmarkEnd w:id="27"/>
    </w:p>
    <w:p w14:paraId="2F7E0884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2"/>
        </w:rPr>
        <w:t>设定最大迭代次数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N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iter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（如200-300），当迭代次数达到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N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iter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或温度降至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2"/>
              </w:rPr>
              <m:t>end</m:t>
            </m:r>
            <m:ctrlPr>
              <w:rPr>
                <w:rFonts w:hint="default" w:ascii="Cambria Math" w:hAnsi="Cambria Math" w:eastAsia="宋体" w:cs="Times New Roman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时终止。</w:t>
      </w:r>
    </w:p>
    <w:p w14:paraId="44809253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2"/>
        </w:rPr>
        <w:t>输出第1层非支配层中的所有个体，计算每个个体的目标函数值，根据球队目标（如侧重收益或潜力），选择最优个体作为最终收购策略（输出</w:t>
      </w:r>
      <m:oMath>
        <m:sSub>
          <m:sSubPr>
            <m:ctrlPr>
              <w:rPr>
                <w:rFonts w:hint="default" w:ascii="Cambria Math" w:hAnsi="Cambria Math" w:eastAsia="宋体" w:cs="Times New Roman"/>
                <w:i/>
                <w:iCs w:val="0"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iCs w:val="0"/>
                <w:sz w:val="22"/>
              </w:rPr>
              <m:t>x</m:t>
            </m:r>
            <m:ctrlPr>
              <w:rPr>
                <w:rFonts w:hint="default" w:ascii="Cambria Math" w:hAnsi="Cambria Math" w:eastAsia="宋体" w:cs="Times New Roman"/>
                <w:i/>
                <w:iCs w:val="0"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iCs w:val="0"/>
                <w:sz w:val="22"/>
                <w:lang w:val="en-US" w:eastAsia="zh-CN"/>
              </w:rPr>
              <m:t>i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i/>
                <w:iCs w:val="0"/>
                <w:sz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iCs w:val="0"/>
                <w:sz w:val="22"/>
              </w:rPr>
              <m:t>q</m:t>
            </m:r>
            <m:ctrlPr>
              <w:rPr>
                <w:rFonts w:hint="default" w:ascii="Cambria Math" w:hAnsi="Cambria Math" w:eastAsia="宋体" w:cs="Times New Roman"/>
                <w:i/>
                <w:iCs w:val="0"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、</w:t>
      </w:r>
      <m:oMath>
        <m:sSub>
          <m:sSubPr>
            <m:ctrlPr>
              <w:rPr>
                <w:rFonts w:hint="default" w:ascii="Cambria Math" w:hAnsi="Cambria Math" w:cs="Times New Roman"/>
                <w:i/>
                <w:sz w:val="22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lang w:val="en-US" w:eastAsia="zh-CN"/>
              </w:rPr>
              <m:t>s</m:t>
            </m:r>
            <m:ctrlPr>
              <w:rPr>
                <w:rFonts w:hint="default" w:ascii="Cambria Math" w:hAnsi="Cambria Math" w:cs="Times New Roman"/>
                <w:i/>
                <w:sz w:val="22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lang w:val="en-US" w:eastAsia="zh-CN"/>
              </w:rPr>
              <m:t>i</m:t>
            </m:r>
            <m:ctrlPr>
              <w:rPr>
                <w:rFonts w:hint="default" w:ascii="Cambria Math" w:hAnsi="Cambria Math" w:cs="Times New Roman"/>
                <w:i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、</w:t>
      </w:r>
      <m:oMath>
        <m:sSub>
          <m:sSubPr>
            <m:ctrlPr>
              <w:rPr>
                <w:rFonts w:hint="default" w:ascii="Cambria Math" w:hAnsi="Cambria Math" w:cs="Times New Roman"/>
                <w:i/>
                <w:sz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lang w:val="en-US" w:eastAsia="zh-CN"/>
              </w:rPr>
              <m:t>y</m:t>
            </m:r>
            <m:ctrlPr>
              <w:rPr>
                <w:rFonts w:hint="default" w:ascii="Cambria Math" w:hAnsi="Cambria Math" w:cs="Times New Roman"/>
                <w:i/>
                <w:sz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lang w:val="en-US" w:eastAsia="zh-CN"/>
              </w:rPr>
              <m:t>j</m:t>
            </m:r>
            <m:ctrlPr>
              <w:rPr>
                <w:rFonts w:hint="default" w:ascii="Cambria Math" w:hAnsi="Cambria Math" w:cs="Times New Roman"/>
                <w:i/>
                <w:sz w:val="22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2"/>
        </w:rPr>
        <w:t>等决策变量的值）。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11F0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CA9FE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1995D4F"/>
    <w:multiLevelType w:val="singleLevel"/>
    <w:tmpl w:val="91995D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9239341B"/>
    <w:multiLevelType w:val="singleLevel"/>
    <w:tmpl w:val="9239341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F7735DC9"/>
    <w:multiLevelType w:val="singleLevel"/>
    <w:tmpl w:val="F7735DC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243FCF68"/>
    <w:multiLevelType w:val="singleLevel"/>
    <w:tmpl w:val="243FCF6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4D94DA66"/>
    <w:multiLevelType w:val="singleLevel"/>
    <w:tmpl w:val="4D94DA6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7DEC2089"/>
    <w:multiLevelType w:val="singleLevel"/>
    <w:tmpl w:val="7DEC208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13"/>
  </w:num>
  <w:num w:numId="2">
    <w:abstractNumId w:val="17"/>
  </w:num>
  <w:num w:numId="3">
    <w:abstractNumId w:val="25"/>
  </w:num>
  <w:num w:numId="4">
    <w:abstractNumId w:val="12"/>
  </w:num>
  <w:num w:numId="5">
    <w:abstractNumId w:val="4"/>
  </w:num>
  <w:num w:numId="6">
    <w:abstractNumId w:val="18"/>
  </w:num>
  <w:num w:numId="7">
    <w:abstractNumId w:val="16"/>
  </w:num>
  <w:num w:numId="8">
    <w:abstractNumId w:val="9"/>
  </w:num>
  <w:num w:numId="9">
    <w:abstractNumId w:val="8"/>
  </w:num>
  <w:num w:numId="10">
    <w:abstractNumId w:val="5"/>
  </w:num>
  <w:num w:numId="11">
    <w:abstractNumId w:val="21"/>
  </w:num>
  <w:num w:numId="12">
    <w:abstractNumId w:val="24"/>
  </w:num>
  <w:num w:numId="13">
    <w:abstractNumId w:val="14"/>
  </w:num>
  <w:num w:numId="14">
    <w:abstractNumId w:val="20"/>
  </w:num>
  <w:num w:numId="15">
    <w:abstractNumId w:val="6"/>
  </w:num>
  <w:num w:numId="16">
    <w:abstractNumId w:val="27"/>
  </w:num>
  <w:num w:numId="17">
    <w:abstractNumId w:val="26"/>
  </w:num>
  <w:num w:numId="18">
    <w:abstractNumId w:val="7"/>
  </w:num>
  <w:num w:numId="19">
    <w:abstractNumId w:val="2"/>
  </w:num>
  <w:num w:numId="20">
    <w:abstractNumId w:val="23"/>
  </w:num>
  <w:num w:numId="21">
    <w:abstractNumId w:val="28"/>
  </w:num>
  <w:num w:numId="22">
    <w:abstractNumId w:val="0"/>
  </w:num>
  <w:num w:numId="23">
    <w:abstractNumId w:val="15"/>
  </w:num>
  <w:num w:numId="24">
    <w:abstractNumId w:val="22"/>
  </w:num>
  <w:num w:numId="25">
    <w:abstractNumId w:val="11"/>
  </w:num>
  <w:num w:numId="26">
    <w:abstractNumId w:val="10"/>
  </w:num>
  <w:num w:numId="27">
    <w:abstractNumId w:val="19"/>
  </w:num>
  <w:num w:numId="28">
    <w:abstractNumId w:val="3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C47300"/>
    <w:rsid w:val="1E1B71FF"/>
    <w:rsid w:val="2BED7545"/>
    <w:rsid w:val="38717B08"/>
    <w:rsid w:val="39EC3D26"/>
    <w:rsid w:val="414548A4"/>
    <w:rsid w:val="419E1DAA"/>
    <w:rsid w:val="42C10446"/>
    <w:rsid w:val="4AFB39B9"/>
    <w:rsid w:val="613035CA"/>
    <w:rsid w:val="630755A9"/>
    <w:rsid w:val="65426D6C"/>
    <w:rsid w:val="7142463B"/>
    <w:rsid w:val="73AB01D2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1827</Words>
  <Characters>2634</Characters>
  <TotalTime>45</TotalTime>
  <ScaleCrop>false</ScaleCrop>
  <LinksUpToDate>false</LinksUpToDate>
  <CharactersWithSpaces>2663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2026-01-31T08:32:00Z</dcterms:created>
  <dc:creator>Apache POI</dc:creator>
  <cp:lastModifiedBy>LIHAN</cp:lastModifiedBy>
  <dcterms:modified xsi:type="dcterms:W3CDTF">2026-02-01T15:55:20Z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eyJoZGlkIjoiNWRkODIxNjdjYjZkZmEwMjgyYmUzMjdmZGI4ZWY0YzciLCJ1c2VySWQiOiIxNjE5OTY4MzMyIn0=</vt:lpwstr>
  </property>
  <property fmtid="{D5CDD505-2E9C-101B-9397-08002B2CF9AE}" pid="3" name="KSOProductBuildVer">
    <vt:lpwstr>2052-12.1.0.24034</vt:lpwstr>
  </property>
  <property fmtid="{D5CDD505-2E9C-101B-9397-08002B2CF9AE}" pid="4" name="ICV">
    <vt:lpwstr>ED930248128D4FCEA47EBB9DEB321A41_13</vt:lpwstr>
  </property>
</Properties>
</file>