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83D21">
      <w:pPr>
        <w:spacing w:before="480" w:after="480" w:line="288" w:lineRule="auto"/>
        <w:ind w:lef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52"/>
        </w:rPr>
        <w:t>D 第三问：联盟扩展与商业决策影响模型</w:t>
      </w:r>
    </w:p>
    <w:p w14:paraId="2AECEA8D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sz w:val="36"/>
        </w:rPr>
        <w:t>1. 问题重述与前两问衔接说明</w:t>
      </w:r>
      <w:bookmarkEnd w:id="0"/>
    </w:p>
    <w:p w14:paraId="1F258AA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基于第一问“双目标动态决策模型”与第二问“球员收购策略模型”的核心框架，引入两大外部关键变量——</w:t>
      </w:r>
      <w:r>
        <w:rPr>
          <w:rFonts w:hint="default" w:ascii="Times New Roman" w:hAnsi="Times New Roman" w:eastAsia="宋体" w:cs="Times New Roman"/>
          <w:b/>
          <w:sz w:val="22"/>
        </w:rPr>
        <w:t>联盟扩展</w:t>
      </w:r>
      <w:r>
        <w:rPr>
          <w:rFonts w:hint="default" w:ascii="Times New Roman" w:hAnsi="Times New Roman" w:eastAsia="宋体" w:cs="Times New Roman"/>
          <w:sz w:val="22"/>
        </w:rPr>
        <w:t>（新球队加入）与</w:t>
      </w:r>
      <w:r>
        <w:rPr>
          <w:rFonts w:hint="default" w:ascii="Times New Roman" w:hAnsi="Times New Roman" w:eastAsia="宋体" w:cs="Times New Roman"/>
          <w:b/>
          <w:sz w:val="22"/>
        </w:rPr>
        <w:t>专项商业决策</w:t>
      </w:r>
      <w:r>
        <w:rPr>
          <w:rFonts w:hint="default" w:ascii="Times New Roman" w:hAnsi="Times New Roman" w:eastAsia="宋体" w:cs="Times New Roman"/>
          <w:sz w:val="22"/>
        </w:rPr>
        <w:t>（票务定价、媒体合作等），构建动态响应模型。核心目标是：量化两大外部变量对球队利润（\(\Pi\)）、品牌估值（\(V_{franchise}\)）及竞技表现（\(T_{perf}\)）的影响机制，通过高级算法求解最优战略调整方案，确保球队在外部环境变化（联盟扩容、市场竞争加剧、商业机会出现）时，仍能维持“竞技竞争力-财务健康-品牌增值”的平衡，同时适配联盟规则约束，实现长期双目标最大化。</w:t>
      </w:r>
    </w:p>
    <w:p w14:paraId="5795314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本问聚焦“外部冲击-内部调整-目标达成”的闭环，重点解决三个核心子问题：① 联盟扩展（新球队加入）对现有球队市场份额、薪资空间、球员资源的量化影响；② 专项商业决策（优先选取票务定价、媒体合作，贴合数据可得性）的优化方案及与前两问模型的联动效应；③ 基于外部变量动态变化，如何调整前两问的球员收购策略、阵容配置参数，形成适配性战略。</w:t>
      </w:r>
    </w:p>
    <w:tbl>
      <w:tblPr>
        <w:tblStyle w:val="2"/>
        <w:tblW w:w="8447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9"/>
        <w:gridCol w:w="2069"/>
        <w:gridCol w:w="2236"/>
        <w:gridCol w:w="2483"/>
      </w:tblGrid>
      <w:tr w14:paraId="16AE414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5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65E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数据来源文档</w:t>
            </w:r>
          </w:p>
        </w:tc>
        <w:tc>
          <w:tcPr>
            <w:tcW w:w="206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D124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核心数据字段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277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模型用途</w:t>
            </w:r>
          </w:p>
          <w:p w14:paraId="52EFF5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（第三问专项）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159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对应模型模块</w:t>
            </w:r>
          </w:p>
        </w:tc>
      </w:tr>
      <w:tr w14:paraId="349B74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EE3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expansion_teams.csv</w:t>
            </w:r>
          </w:p>
        </w:tc>
        <w:tc>
          <w:tcPr>
            <w:tcW w:w="20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657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team_name、city、join_year、expansion_fee、expected_capacity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8A5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量化联盟扩展强度（join_year对应扩张时序，city对应市场重叠度）；2. 计算扩张带来的市场份额冲击；3. 校准扩张期球员薪资溢价系数\(\tau\)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461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联盟扩展影响量化模块、市场份额模型</w:t>
            </w:r>
          </w:p>
        </w:tc>
      </w:tr>
      <w:tr w14:paraId="116A07C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AF2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media_deals.csv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818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deal_period、annual_value、partners、coverage_type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213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量化媒体合作收入（annual_value）；2. 设定媒体合作决策变量\(\phi\)（如是否新增合作方）；3. 校准媒体价值转化系数\(\eta\)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071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商业决策量化模块、媒体合作优化子模型</w:t>
            </w:r>
          </w:p>
        </w:tc>
      </w:tr>
      <w:tr w14:paraId="53C3FA0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DF2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attendance_data.csv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6C6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avg_attendance、capacity_utilization、sellout_games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78D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构建票务定价与上座率的非线性关系；2. 量化票务定价优化的收入增量；3. 校准票价弹性系数\(\varepsilon\)（衔接model_parameters.csv）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A670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商业决策量化模块、票务定价优化子模型（贝叶斯优化）</w:t>
            </w:r>
          </w:p>
        </w:tc>
      </w:tr>
      <w:tr w14:paraId="7BF800D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75F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salary_cap_history.csv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7D8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salary_cap、annual_increase_pct、max_salary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C37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预测联盟扩展期薪资帽\(Cap\)的增长趋势；2. 调整球员薪资上下限约束；3. 校准扩张期薪资成本增长率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D08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约束条件修正模块、薪资空间预测子模型（LSTM）</w:t>
            </w:r>
          </w:p>
        </w:tc>
      </w:tr>
      <w:tr w14:paraId="32D7AF9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AF5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team_valuations.csv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A72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valuation_2025_M、yoy_valuation_change_pct、city_population_M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226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量化联盟扩展对球队估值\(V_{franchise}\)的影响（yoy变化率）；2. 计算市场重叠度（city_population_M）；3. 校准估值折现系数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DA1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联盟扩展影响量化模块、估值修正子模型</w:t>
            </w:r>
          </w:p>
        </w:tc>
      </w:tr>
      <w:tr w14:paraId="78FA644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37F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model_parameters.csv</w:t>
            </w:r>
          </w:p>
        </w:tc>
        <w:tc>
          <w:tcPr>
            <w:tcW w:w="20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0AC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ticket_price_elasticity、sponsorship_growth_rate、discount_rate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59E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支撑票务定价优化的弹性分析（\(\varepsilon = -ticket\_price\_elasticity\)）；2. 量化商业决策带来的赞助收入增长；3. 用于未来现金流折现（估值计算）</w:t>
            </w:r>
          </w:p>
        </w:tc>
        <w:tc>
          <w:tcPr>
            <w:tcW w:w="248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B1F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商业决策量化模块、高级算法参数校准</w:t>
            </w:r>
          </w:p>
        </w:tc>
      </w:tr>
    </w:tbl>
    <w:p w14:paraId="5203BCFE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1" w:name="heading_8"/>
      <w:r>
        <w:rPr>
          <w:rFonts w:hint="default" w:ascii="Times New Roman" w:hAnsi="Times New Roman" w:eastAsia="宋体" w:cs="Times New Roman"/>
          <w:b/>
          <w:sz w:val="36"/>
        </w:rPr>
        <w:t>4. 符号定义</w:t>
      </w:r>
      <w:bookmarkEnd w:id="1"/>
    </w:p>
    <w:p w14:paraId="31F2476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符号分类定义，清晰对应数据字段、模型模块与高级算法，每个符号均有明确含义与数据支撑：</w:t>
      </w:r>
    </w:p>
    <w:p w14:paraId="22DD1B7C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  <w:bookmarkStart w:id="2" w:name="heading_9"/>
    </w:p>
    <w:p w14:paraId="76DAFF0B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4.1 决策变量</w:t>
      </w:r>
      <w:bookmarkEnd w:id="2"/>
    </w:p>
    <w:tbl>
      <w:tblPr>
        <w:tblStyle w:val="2"/>
        <w:tblW w:w="88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1"/>
        <w:gridCol w:w="1931"/>
        <w:gridCol w:w="2752"/>
        <w:gridCol w:w="2686"/>
      </w:tblGrid>
      <w:tr w14:paraId="43750D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1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B45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符号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6CD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类型</w:t>
            </w:r>
          </w:p>
        </w:tc>
        <w:tc>
          <w:tcPr>
            <w:tcW w:w="275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187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含义解释</w:t>
            </w:r>
          </w:p>
        </w:tc>
        <w:tc>
          <w:tcPr>
            <w:tcW w:w="268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601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数据支撑字段</w:t>
            </w:r>
          </w:p>
        </w:tc>
      </w:tr>
      <w:tr w14:paraId="1770296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C8E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m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k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B1A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0-1整数变量</w:t>
            </w:r>
          </w:p>
        </w:tc>
        <w:tc>
          <w:tcPr>
            <w:tcW w:w="275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77A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第k支扩张球队是否对当前球队产生市场冲击（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=1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表示有冲击，0反之）</w:t>
            </w:r>
          </w:p>
        </w:tc>
        <w:tc>
          <w:tcPr>
            <w:tcW w:w="26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577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expansion_teams.csv的city、expected_capacity</w:t>
            </w:r>
          </w:p>
        </w:tc>
      </w:tr>
      <w:tr w14:paraId="37F4AE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176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P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4E7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连续变量（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≥0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）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2ED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票务定价调整系数（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=1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表示维持原价，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&gt;1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表示涨价，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&lt;1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表示降价）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0B6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attendance_data.csv的avg_attendance、model_parameters.csv的ticket_price_elasticity</w:t>
            </w:r>
          </w:p>
        </w:tc>
      </w:tr>
      <w:tr w14:paraId="551FD41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9BB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ϕ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A69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连续变量（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0≤ϕ≤1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）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B89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媒体合作投入系数（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ϕ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越大，媒体投入越多，合作收益越高）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B3D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media_deals.csv的annual_value、coverage_type</w:t>
            </w:r>
          </w:p>
        </w:tc>
      </w:tr>
      <w:tr w14:paraId="159F24B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0B1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hAnsi="Cambria Math" w:eastAsia="宋体" w:cs="Times New Roman"/>
                <w:i w:val="0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宋体"/>
                  <w:sz w:val="22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ω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、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宋体"/>
                  <w:sz w:val="22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ω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sub>
              </m:sSub>
            </m:oMath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3D5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连续变量（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−0.2≤Δ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ω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≤0.2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）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B5D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球员价值维度权重调整量（扩张期调整竞技、商业价值权重）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981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team_valuations.csv的yoy_valuation_change_pct</w:t>
            </w:r>
          </w:p>
        </w:tc>
      </w:tr>
      <w:tr w14:paraId="3944EF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0B9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hAnsi="Cambria Math" w:eastAsia="宋体" w:cs="Times New Roman"/>
                <w:i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a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t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667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离散变量（多类别）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793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t时刻的战略调整动作（如收购渠道调整、票价调整、媒体投入调整）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E33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所有相关数据字段联动</w:t>
            </w:r>
          </w:p>
        </w:tc>
      </w:tr>
      <w:tr w14:paraId="5293B12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1E3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i,q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（延续）</w:t>
            </w:r>
          </w:p>
        </w:tc>
        <w:tc>
          <w:tcPr>
            <w:tcW w:w="19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422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0-1整数变量</w:t>
            </w:r>
          </w:p>
        </w:tc>
        <w:tc>
          <w:tcPr>
            <w:tcW w:w="27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486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球员i通过渠道q被收购（新增：扩张期q的权重变化）</w:t>
            </w:r>
          </w:p>
        </w:tc>
        <w:tc>
          <w:tcPr>
            <w:tcW w:w="26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F25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player_salaries_2025.csv的contract_type</w:t>
            </w:r>
          </w:p>
        </w:tc>
      </w:tr>
    </w:tbl>
    <w:p w14:paraId="7BF43E5B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  <w:bookmarkStart w:id="3" w:name="heading_10"/>
    </w:p>
    <w:p w14:paraId="14D1E83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</w:p>
    <w:p w14:paraId="26A3D23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</w:p>
    <w:p w14:paraId="1CF5E2BF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</w:p>
    <w:p w14:paraId="3B53297A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</w:p>
    <w:p w14:paraId="3120D4FC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</w:p>
    <w:p w14:paraId="7272BDF7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</w:p>
    <w:p w14:paraId="1135BF0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4.2 核心参数</w:t>
      </w:r>
      <w:bookmarkEnd w:id="3"/>
    </w:p>
    <w:tbl>
      <w:tblPr>
        <w:tblStyle w:val="2"/>
        <w:tblW w:w="852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5"/>
        <w:gridCol w:w="3846"/>
        <w:gridCol w:w="3980"/>
      </w:tblGrid>
      <w:tr w14:paraId="320101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0A56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符号</w:t>
            </w:r>
          </w:p>
        </w:tc>
        <w:tc>
          <w:tcPr>
            <w:tcW w:w="384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112E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含义解释</w:t>
            </w:r>
          </w:p>
        </w:tc>
        <w:tc>
          <w:tcPr>
            <w:tcW w:w="398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0475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数据支撑字段</w:t>
            </w:r>
          </w:p>
        </w:tc>
      </w:tr>
      <w:tr w14:paraId="6C48242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8E7C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σ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k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384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7FE4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第k支扩张球队的市场重叠系数（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σ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越大，市场冲击越强，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σ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∈[0,1]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）</w:t>
            </w:r>
          </w:p>
        </w:tc>
        <w:tc>
          <w:tcPr>
            <w:tcW w:w="398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ACD1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expansion_teams.csv的city、team_valuations.csv的city_population_M</w:t>
            </w:r>
          </w:p>
        </w:tc>
      </w:tr>
      <w:tr w14:paraId="45ED4F7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BCBF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ε</m:t>
                </m:r>
              </m:oMath>
            </m:oMathPara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B274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票价弹性系数（负常数，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ε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=−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ticket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_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price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_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elasticity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）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C22A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model_parameters.csv的ticket_price_elasticity</w:t>
            </w:r>
          </w:p>
        </w:tc>
      </w:tr>
      <w:tr w14:paraId="4A02D2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01C0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η</m:t>
                </m:r>
              </m:oMath>
            </m:oMathPara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2016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媒体合作价值转化系数（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η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越大，投入产出比越高，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η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∈[0,1]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）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6518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media_deals.csv的annual_value、coverage_type</w:t>
            </w:r>
          </w:p>
        </w:tc>
      </w:tr>
      <w:tr w14:paraId="1327AAF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CDD5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τ</m:t>
                </m:r>
              </m:oMath>
            </m:oMathPara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5ED4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联盟扩展薪资溢价系数（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τ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与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expansion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_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fee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_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growt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h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正相关）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D34A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model_parameters.csv的expansion_fee_growth、expansion_teams.csv的expansion_fee</w:t>
            </w:r>
          </w:p>
        </w:tc>
      </w:tr>
      <w:tr w14:paraId="60CB8CC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BD3A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γ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t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6DDD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t时刻的环境状态转移概率（强化学习参数，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γ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∈[0,1]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）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F5D9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所有时序数据（join_year、salary_cap增长）</w:t>
            </w:r>
          </w:p>
        </w:tc>
      </w:tr>
      <w:tr w14:paraId="59FCFF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F9A9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Cap</m:t>
                </m:r>
              </m:oMath>
            </m:oMathPara>
          </w:p>
        </w:tc>
        <w:tc>
          <w:tcPr>
            <w:tcW w:w="38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1E2B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联盟薪资帽（扩张期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Cap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随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annual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_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increase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_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pct</m:t>
              </m:r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调整）</w:t>
            </w:r>
          </w:p>
        </w:tc>
        <w:tc>
          <w:tcPr>
            <w:tcW w:w="39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0BFC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salary_cap_history.csv的salary_cap</w:t>
            </w:r>
          </w:p>
        </w:tc>
      </w:tr>
    </w:tbl>
    <w:p w14:paraId="487B59FF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4" w:name="heading_12"/>
      <w:r>
        <w:rPr>
          <w:rFonts w:hint="default" w:ascii="Times New Roman" w:hAnsi="Times New Roman" w:eastAsia="宋体" w:cs="Times New Roman"/>
          <w:b/>
          <w:sz w:val="36"/>
        </w:rPr>
        <w:t>5. 模型构建</w:t>
      </w:r>
      <w:bookmarkEnd w:id="4"/>
    </w:p>
    <w:p w14:paraId="52F436E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模型整体框架：</w:t>
      </w:r>
      <w:r>
        <w:rPr>
          <w:rFonts w:hint="default" w:ascii="Times New Roman" w:hAnsi="Times New Roman" w:eastAsia="宋体" w:cs="Times New Roman"/>
          <w:b/>
          <w:sz w:val="22"/>
        </w:rPr>
        <w:t>外部变量量化模块 → 核心目标函数修正模块 → 约束条件修正模块 → 高级算法求解模块 → 战略调整模块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54D229F8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5" w:name="heading_13"/>
      <w:r>
        <w:rPr>
          <w:rFonts w:hint="default" w:ascii="Times New Roman" w:hAnsi="Times New Roman" w:eastAsia="宋体" w:cs="Times New Roman"/>
          <w:b/>
          <w:sz w:val="32"/>
        </w:rPr>
        <w:t>5.1 模块1：外部变量量化模块（联盟扩展+商业决策）</w:t>
      </w:r>
      <w:bookmarkEnd w:id="5"/>
    </w:p>
    <w:p w14:paraId="62E252E6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6" w:name="heading_14"/>
      <w:r>
        <w:rPr>
          <w:rFonts w:hint="default" w:ascii="Times New Roman" w:hAnsi="Times New Roman" w:eastAsia="宋体" w:cs="Times New Roman"/>
          <w:b/>
          <w:sz w:val="30"/>
        </w:rPr>
        <w:t>5.1.1 子模块1.1：联盟扩展影响量化（核心子模块）</w:t>
      </w:r>
      <w:bookmarkEnd w:id="6"/>
    </w:p>
    <w:p w14:paraId="1DD56B8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聚焦“联盟扩展对现有球队的三大冲击”——市场份额冲击、收购成本冲击、薪资空间冲击，通过Logit模型、线性修正等方式量化，输出冲击系数，用于后续目标函数与约束条件的修正：</w:t>
      </w:r>
    </w:p>
    <w:p w14:paraId="22F0A6E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市场份额冲击量化（基于Logit模型）：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联盟扩展前，球队的基准市场份额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由所在城市人口、竞技实力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perf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、品牌影响力决定（数据来源于team_valuations.csv的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city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population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M</m:t>
        </m:r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perf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valuation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_2025_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M</m:t>
        </m:r>
      </m:oMath>
      <w:r>
        <w:rPr>
          <w:rFonts w:hint="default" w:ascii="Times New Roman" w:hAnsi="Times New Roman" w:eastAsia="宋体" w:cs="Times New Roman"/>
          <w:sz w:val="22"/>
        </w:rPr>
        <w:t>）；扩张后，新球队通过抢占市场份额，导致现有球队市场份额下降，量化公式为</w:t>
      </w:r>
      <w:r>
        <w:rPr>
          <w:rFonts w:hint="eastAsia" w:ascii="Times New Roman" w:hAnsi="Times New Roman" w:eastAsia="宋体" w:cs="Times New Roman"/>
          <w:sz w:val="22"/>
          <w:highlight w:val="yellow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2"/>
          <w:highlight w:val="yellow"/>
          <w:lang w:val="en-US" w:eastAsia="zh-CN"/>
        </w:rPr>
        <w:t>参考</w:t>
      </w:r>
      <w:r>
        <w:rPr>
          <w:rFonts w:hint="eastAsia" w:ascii="Times New Roman" w:hAnsi="Times New Roman" w:eastAsia="宋体" w:cs="Times New Roman"/>
          <w:sz w:val="22"/>
          <w:highlight w:val="yellow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26577343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hAnsi="Times New Roman" w:eastAsia="宋体" w:cs="Times New Roman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S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market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S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market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,0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</m:t>
          </m:r>
          <m:nary>
            <m:naryPr>
              <m:chr m:val="∏"/>
              <m:limLoc m:val="undOvr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(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1−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m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</m:t>
          </m:r>
        </m:oMath>
      </m:oMathPara>
    </w:p>
    <w:p w14:paraId="6D8283B7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其中，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K</m:t>
        </m:r>
      </m:oMath>
      <w:r>
        <w:rPr>
          <w:rFonts w:hint="default" w:ascii="Times New Roman" w:hAnsi="Times New Roman" w:eastAsia="宋体" w:cs="Times New Roman"/>
          <w:sz w:val="22"/>
        </w:rPr>
        <w:t>为扩张球队总数（由expansion_teams.csv的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join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year</m:t>
        </m:r>
      </m:oMath>
      <w:r>
        <w:rPr>
          <w:rFonts w:hint="default" w:ascii="Times New Roman" w:hAnsi="Times New Roman" w:eastAsia="宋体" w:cs="Times New Roman"/>
          <w:sz w:val="22"/>
        </w:rPr>
        <w:t>分组确定）；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σ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为市场重叠系数，计算方式为：</w:t>
      </w:r>
    </w:p>
    <w:p w14:paraId="4B0CCC57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min(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Po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current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Po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max(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Po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current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Po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θ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</m:t>
          </m:r>
        </m:oMath>
      </m:oMathPara>
    </w:p>
    <w:p w14:paraId="77F74CD8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hAnsi="Cambria Math" w:eastAsia="宋体" w:cs="Times New Roman"/>
          <w:i w:val="0"/>
          <w:sz w:val="22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Po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current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为现有球队城市人口，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Po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为第k支扩张球队城市人口（数据来源于team_valuations.csv的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city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population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M</m:t>
        </m:r>
      </m:oMath>
      <w:r>
        <w:rPr>
          <w:rFonts w:hint="default" w:ascii="Times New Roman" w:hAnsi="Times New Roman" w:eastAsia="宋体" w:cs="Times New Roman"/>
          <w:sz w:val="22"/>
        </w:rPr>
        <w:t>），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θ</m:t>
        </m:r>
      </m:oMath>
      <w:r>
        <w:rPr>
          <w:rFonts w:hint="default" w:ascii="Times New Roman" w:hAnsi="Times New Roman" w:eastAsia="宋体" w:cs="Times New Roman"/>
          <w:sz w:val="22"/>
        </w:rPr>
        <w:t>为地理距离修正系数（距离越近，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θ</m:t>
        </m:r>
      </m:oMath>
      <w:r>
        <w:rPr>
          <w:rFonts w:hint="default" w:ascii="Times New Roman" w:hAnsi="Times New Roman" w:eastAsia="宋体" w:cs="Times New Roman"/>
          <w:sz w:val="22"/>
        </w:rPr>
        <w:t>越大）；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为冲击标识（0-1变量），当扩张球队与现有球队城市距离≤500km或人口重叠度≥30%时，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  <w:lang w:val="en-US" w:eastAsia="zh-CN"/>
          </w:rPr>
          <m:t>=1</m:t>
        </m:r>
      </m:oMath>
      <w:r>
        <w:rPr>
          <w:rFonts w:hint="default" w:ascii="Times New Roman" w:hAnsi="Times New Roman" w:eastAsia="宋体" w:cs="Times New Roman"/>
          <w:sz w:val="22"/>
        </w:rPr>
        <w:t>，否则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  <w:lang w:val="en-US" w:eastAsia="zh-CN"/>
          </w:rPr>
          <m:t>=0</m:t>
        </m:r>
      </m:oMath>
      <w:r>
        <w:rPr>
          <w:rFonts w:hint="default" w:ascii="Times New Roman" w:hAnsi="Times New Roman" w:eastAsia="宋体" w:cs="Times New Roman"/>
          <w:sz w:val="22"/>
        </w:rPr>
        <w:t>。说明：市场份额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直接影响竞技收入（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win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）与商业收入（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star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），市场份额下降，会导致上座率、门票收入、赞助收入同步下降，下降幅度与\(S_{market}\)的变化幅度正相关，关联公式为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win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)、(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star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star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</w:p>
    <w:p w14:paraId="23C78CBF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star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为扩张前收入）。</w:t>
      </w:r>
    </w:p>
    <w:p w14:paraId="3244178F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收购成本冲击量化（薪资溢价修正）：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联盟扩展期，新球队与现有球队争夺自由球员、交易球员，导致这类球员的薪资出现溢价，进而推高现有球队的收购成本（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acq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），修正公式为：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acq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acq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⋅(1+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τ</m:t>
        </m:r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</m:oMath>
    </w:p>
    <w:p w14:paraId="7813A40A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其中，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τ</m:t>
        </m:r>
      </m:oMath>
      <w:r>
        <w:rPr>
          <w:rFonts w:hint="default" w:ascii="Times New Roman" w:hAnsi="Times New Roman" w:eastAsia="宋体" w:cs="Times New Roman"/>
          <w:sz w:val="22"/>
        </w:rPr>
        <w:t>为薪资溢价系数，与扩张加盟费增长率正相关，校准公式为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τ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=0.3⋅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expansion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fee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growt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h</m:t>
        </m:r>
      </m:oMath>
      <w:r>
        <w:rPr>
          <w:rFonts w:hint="default" w:ascii="Times New Roman" w:hAnsi="Times New Roman" w:eastAsia="宋体" w:cs="Times New Roman"/>
          <w:sz w:val="22"/>
        </w:rPr>
        <w:t>（数据来源</w:t>
      </w:r>
      <w:bookmarkStart w:id="30" w:name="_GoBack"/>
      <w:bookmarkEnd w:id="30"/>
      <w:r>
        <w:rPr>
          <w:rFonts w:hint="default" w:ascii="Times New Roman" w:hAnsi="Times New Roman" w:eastAsia="宋体" w:cs="Times New Roman"/>
          <w:sz w:val="22"/>
        </w:rPr>
        <w:t>于model_parameters.csv的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expansion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fee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growt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h</m:t>
        </m:r>
      </m:oMath>
      <w:r>
        <w:rPr>
          <w:rFonts w:hint="default" w:ascii="Times New Roman" w:hAnsi="Times New Roman" w:eastAsia="宋体" w:cs="Times New Roman"/>
          <w:sz w:val="22"/>
        </w:rPr>
        <w:t>），确保溢价系数有数据支撑；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</m:oMath>
      <w:r>
        <w:rPr>
          <w:rFonts w:hint="default" w:ascii="Times New Roman" w:hAnsi="Times New Roman" w:eastAsia="宋体" w:cs="Times New Roman"/>
          <w:sz w:val="22"/>
        </w:rPr>
        <w:t>为冲击强度（扩张球队中对现有球队产生冲击的数量越多，溢价越高），当无冲击球队时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=0，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acq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acq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，与第二问收购成本一致。</w:t>
      </w:r>
    </w:p>
    <w:p w14:paraId="2D67217B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hAnsi="Times New Roman" w:eastAsia="宋体" w:cs="Times New Roman"/>
          <w:i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</w:rPr>
        <w:t>补充：选秀渠道的收购成本（新秀薪资）不受溢价影响，仍按salary_cap_history.csv的</w:t>
      </w:r>
      <w:r>
        <w:rPr>
          <w:rFonts w:hint="default" w:ascii="Times New Roman" w:hAnsi="Times New Roman" w:eastAsia="宋体" w:cs="Times New Roman"/>
          <w:i w:val="0"/>
          <w:sz w:val="22"/>
        </w:rPr>
        <w:t>rookie_min_0_2_yrs</w:t>
      </w:r>
      <w:r>
        <w:rPr>
          <w:rFonts w:hint="default" w:ascii="Times New Roman" w:hAnsi="Times New Roman" w:eastAsia="宋体" w:cs="Times New Roman"/>
          <w:sz w:val="22"/>
        </w:rPr>
        <w:t>执行，仅自由市场、交易渠道的成本被修正，即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⋅(1+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τ</m:t>
        </m:r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</m:oMath>
    </w:p>
    <w:p w14:paraId="6D6DA1EE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q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=2,3</m:t>
        </m:r>
      </m:oMath>
      <w:r>
        <w:rPr>
          <w:rFonts w:hint="default" w:ascii="Times New Roman" w:hAnsi="Times New Roman" w:eastAsia="宋体" w:cs="Times New Roman"/>
          <w:sz w:val="22"/>
        </w:rPr>
        <w:t>），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q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=1</m:t>
        </m:r>
      </m:oMath>
      <w:r>
        <w:rPr>
          <w:rFonts w:hint="default" w:ascii="Times New Roman" w:hAnsi="Times New Roman" w:eastAsia="宋体" w:cs="Times New Roman"/>
          <w:sz w:val="22"/>
        </w:rPr>
        <w:t>）。</w:t>
      </w:r>
    </w:p>
    <w:p w14:paraId="2DCFFB85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薪资空间冲击量化（LSTM时序预测）：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联盟扩展通常伴随商业价值提升（新球队加盟费、媒体版权收入增长），进而推动薪资帽（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Cap</m:t>
        </m:r>
      </m:oMath>
      <w:r>
        <w:rPr>
          <w:rFonts w:hint="default" w:ascii="Times New Roman" w:hAnsi="Times New Roman" w:eastAsia="宋体" w:cs="Times New Roman"/>
          <w:sz w:val="22"/>
        </w:rPr>
        <w:t>）增长，采用LSTM时序预测模型，基于salary_cap_history.csv的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salary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cap</m:t>
        </m:r>
      </m:oMath>
      <w:r>
        <w:rPr>
          <w:rFonts w:hint="default" w:ascii="Times New Roman" w:hAnsi="Times New Roman" w:eastAsia="宋体" w:cs="Times New Roman"/>
          <w:sz w:val="22"/>
        </w:rPr>
        <w:t>、annual_increase_pct，结合expansion_teams.csv的join_year（扩张时序），预测扩张期未来t年的薪资帽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，实现薪资空间的动态预判，预测公式为：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LSTM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({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−1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−2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,...,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},{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join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yea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},{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expansion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fee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growt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h}</m:t>
        </m:r>
      </m:oMath>
    </w:p>
    <w:p w14:paraId="2DC5CB18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其中，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n</m:t>
        </m:r>
      </m:oMath>
      <w:r>
        <w:rPr>
          <w:rFonts w:hint="default" w:ascii="Times New Roman" w:hAnsi="Times New Roman" w:eastAsia="宋体" w:cs="Times New Roman"/>
          <w:sz w:val="22"/>
        </w:rPr>
        <w:t>为历史数据窗口（取5年，数据来源于salary_cap_history.csv的2020-2024年数据）；join_year_k、expansion_fee_growth为扩张相关特征变量，作为LSTM的输入（扩张年份越早、加盟费增长率越高，薪资帽增长越快）；LSTM模型的输出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（扩张期t年的薪资帽），用于修正后续的薪资约束条件。</w:t>
      </w:r>
    </w:p>
    <w:p w14:paraId="22AA1A6A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算法说明</w:t>
      </w:r>
      <w:r>
        <w:rPr>
          <w:rFonts w:hint="eastAsia" w:ascii="Times New Roman" w:hAnsi="Times New Roman" w:eastAsia="宋体" w:cs="Times New Roman"/>
          <w:sz w:val="22"/>
          <w:highlight w:val="yellow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2"/>
          <w:highlight w:val="yellow"/>
          <w:lang w:val="en-US" w:eastAsia="zh-CN"/>
        </w:rPr>
        <w:t>参数值都是参考</w:t>
      </w:r>
      <w:r>
        <w:rPr>
          <w:rFonts w:hint="eastAsia" w:ascii="Times New Roman" w:hAnsi="Times New Roman" w:eastAsia="宋体" w:cs="Times New Roman"/>
          <w:sz w:val="22"/>
          <w:highlight w:val="yellow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2"/>
        </w:rPr>
        <w:t>：LSTM用于捕捉薪资帽时序数据的长短期依赖关系，模型结构包含3层（输入层、隐藏层、输出层）：输入层维度为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+2</m:t>
        </m:r>
      </m:oMath>
      <w:r>
        <w:rPr>
          <w:rFonts w:hint="default" w:ascii="Times New Roman" w:hAnsi="Times New Roman" w:eastAsia="宋体" w:cs="Times New Roman"/>
          <w:sz w:val="22"/>
        </w:rPr>
        <w:t>（n个历史薪资帽数据+2个扩张特征变量）；隐藏层采用128个神经元，激活函数为ReLU；输出层为1维（未来t年薪资帽预测值）；通过Adam优化器（学习率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α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=0.001</m:t>
        </m:r>
      </m:oMath>
      <w:r>
        <w:rPr>
          <w:rFonts w:hint="default" w:ascii="Times New Roman" w:hAnsi="Times New Roman" w:eastAsia="宋体" w:cs="Times New Roman"/>
          <w:sz w:val="22"/>
        </w:rPr>
        <w:t>，衰减系数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β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=0.9</m:t>
        </m:r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β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=0.999</m:t>
        </m:r>
      </m:oMath>
      <w:r>
        <w:rPr>
          <w:rFonts w:hint="default" w:ascii="Times New Roman" w:hAnsi="Times New Roman" w:eastAsia="宋体" w:cs="Times New Roman"/>
          <w:sz w:val="22"/>
        </w:rPr>
        <w:t>）最小化损失函数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Loss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Cap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</m:acc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)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M</m:t>
        </m:r>
      </m:oMath>
      <w:r>
        <w:rPr>
          <w:rFonts w:hint="default" w:ascii="Times New Roman" w:hAnsi="Times New Roman" w:eastAsia="宋体" w:cs="Times New Roman"/>
          <w:sz w:val="22"/>
        </w:rPr>
        <w:t>为预测样本数，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Cap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</m:acc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为实际薪资帽值）；模型验证采用5折交叉验证，确保预测误差低于10%，验证数据取自salary_cap_history.csv的2025年数据，验证通过后用于薪资空间预判。</w:t>
      </w:r>
    </w:p>
    <w:p w14:paraId="120F1CB7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补充：扩张期薪资帽的年度增长率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g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，可由LSTM预测结果推导得出，公式为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g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Ca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p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Ca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p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−1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Ca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p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−1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×100%</m:t>
        </m:r>
      </m:oMath>
      <w:r>
        <w:rPr>
          <w:rFonts w:hint="default" w:ascii="Times New Roman" w:hAnsi="Times New Roman" w:eastAsia="宋体" w:cs="Times New Roman"/>
          <w:sz w:val="22"/>
        </w:rPr>
        <w:t>，用于后续薪资预算调整；同时，薪资空间的实际可用额度需扣除联盟规定的强制薪资下限（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），即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available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eastAsia" w:hAnsi="Times New Roman" w:eastAsia="宋体" w:cs="Times New Roman"/>
          <w:i w:val="0"/>
          <w:sz w:val="22"/>
          <w:lang w:eastAsia="zh-CN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基于salary_cap_history.csv的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salary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cap</m:t>
        </m:r>
      </m:oMath>
      <w:r>
        <w:rPr>
          <w:rFonts w:hint="default" w:ascii="Times New Roman" w:hAnsi="Times New Roman" w:eastAsia="宋体" w:cs="Times New Roman"/>
          <w:sz w:val="22"/>
        </w:rPr>
        <w:t>与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min_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salary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pct</m:t>
        </m:r>
      </m:oMath>
      <w:r>
        <w:rPr>
          <w:rFonts w:hint="default" w:ascii="Times New Roman" w:hAnsi="Times New Roman" w:eastAsia="宋体" w:cs="Times New Roman"/>
          <w:sz w:val="22"/>
        </w:rPr>
        <w:t>计算（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×min_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salary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pct</m:t>
        </m:r>
      </m:oMath>
      <w:r>
        <w:rPr>
          <w:rFonts w:hint="default" w:ascii="Times New Roman" w:hAnsi="Times New Roman" w:eastAsia="宋体" w:cs="Times New Roman"/>
          <w:sz w:val="22"/>
        </w:rPr>
        <w:t>），确保薪资空间计算贴合联盟规则，衔接第二问的薪资约束逻辑。</w:t>
      </w:r>
    </w:p>
    <w:p w14:paraId="1773EE98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品牌估值冲击量化（折现修正）：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联盟扩展对球队品牌估值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的影响具有双重性：短期因市场竞争加剧导致估值增速放缓，长期因联盟商业价值提升推动估值增长，结合team_valuations.csv的yoy_valuation_change_pct（估值同比增长率），量化修正公式为：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nary>
          <m:naryPr>
            <m:chr m:val="∏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[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1+(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yo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−Δ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yoy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γ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g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]</m:t>
        </m:r>
      </m:oMath>
    </w:p>
    <w:p w14:paraId="7E70F134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其中，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为扩张前品牌估值（数据来源于team_valuations.csv的valuation_2025_M）；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</m:oMath>
      <w:r>
        <w:rPr>
          <w:rFonts w:hint="default" w:ascii="Times New Roman" w:hAnsi="Times New Roman" w:eastAsia="宋体" w:cs="Times New Roman"/>
          <w:sz w:val="22"/>
        </w:rPr>
        <w:t>为扩张影响周期（取3个赛季，贴合联盟扩张的短期波动与长期增值规律）；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yo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为扩张前估值同比增长率；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yoy</m:t>
        </m:r>
      </m:oMath>
      <w:r>
        <w:rPr>
          <w:rFonts w:hint="default" w:ascii="Times New Roman" w:hAnsi="Times New Roman" w:eastAsia="宋体" w:cs="Times New Roman"/>
          <w:sz w:val="22"/>
        </w:rPr>
        <w:t>为估值增速下降系数（由yoy_valuation_change_pct与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σ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校准，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yoy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∈[0.02,0.05]</m:t>
        </m:r>
      </m:oMath>
      <w:r>
        <w:rPr>
          <w:rFonts w:hint="default" w:ascii="Times New Roman" w:hAnsi="Times New Roman" w:eastAsia="宋体" w:cs="Times New Roman"/>
          <w:sz w:val="22"/>
        </w:rPr>
        <w:t>）；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γ</m:t>
        </m:r>
      </m:oMath>
      <w:r>
        <w:rPr>
          <w:rFonts w:hint="default" w:ascii="Times New Roman" w:hAnsi="Times New Roman" w:eastAsia="宋体" w:cs="Times New Roman"/>
          <w:sz w:val="22"/>
        </w:rPr>
        <w:t>为薪资帽增长对估值的带动系数，由媒体合作收入与估值的相关性校准；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g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为扩张期薪资帽年度增长率。该公式既体现短期冲击，也兼顾长期增值，修正后的估值直接代入核心目标函数，衔接第一问的估值计算逻辑。</w:t>
      </w:r>
    </w:p>
    <w:p w14:paraId="1EABF54E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7" w:name="heading_15"/>
      <w:r>
        <w:rPr>
          <w:rFonts w:hint="default" w:ascii="Times New Roman" w:hAnsi="Times New Roman" w:eastAsia="宋体" w:cs="Times New Roman"/>
          <w:b/>
          <w:sz w:val="30"/>
        </w:rPr>
        <w:t>5.1.2 子模块1.2：商业决策影响量化（核心子模块）</w:t>
      </w:r>
      <w:bookmarkEnd w:id="7"/>
    </w:p>
    <w:p w14:paraId="1B9E062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聚焦两大核心商业决策——票务定价优化、媒体合作优化，结合需求价格弹性理论、边际收益递减规律，通过量化公式与贝叶斯优化算法，将商业决策变量（\(P\)、\(\phi\)）转化为收入增量，同时考虑决策调整成本，输出商业决策的净收益系数，用于后续目标函数修正，全程依托现有数据字段，确保量化逻辑可落地：</w:t>
      </w:r>
    </w:p>
    <w:p w14:paraId="29E53559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票务定价优化影响量化（贝叶斯优化适配）：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          以“门票收入最大化”为子目标，结合attendance_data.csv的avg_attendance、capacity_utilization与model_parameters.csv的ticket_price_elasticity，构建票务定价与门票收入的非线性关系，同时量化定价调整成本，实现定价调整系数P的优化与影响量化。① 基础量化公式：门票收入由票价、上座率、市场份额共同决定，结合需求价格弹性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ticket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price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elasticity</m:t>
        </m:r>
      </m:oMath>
      <w:r>
        <w:rPr>
          <w:rFonts w:hint="default" w:ascii="Times New Roman" w:hAnsi="Times New Roman" w:eastAsia="宋体" w:cs="Times New Roman"/>
          <w:sz w:val="22"/>
        </w:rPr>
        <w:t>（负常数），优化后门票收入公式为：</w:t>
      </w:r>
    </w:p>
    <w:p w14:paraId="57C6FA4B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ticket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=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D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0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ε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S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market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D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0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ε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+1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S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market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</m:oMath>
      </m:oMathPara>
    </w:p>
    <w:p w14:paraId="00D60581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其中，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D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为扩张前、原价状态下的基准上座人次（数据来源于attendance_data.csv的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avg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attendance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×主场场次</m:t>
        </m:r>
      </m:oMath>
      <w:r>
        <w:rPr>
          <w:rFonts w:hint="default" w:ascii="Times New Roman" w:hAnsi="Times New Roman" w:eastAsia="宋体" w:cs="Times New Roman"/>
          <w:sz w:val="22"/>
        </w:rPr>
        <w:t>）；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</m:t>
        </m:r>
      </m:oMath>
      <w:r>
        <w:rPr>
          <w:rFonts w:hint="default" w:ascii="Times New Roman" w:hAnsi="Times New Roman" w:eastAsia="宋体" w:cs="Times New Roman"/>
          <w:sz w:val="22"/>
        </w:rPr>
        <w:t>为票务定价调整系数（决策变量），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∈[0.8,1.5]</m:t>
        </m:r>
      </m:oMath>
      <w:r>
        <w:rPr>
          <w:rFonts w:hint="default" w:ascii="Times New Roman" w:hAnsi="Times New Roman" w:eastAsia="宋体" w:cs="Times New Roman"/>
          <w:sz w:val="22"/>
        </w:rPr>
        <w:t>（贴合体育赛事定价规律，降价不低于原价80%，涨价不超过原价50%）；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为联盟扩展后的市场份额；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+1</m:t>
        </m:r>
      </m:oMath>
      <w:r>
        <w:rPr>
          <w:rFonts w:hint="default" w:ascii="Times New Roman" w:hAnsi="Times New Roman" w:eastAsia="宋体" w:cs="Times New Roman"/>
          <w:sz w:val="22"/>
        </w:rPr>
        <w:t>为收入弹性系数，因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&lt;0</m:t>
        </m:r>
      </m:oMath>
      <w:r>
        <w:rPr>
          <w:rFonts w:hint="default" w:ascii="Times New Roman" w:hAnsi="Times New Roman" w:eastAsia="宋体" w:cs="Times New Roman"/>
          <w:sz w:val="22"/>
        </w:rPr>
        <w:t>，当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+1&gt;0</m:t>
        </m:r>
      </m:oMath>
      <w:r>
        <w:rPr>
          <w:rFonts w:hint="default" w:ascii="Times New Roman" w:hAnsi="Times New Roman" w:eastAsia="宋体" w:cs="Times New Roman"/>
          <w:sz w:val="22"/>
        </w:rPr>
        <w:t>时，涨价可提升收入；当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+1&lt;0</m:t>
        </m:r>
      </m:oMath>
      <w:r>
        <w:rPr>
          <w:rFonts w:hint="default" w:ascii="Times New Roman" w:hAnsi="Times New Roman" w:eastAsia="宋体" w:cs="Times New Roman"/>
          <w:sz w:val="22"/>
        </w:rPr>
        <w:t>时，降价可提升收入。② 调整成本量化：票务定价调整会产生宣传、系统调试等成本，成本与定价调整幅度正相关，公式为：</w:t>
      </w:r>
    </w:p>
    <w:p w14:paraId="47045041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hAnsi="Times New Roman" w:eastAsia="宋体" w:cs="Times New Roman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C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ticket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λ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ticket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⋅|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ticket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ticket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,0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|</m:t>
          </m:r>
        </m:oMath>
      </m:oMathPara>
    </w:p>
    <w:p w14:paraId="31622DF8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其中，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为调整前门票收入（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D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）；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λ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为票务调整成本系数（由行业经验校准，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λ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=0.1</m:t>
        </m:r>
      </m:oMath>
      <w:r>
        <w:rPr>
          <w:rFonts w:hint="default" w:ascii="Times New Roman" w:hAnsi="Times New Roman" w:eastAsia="宋体" w:cs="Times New Roman"/>
          <w:sz w:val="22"/>
        </w:rPr>
        <w:t>，即调整成本占收入增量的10%）。③ 贝叶斯优化应用：将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作为票务定价优化的目标函数，以\(P\)为连续决策变量，约束条件为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∈[0.8,1.5]</m:t>
        </m:r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avg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attendance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D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ε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≤场馆容量</m:t>
        </m:r>
      </m:oMath>
      <w:r>
        <w:rPr>
          <w:rFonts w:hint="default" w:ascii="Times New Roman" w:hAnsi="Times New Roman" w:eastAsia="宋体" w:cs="Times New Roman"/>
          <w:sz w:val="22"/>
        </w:rPr>
        <w:t>（数据来源于attendance_data.csv的capacity_utilization推导），采用贝叶斯优化算法求解最优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。算法逻辑：以高斯过程为代理模型，通过采集函数（EI函数）迭代采样，最小化目标函数的负値（即最大化净收益），适配目标函数的平滑非线性特性，高效求解最优定价调整系数，同时输出最优\(P^*\)对应的门票收入增量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。</w:t>
      </w:r>
    </w:p>
    <w:p w14:paraId="5042519A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媒体合作优化影响量化（边际收益递减适配）：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          以“媒体收入最大化”为子目标，结合media_deals.csv的annual_value、partners、coverage_type，构建媒体投入与媒体收入的关系，考虑边际收益递减规律，量化媒体投入调整系数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</m:t>
        </m:r>
      </m:oMath>
      <w:r>
        <w:rPr>
          <w:rFonts w:hint="default" w:ascii="Times New Roman" w:hAnsi="Times New Roman" w:eastAsia="宋体" w:cs="Times New Roman"/>
          <w:sz w:val="22"/>
        </w:rPr>
        <w:t>的影响，同时衔接票务定价优化的联动效应。</w:t>
      </w:r>
    </w:p>
    <w:p w14:paraId="6699DD1B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基础量化公式：媒体收入包括转播权收入、合作赞助收入，与媒体投入系数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</m:t>
        </m:r>
      </m:oMath>
      <w:r>
        <w:rPr>
          <w:rFonts w:hint="default" w:ascii="Times New Roman" w:hAnsi="Times New Roman" w:eastAsia="宋体" w:cs="Times New Roman"/>
          <w:sz w:val="22"/>
        </w:rPr>
        <w:t>（决策变量，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0≤ϕ≤1</m:t>
        </m:r>
      </m:oMath>
      <w:r>
        <w:rPr>
          <w:rFonts w:hint="default" w:ascii="Times New Roman" w:hAnsi="Times New Roman" w:eastAsia="宋体" w:cs="Times New Roman"/>
          <w:sz w:val="22"/>
        </w:rPr>
        <w:t>）呈二次函数关系（边际收益递减），同时受市场份额、上座率联动影响，公式为：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2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⋅(1+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η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δ</m:t>
        </m:r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)⋅(1+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λ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link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avg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_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attendance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'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avg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_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attendance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</m:oMath>
    </w:p>
    <w:p w14:paraId="18766CEC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其中，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为扩张前、基准投入状态下的媒体收入（数据来源于media_deals.csv的annual_value）；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η</m:t>
        </m:r>
      </m:oMath>
      <w:r>
        <w:rPr>
          <w:rFonts w:hint="default" w:ascii="Times New Roman" w:hAnsi="Times New Roman" w:eastAsia="宋体" w:cs="Times New Roman"/>
          <w:sz w:val="22"/>
        </w:rPr>
        <w:t>为媒体价值转化系数（由annual_value与partners校准，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η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∈[0.3,0.7]</m:t>
        </m:r>
      </m:oMath>
      <w:r>
        <w:rPr>
          <w:rFonts w:hint="default" w:ascii="Times New Roman" w:hAnsi="Times New Roman" w:eastAsia="宋体" w:cs="Times New Roman"/>
          <w:sz w:val="22"/>
        </w:rPr>
        <w:t>）；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δ</m:t>
        </m:r>
      </m:oMath>
      <w:r>
        <w:rPr>
          <w:rFonts w:hint="default" w:ascii="Times New Roman" w:hAnsi="Times New Roman" w:eastAsia="宋体" w:cs="Times New Roman"/>
          <w:sz w:val="22"/>
        </w:rPr>
        <w:t>为边际收益递减系数（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δ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=0.5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η</m:t>
        </m:r>
      </m:oMath>
      <w:r>
        <w:rPr>
          <w:rFonts w:hint="default" w:ascii="Times New Roman" w:hAnsi="Times New Roman" w:eastAsia="宋体" w:cs="Times New Roman"/>
          <w:sz w:val="22"/>
        </w:rPr>
        <w:t>，确保二次项系数为负，符合边际收益递减规律）；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</m:t>
        </m:r>
      </m:oMath>
      <w:r>
        <w:rPr>
          <w:rFonts w:hint="default" w:ascii="Times New Roman" w:hAnsi="Times New Roman" w:eastAsia="宋体" w:cs="Times New Roman"/>
          <w:sz w:val="22"/>
        </w:rPr>
        <w:t>为媒体投入调整系数（决策变量），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ϕ=0</m:t>
        </m:r>
      </m:oMath>
      <w:r>
        <w:rPr>
          <w:rFonts w:hint="default" w:ascii="Times New Roman" w:hAnsi="Times New Roman" w:eastAsia="宋体" w:cs="Times New Roman"/>
          <w:sz w:val="22"/>
        </w:rPr>
        <w:t>表示维持基准投入，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ϕ=1</m:t>
        </m:r>
      </m:oMath>
      <w:r>
        <w:rPr>
          <w:rFonts w:hint="default" w:ascii="Times New Roman" w:hAnsi="Times New Roman" w:eastAsia="宋体" w:cs="Times New Roman"/>
          <w:sz w:val="22"/>
        </w:rPr>
        <w:t>表示最大化投入；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λ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link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为联动效应系数（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λ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link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=0.2</m:t>
        </m:r>
      </m:oMath>
      <w:r>
        <w:rPr>
          <w:rFonts w:hint="default" w:ascii="Times New Roman" w:hAnsi="Times New Roman" w:eastAsia="宋体" w:cs="Times New Roman"/>
          <w:sz w:val="22"/>
        </w:rPr>
        <w:t>），体现票务定价优化带来的上座率提升对媒体价值的带动作用；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avg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attendance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</m:t>
        </m:r>
      </m:oMath>
      <w:r>
        <w:rPr>
          <w:rFonts w:hint="default" w:ascii="Times New Roman" w:hAnsi="Times New Roman" w:eastAsia="宋体" w:cs="Times New Roman"/>
          <w:sz w:val="22"/>
        </w:rPr>
        <w:t>为定价优化后的上座率，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avg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attendance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,0</m:t>
        </m:r>
      </m:oMath>
      <w:r>
        <w:rPr>
          <w:rFonts w:hint="default" w:ascii="Times New Roman" w:hAnsi="Times New Roman" w:eastAsia="宋体" w:cs="Times New Roman"/>
          <w:sz w:val="22"/>
        </w:rPr>
        <w:t>为基准上座率。② 调整成本量化：媒体投入调整成本与投入增量正相关，公式为：</w:t>
      </w:r>
    </w:p>
    <w:p w14:paraId="23E66399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hAnsi="Cambria Math" w:eastAsia="宋体" w:cs="Times New Roman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C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media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λ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media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⋅ϕ⋅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media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,0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</m:oMath>
      </m:oMathPara>
    </w:p>
    <w:p w14:paraId="4B9B4F3E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其中，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λ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为媒体调整成本系数（由media_deals.csv的annual_value与投入规模校准，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λ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=0.15</m:t>
        </m:r>
      </m:oMath>
      <w:r>
        <w:rPr>
          <w:rFonts w:hint="default" w:ascii="Times New Roman" w:hAnsi="Times New Roman" w:eastAsia="宋体" w:cs="Times New Roman"/>
          <w:sz w:val="22"/>
        </w:rPr>
        <w:t>）。③ 优化逻辑：将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作为子目标，结合约束条件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0≤ϕ≤1</m:t>
        </m:r>
      </m:oMath>
      <w:r>
        <w:rPr>
          <w:rFonts w:hint="default" w:ascii="Times New Roman" w:hAnsi="Times New Roman" w:eastAsia="宋体" w:cs="Times New Roman"/>
          <w:sz w:val="22"/>
        </w:rPr>
        <w:t>，通过求导求解最优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（令</w:t>
      </w:r>
      <m:oMath>
        <m:f>
          <m:fPr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d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media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media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)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d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</m:t>
        </m:r>
      </m:oMath>
      <w:r>
        <w:rPr>
          <w:rFonts w:hint="default" w:ascii="Times New Roman" w:hAnsi="Times New Roman" w:eastAsia="宋体" w:cs="Times New Roman"/>
          <w:sz w:val="22"/>
        </w:rPr>
        <w:t>），得出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η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(1+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λ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link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⋅</m:t>
            </m:r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sz w:val="22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avg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_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attendance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'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avg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_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attendance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,0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)−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λ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media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δ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(1+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λ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link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⋅</m:t>
            </m:r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sz w:val="22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avg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_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attendance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'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avg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_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attendance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,0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)</m:t>
            </m:r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den>
        </m:f>
      </m:oMath>
    </w:p>
    <w:p w14:paraId="109A9856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同时输出最优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对应的媒体收入增量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。</w:t>
      </w:r>
    </w:p>
    <w:p w14:paraId="64FBF521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商业决策联动效应量化：票务定价与媒体合作存在双向联动，除票务定价对媒体收入的带动作用外，媒体合作加强（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</m:t>
        </m:r>
      </m:oMath>
      <w:r>
        <w:rPr>
          <w:rFonts w:hint="default" w:ascii="Times New Roman" w:hAnsi="Times New Roman" w:eastAsia="宋体" w:cs="Times New Roman"/>
          <w:sz w:val="22"/>
        </w:rPr>
        <w:t>提升）可提升球队曝光度，进而带动上座率提升，修正公式为：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avg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attendance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''=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avg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attendance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'⋅(1+0.08ϕ)</m:t>
        </m:r>
      </m:oMath>
      <w:r>
        <w:rPr>
          <w:rFonts w:hint="default" w:ascii="Times New Roman" w:hAnsi="Times New Roman" w:eastAsia="宋体" w:cs="Times New Roman"/>
          <w:sz w:val="22"/>
        </w:rPr>
        <w:t>。其中，0.08为媒体曝光对於上座率的带动系数（由media_deals.csv的coverage_type与attendance_data.csv的avg_attendance相关性校准）；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avg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attendance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''</m:t>
        </m:r>
      </m:oMath>
      <w:r>
        <w:rPr>
          <w:rFonts w:hint="default" w:ascii="Times New Roman" w:hAnsi="Times New Roman" w:eastAsia="宋体" w:cs="Times New Roman"/>
          <w:sz w:val="22"/>
        </w:rPr>
        <w:t>为考虑双向联动后的最终上座率，用于修正门票收入与媒体收入，形成商业决策的闭环联动。</w:t>
      </w:r>
    </w:p>
    <w:p w14:paraId="05239CE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补充：商业决策的净收益的量化公式为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business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=(Δ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)+(Δ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media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</m:oMath>
      <w:r>
        <w:rPr>
          <w:rFonts w:hint="default" w:ascii="Times New Roman" w:hAnsi="Times New Roman" w:eastAsia="宋体" w:cs="Times New Roman"/>
          <w:sz w:val="22"/>
        </w:rPr>
        <w:t>，净收益直接计入球队利润\(\Pi\)，衔接第一问的利润计算逻辑。</w:t>
      </w:r>
    </w:p>
    <w:p w14:paraId="373CF90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8" w:name="heading_16"/>
      <w:r>
        <w:rPr>
          <w:rFonts w:hint="default" w:ascii="Times New Roman" w:hAnsi="Times New Roman" w:eastAsia="宋体" w:cs="Times New Roman"/>
          <w:b/>
          <w:sz w:val="32"/>
        </w:rPr>
        <w:t>5.2 模块2：核心目标函数修正模块</w:t>
      </w:r>
      <w:bookmarkEnd w:id="8"/>
    </w:p>
    <w:p w14:paraId="47E7F456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9" w:name="heading_17"/>
      <w:r>
        <w:rPr>
          <w:rFonts w:hint="default" w:ascii="Times New Roman" w:hAnsi="Times New Roman" w:eastAsia="宋体" w:cs="Times New Roman"/>
          <w:b/>
          <w:sz w:val="30"/>
        </w:rPr>
        <w:t>5.2.1 利润修正（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30"/>
          </w:rPr>
          <m:t>Π'</m:t>
        </m:r>
      </m:oMath>
      <w:r>
        <w:rPr>
          <w:rFonts w:hint="default" w:ascii="Times New Roman" w:hAnsi="Times New Roman" w:eastAsia="宋体" w:cs="Times New Roman"/>
          <w:b/>
          <w:sz w:val="30"/>
        </w:rPr>
        <w:t>）</w:t>
      </w:r>
      <w:bookmarkEnd w:id="9"/>
    </w:p>
    <w:p w14:paraId="42803E8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利润=竞技收入+商业收入-总成本，结合联盟扩展与商业决策的影响，修正后利润公式为：</w:t>
      </w:r>
    </w:p>
    <w:p w14:paraId="59CFDB0E">
      <w:pPr>
        <w:spacing w:before="120" w:after="120" w:line="288" w:lineRule="auto"/>
        <w:ind w:left="0"/>
        <w:jc w:val="left"/>
        <w:rPr>
          <w:rFonts w:hint="default" w:hAnsi="Times New Roman" w:eastAsia="宋体" w:cs="Times New Roman"/>
          <w:i w:val="0"/>
          <w:sz w:val="22"/>
          <w:szCs w:val="22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Π'=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win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'+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star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'+Δ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business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−(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T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C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acq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'+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T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C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ot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h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er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C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adjust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</m:t>
          </m:r>
        </m:oMath>
      </m:oMathPara>
    </w:p>
    <w:p w14:paraId="48D01EE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各分项说明如下：</w:t>
      </w:r>
    </w:p>
    <w:p w14:paraId="30BDA50A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win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：联盟扩展后修正的竞技收入；</w:t>
      </w:r>
    </w:p>
    <w:p w14:paraId="7DA3E424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star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star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：联盟扩展后修正的基础商业收入（不含商业决策增量，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star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为扩张前基础商业收入，由第一问计算得出）；</w:t>
      </w:r>
    </w:p>
    <w:p w14:paraId="5546E97B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business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：商业决策带来的净收益（由5.1.2节计算得出）；</w:t>
      </w:r>
    </w:p>
    <w:p w14:paraId="1D4E6EC7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acq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</m:t>
        </m:r>
      </m:oMath>
      <w:r>
        <w:rPr>
          <w:rFonts w:hint="default" w:ascii="Times New Roman" w:hAnsi="Times New Roman" w:eastAsia="宋体" w:cs="Times New Roman"/>
          <w:sz w:val="22"/>
        </w:rPr>
        <w:t>：联盟扩展后修正的球员收购总成本（由5.1.1节计算得出）；</w:t>
      </w:r>
    </w:p>
    <w:p w14:paraId="5A4B3544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ot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er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：固定运营成本（与前两问一致，不受联盟扩展、商业决策影响，如场馆租金、工作人员薪资）；</w:t>
      </w:r>
    </w:p>
    <w:p w14:paraId="7646F10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adjust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：战略调整成本（球员收购策略、目标权重调整产生的成本），公式为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adjust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λ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adjust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⋅(|Δ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|+|Δ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|+|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acq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acq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|)</m:t>
        </m:r>
      </m:oMath>
      <w:r>
        <w:rPr>
          <w:rFonts w:hint="default" w:ascii="Times New Roman" w:hAnsi="Times New Roman" w:eastAsia="宋体" w:cs="Times New Roman"/>
          <w:sz w:val="22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λ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adjust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为调整成本系数（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λ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adjust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=0.05</m:t>
        </m:r>
      </m:oMath>
      <w:r>
        <w:rPr>
          <w:rFonts w:hint="default" w:ascii="Times New Roman" w:hAnsi="Times New Roman" w:eastAsia="宋体" w:cs="Times New Roman"/>
          <w:sz w:val="22"/>
        </w:rPr>
        <w:t>），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为球员价值维度权重调整量。</w:t>
      </w:r>
    </w:p>
    <w:p w14:paraId="215544B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0" w:name="heading_18"/>
      <w:r>
        <w:rPr>
          <w:rFonts w:hint="default" w:ascii="Times New Roman" w:hAnsi="Times New Roman" w:eastAsia="宋体" w:cs="Times New Roman"/>
          <w:b/>
          <w:sz w:val="30"/>
        </w:rPr>
        <w:t>5.2.2 品牌估值修正（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3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30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3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30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30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30"/>
              </w:rPr>
              <m:t>ise</m:t>
            </m:r>
            <m:ctrlPr>
              <w:rPr>
                <w:rFonts w:hint="default" w:ascii="Cambria Math" w:hAnsi="Cambria Math" w:eastAsia="宋体" w:cs="Times New Roman"/>
                <w:sz w:val="3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30"/>
          </w:rPr>
          <m:t>'</m:t>
        </m:r>
      </m:oMath>
      <w:r>
        <w:rPr>
          <w:rFonts w:hint="default" w:ascii="Times New Roman" w:hAnsi="Times New Roman" w:eastAsia="宋体" w:cs="Times New Roman"/>
          <w:b/>
          <w:sz w:val="30"/>
        </w:rPr>
        <w:t>）</w:t>
      </w:r>
      <w:bookmarkEnd w:id="10"/>
    </w:p>
    <w:p w14:paraId="247B37CB">
      <w:pPr>
        <w:spacing w:before="120" w:after="120" w:line="288" w:lineRule="auto"/>
        <w:ind w:left="0"/>
        <w:jc w:val="left"/>
        <w:rPr>
          <w:rFonts w:hint="default" w:hAnsi="Times New Roman" w:eastAsia="宋体" w:cs="Times New Roman"/>
          <w:i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</w:rPr>
        <w:t>延续第一问“当期价值+未来现金流折现”的逻辑，结合联盟扩展对估值的双重影响与商业决策的增值作用，修正后品牌估值公式为：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ort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franc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h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ise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long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(1+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)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p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den>
        </m:f>
      </m:oMath>
    </w:p>
    <w:p w14:paraId="00CDCBB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各分项说明如下：</w:t>
      </w:r>
    </w:p>
    <w:p w14:paraId="2397EF4B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ort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：短期估值（扩张影响周期T内的当期价值），由5.1.1节公式计算得出（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ort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nary>
          <m:naryPr>
            <m:chr m:val="∏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[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1+(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yo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−Δ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yoy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γ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g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]</m:t>
        </m:r>
      </m:oMath>
      <w:r>
        <w:rPr>
          <w:rFonts w:hint="default" w:ascii="Times New Roman" w:hAnsi="Times New Roman" w:eastAsia="宋体" w:cs="Times New Roman"/>
          <w:sz w:val="22"/>
        </w:rPr>
        <w:t>）；</w:t>
      </w:r>
    </w:p>
    <w:p w14:paraId="56FC3119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long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：长期估值（T年后的稳定估值），考虑商业决策的长期增值，公式为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long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ort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⋅(1+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η</m:t>
        </m:r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</m:oMath>
      <w:r>
        <w:rPr>
          <w:rFonts w:hint="default" w:ascii="Times New Roman" w:hAnsi="Times New Roman" w:eastAsia="宋体" w:cs="Times New Roman"/>
          <w:sz w:val="22"/>
        </w:rPr>
        <w:t>（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为最优媒体投入系数）；</w:t>
      </w:r>
    </w:p>
    <w:p w14:paraId="0F6376DC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\(r\)：折现率（沿用model_parameters.csv的discount_rate）；</w:t>
      </w:r>
    </w:p>
    <w:p w14:paraId="2BD92E33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\(T\)：扩张影响周期（取3个赛季）。</w:t>
      </w:r>
    </w:p>
    <w:p w14:paraId="49193F6E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1" w:name="heading_19"/>
      <w:r>
        <w:rPr>
          <w:rFonts w:hint="default" w:ascii="Times New Roman" w:hAnsi="Times New Roman" w:eastAsia="宋体" w:cs="Times New Roman"/>
          <w:b/>
          <w:sz w:val="30"/>
        </w:rPr>
        <w:t>5.2.3 最终目标函数与权重调整</w:t>
      </w:r>
      <w:bookmarkEnd w:id="11"/>
    </w:p>
    <w:p w14:paraId="664E7F6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目标函数：</w:t>
      </w:r>
      <m:oMath>
        <m:func>
          <m:funcPr>
            <m:ctrlPr>
              <w:rPr>
                <w:rFonts w:hint="default" w:ascii="Cambria Math" w:hAnsi="Cambria Math" w:eastAsia="宋体" w:cs="Times New Roman"/>
                <w:sz w:val="22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max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'⋅Π'+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'⋅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</m:t>
        </m:r>
      </m:oMath>
      <w:r>
        <w:rPr>
          <w:rFonts w:hint="default" w:ascii="Times New Roman" w:hAnsi="Times New Roman" w:eastAsia="宋体" w:cs="Times New Roman"/>
          <w:sz w:val="22"/>
        </w:rPr>
        <w:t>，其中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'+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'=1</m:t>
        </m:r>
      </m:oMath>
      <w:r>
        <w:rPr>
          <w:rFonts w:hint="default" w:ascii="Times New Roman" w:hAnsi="Times New Roman" w:eastAsia="宋体" w:cs="Times New Roman"/>
          <w:sz w:val="22"/>
        </w:rPr>
        <w:t>（权重归一化）；</w:t>
      </w:r>
    </w:p>
    <w:p w14:paraId="787486B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权重调整（适配扩张期与非扩张期）：通过联盟扩展标识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</m:oMath>
      <w:r>
        <w:rPr>
          <w:rFonts w:hint="default" w:ascii="Times New Roman" w:hAnsi="Times New Roman" w:eastAsia="宋体" w:cs="Times New Roman"/>
          <w:sz w:val="22"/>
        </w:rPr>
        <w:t>动态调整权重：</w:t>
      </w:r>
    </w:p>
    <w:p w14:paraId="255873E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- 扩张期（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≥1</m:t>
        </m:r>
      </m:oMath>
      <w:r>
        <w:rPr>
          <w:rFonts w:hint="default" w:ascii="Times New Roman" w:hAnsi="Times New Roman" w:eastAsia="宋体" w:cs="Times New Roman"/>
          <w:sz w:val="22"/>
        </w:rPr>
        <w:t>）：优先保障财务健康，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'=0.6</m:t>
        </m:r>
      </m:oMath>
      <w:r>
        <w:rPr>
          <w:rFonts w:hint="default" w:ascii="Times New Roman" w:hAnsi="Times New Roman" w:eastAsia="宋体" w:cs="Times New Roman"/>
          <w:sz w:val="22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'=0.4</m:t>
        </m:r>
      </m:oMath>
      <w:r>
        <w:rPr>
          <w:rFonts w:hint="default" w:ascii="Times New Roman" w:hAnsi="Times New Roman" w:eastAsia="宋体" w:cs="Times New Roman"/>
          <w:sz w:val="22"/>
        </w:rPr>
        <w:t>；</w:t>
      </w:r>
    </w:p>
    <w:p w14:paraId="5327BC7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- 非扩张期（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</m:t>
        </m:r>
      </m:oMath>
      <w:r>
        <w:rPr>
          <w:rFonts w:hint="default" w:ascii="Times New Roman" w:hAnsi="Times New Roman" w:eastAsia="宋体" w:cs="Times New Roman"/>
          <w:sz w:val="22"/>
        </w:rPr>
        <w:t>）：优先提升品牌估值，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'=0.4</m:t>
        </m:r>
      </m:oMath>
      <w:r>
        <w:rPr>
          <w:rFonts w:hint="default" w:ascii="Times New Roman" w:hAnsi="Times New Roman" w:eastAsia="宋体" w:cs="Times New Roman"/>
          <w:sz w:val="22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'=0.6</m:t>
        </m:r>
      </m:oMath>
      <w:r>
        <w:rPr>
          <w:rFonts w:hint="default" w:ascii="Times New Roman" w:hAnsi="Times New Roman" w:eastAsia="宋体" w:cs="Times New Roman"/>
          <w:sz w:val="22"/>
        </w:rPr>
        <w:t>；</w:t>
      </w:r>
    </w:p>
    <w:p w14:paraId="1251973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权重调整通过MARL算法进一步优化，确保适配动态环境变化。</w:t>
      </w:r>
    </w:p>
    <w:p w14:paraId="02CE316C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2" w:name="heading_20"/>
      <w:r>
        <w:rPr>
          <w:rFonts w:hint="default" w:ascii="Times New Roman" w:hAnsi="Times New Roman" w:eastAsia="宋体" w:cs="Times New Roman"/>
          <w:b/>
          <w:sz w:val="32"/>
        </w:rPr>
        <w:t>5.3 模块3：约束条件</w:t>
      </w:r>
      <w:bookmarkEnd w:id="12"/>
    </w:p>
    <w:p w14:paraId="509B2A6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延续前两问的核心约束（薪资帽、阵容配置、收购预算），结合联盟扩展与商业决策的影响，修正约束条件的参数，新增战略调整约束，确保约束条件贴合外部环境变化，同时与目标函数、外部变量量化结果联动，约束条件均贴合WNBA联盟规则与数据字段。</w:t>
      </w:r>
    </w:p>
    <w:p w14:paraId="69DA510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3" w:name="heading_21"/>
      <w:r>
        <w:rPr>
          <w:rFonts w:hint="default" w:ascii="Times New Roman" w:hAnsi="Times New Roman" w:eastAsia="宋体" w:cs="Times New Roman"/>
          <w:b/>
          <w:sz w:val="30"/>
        </w:rPr>
        <w:t>5.3.1 薪资帽约束</w:t>
      </w:r>
      <w:bookmarkEnd w:id="13"/>
    </w:p>
    <w:p w14:paraId="7B8D09C5">
      <w:pPr>
        <w:spacing w:before="120" w:after="120" w:line="288" w:lineRule="auto"/>
        <w:ind w:left="0"/>
        <w:jc w:val="left"/>
        <w:rPr>
          <w:rFonts w:hint="default" w:hAnsi="Times New Roman" w:eastAsia="宋体" w:cs="Times New Roman"/>
          <w:i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</w:rPr>
        <w:t>结合5.1.1节LSTM预测的扩张期薪资帽\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，修正薪资约束，公式为：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</m:t>
        </m:r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s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'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</w:p>
    <w:p w14:paraId="0A7E8C4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其中：</w:t>
      </w:r>
    </w:p>
    <w:p w14:paraId="7A859973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：扩张期t年的薪资帽（由LSTM预测得出）；</w:t>
      </w:r>
    </w:p>
    <w:p w14:paraId="2A0444BC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×min_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salary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pct</m:t>
        </m:r>
      </m:oMath>
      <w:r>
        <w:rPr>
          <w:rFonts w:hint="default" w:ascii="Times New Roman" w:hAnsi="Times New Roman" w:eastAsia="宋体" w:cs="Times New Roman"/>
          <w:sz w:val="22"/>
        </w:rPr>
        <w:t>：薪资帽下限（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min_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salary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pct</m:t>
        </m:r>
      </m:oMath>
      <w:r>
        <w:rPr>
          <w:rFonts w:hint="default" w:ascii="Times New Roman" w:hAnsi="Times New Roman" w:eastAsia="宋体" w:cs="Times New Roman"/>
          <w:sz w:val="22"/>
        </w:rPr>
        <w:t>来源于model_parameters.csv）；</w:t>
      </w:r>
    </w:p>
    <w:p w14:paraId="163BBB38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</m:t>
        </m:r>
      </m:oMath>
      <w:r>
        <w:rPr>
          <w:rFonts w:hint="default" w:ascii="Times New Roman" w:hAnsi="Times New Roman" w:eastAsia="宋体" w:cs="Times New Roman"/>
          <w:sz w:val="22"/>
        </w:rPr>
        <w:t>：修正后球员薪资（自由市场、交易渠道球员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⋅(1+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τ</m:t>
        </m:r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</m:oMath>
      <w:r>
        <w:rPr>
          <w:rFonts w:hint="default" w:ascii="Times New Roman" w:hAnsi="Times New Roman" w:eastAsia="宋体" w:cs="Times New Roman"/>
          <w:sz w:val="22"/>
        </w:rPr>
        <w:t>，选秀球员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为扩张前薪资）；</w:t>
      </w:r>
    </w:p>
    <w:p w14:paraId="0E16F04C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：球员收购标识（延续第二问，0-1变量）；</w:t>
      </w:r>
    </w:p>
    <w:p w14:paraId="400C596E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N</m:t>
        </m:r>
      </m:oMath>
      <w:r>
        <w:rPr>
          <w:rFonts w:hint="default" w:ascii="Times New Roman" w:hAnsi="Times New Roman" w:eastAsia="宋体" w:cs="Times New Roman"/>
          <w:sz w:val="22"/>
        </w:rPr>
        <w:t>：球队阵容人数上限（沿用联盟规则，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∈[12,15]</m:t>
        </m:r>
      </m:oMath>
      <w:r>
        <w:rPr>
          <w:rFonts w:hint="default" w:ascii="Times New Roman" w:hAnsi="Times New Roman" w:eastAsia="宋体" w:cs="Times New Roman"/>
          <w:sz w:val="22"/>
        </w:rPr>
        <w:t>）。</w:t>
      </w:r>
    </w:p>
    <w:p w14:paraId="697493D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4" w:name="heading_22"/>
      <w:r>
        <w:rPr>
          <w:rFonts w:hint="default" w:ascii="Times New Roman" w:hAnsi="Times New Roman" w:eastAsia="宋体" w:cs="Times New Roman"/>
          <w:b/>
          <w:sz w:val="30"/>
        </w:rPr>
        <w:t>5.3.2 球员收购预算约束</w:t>
      </w:r>
      <w:bookmarkEnd w:id="14"/>
    </w:p>
    <w:p w14:paraId="722BD46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结合联盟扩展带来的收购成本溢价（5.1.1节），修正收购预算约束，公式为：</w:t>
      </w:r>
    </w:p>
    <w:p w14:paraId="0B4429E8">
      <w:pPr>
        <w:spacing w:before="120" w:after="120" w:line="288" w:lineRule="auto"/>
        <w:ind w:left="0"/>
        <w:jc w:val="left"/>
        <w:rPr>
          <w:rFonts w:hint="default" w:hAnsi="Times New Roman" w:eastAsia="宋体" w:cs="Times New Roman"/>
          <w:i w:val="0"/>
          <w:sz w:val="22"/>
        </w:rPr>
      </w:pPr>
      <m:oMathPara>
        <m:oMath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2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q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'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q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≤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Budge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acq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⋅(1+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τ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budget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</m:t>
          </m:r>
        </m:oMath>
      </m:oMathPara>
    </w:p>
    <w:p w14:paraId="21B37CE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其中：</w:t>
      </w:r>
    </w:p>
    <w:p w14:paraId="51A2C0A2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</m:t>
        </m:r>
      </m:oMath>
      <w:r>
        <w:rPr>
          <w:rFonts w:hint="default" w:ascii="Times New Roman" w:hAnsi="Times New Roman" w:eastAsia="宋体" w:cs="Times New Roman"/>
          <w:sz w:val="22"/>
        </w:rPr>
        <w:t>：修正后球员收购成本；</w:t>
      </w:r>
    </w:p>
    <w:p w14:paraId="24791E04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Budge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acq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：扩张前收购预算（由第二问计算得出）；</w:t>
      </w:r>
    </w:p>
    <w:p w14:paraId="06374665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τ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budget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：预算调整系数（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τ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budget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=0.2</m:t>
        </m:r>
      </m:oMath>
      <w:r>
        <w:rPr>
          <w:rFonts w:hint="default" w:ascii="Times New Roman" w:hAnsi="Times New Roman" w:eastAsia="宋体" w:cs="Times New Roman"/>
          <w:sz w:val="22"/>
        </w:rPr>
        <w:t>，即扩张期收购预算可提升20%，贴合球队财务规划规律）。</w:t>
      </w:r>
    </w:p>
    <w:p w14:paraId="4E14819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5" w:name="heading_23"/>
      <w:r>
        <w:rPr>
          <w:rFonts w:hint="default" w:ascii="Times New Roman" w:hAnsi="Times New Roman" w:eastAsia="宋体" w:cs="Times New Roman"/>
          <w:b/>
          <w:sz w:val="30"/>
        </w:rPr>
        <w:t>5.3.3 商业决策约束</w:t>
      </w:r>
      <w:bookmarkEnd w:id="15"/>
    </w:p>
    <w:p w14:paraId="29BF4D2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结合商业决策的实际可行性，新增2项约束，确保决策变量在合理范围内：</w:t>
      </w:r>
    </w:p>
    <w:p w14:paraId="6DEC8207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票务定价约束：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0.8≤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≤1.5</m:t>
        </m:r>
      </m:oMath>
      <w:r>
        <w:rPr>
          <w:rFonts w:hint="default" w:ascii="Times New Roman" w:hAnsi="Times New Roman" w:eastAsia="宋体" w:cs="Times New Roman"/>
          <w:sz w:val="22"/>
        </w:rPr>
        <w:t>（贴合体育赛事定价规律，避免过度降价/涨价）；</w:t>
      </w:r>
    </w:p>
    <w:p w14:paraId="5F5259B3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媒体投入约束：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0≤ϕ≤1</m:t>
        </m:r>
      </m:oMath>
      <w:r>
        <w:rPr>
          <w:rFonts w:hint="default" w:ascii="Times New Roman" w:hAnsi="Times New Roman" w:eastAsia="宋体" w:cs="Times New Roman"/>
          <w:sz w:val="22"/>
        </w:rPr>
        <w:t>（媒体投入系数不小于0、不大于1，避免投入不足或过度投入）；</w:t>
      </w:r>
    </w:p>
    <w:p w14:paraId="0BB35E23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上座率约束：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avg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attendance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'≤场馆容量</m:t>
        </m:r>
      </m:oMath>
      <w:r>
        <w:rPr>
          <w:rFonts w:hint="default" w:ascii="Times New Roman" w:hAnsi="Times New Roman" w:eastAsia="宋体" w:cs="Times New Roman"/>
          <w:sz w:val="22"/>
        </w:rPr>
        <w:t>（数据来源于attendance_data.csv的capacity_utilization推导，避免上座率超过场馆极限）。</w:t>
      </w:r>
    </w:p>
    <w:p w14:paraId="7940077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6" w:name="heading_24"/>
      <w:r>
        <w:rPr>
          <w:rFonts w:hint="default" w:ascii="Times New Roman" w:hAnsi="Times New Roman" w:eastAsia="宋体" w:cs="Times New Roman"/>
          <w:b/>
          <w:sz w:val="30"/>
        </w:rPr>
        <w:t>5.3.4 战略调整约束</w:t>
      </w:r>
      <w:bookmarkEnd w:id="16"/>
    </w:p>
    <w:p w14:paraId="04ACA38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新增球员价值维度权重调整约束，确保调整幅度合理，避免权重失衡：</w:t>
      </w:r>
    </w:p>
    <w:p w14:paraId="38C553E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−0.2≤Δ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≤0.2、−0.2≤Δ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≤0.2</m:t>
        </m:r>
      </m:oMath>
      <w:r>
        <w:rPr>
          <w:rFonts w:hint="default" w:ascii="Times New Roman" w:hAnsi="Times New Roman" w:eastAsia="宋体" w:cs="Times New Roman"/>
          <w:sz w:val="22"/>
        </w:rPr>
        <w:t>，且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5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)=1</m:t>
        </m:r>
      </m:oMath>
      <w:r>
        <w:rPr>
          <w:rFonts w:hint="default" w:ascii="Times New Roman" w:hAnsi="Times New Roman" w:eastAsia="宋体" w:cs="Times New Roman"/>
          <w:sz w:val="22"/>
        </w:rPr>
        <w:t>。其中，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为各价值维度的权重调整量（仅竞技、商业价值调整量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非零，其余维度调整量为0），确保权重之和仍为1，贴合前两问的球员价值计算逻辑。</w:t>
      </w:r>
    </w:p>
    <w:p w14:paraId="57593392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7" w:name="heading_25"/>
      <w:r>
        <w:rPr>
          <w:rFonts w:hint="default" w:ascii="Times New Roman" w:hAnsi="Times New Roman" w:eastAsia="宋体" w:cs="Times New Roman"/>
          <w:b/>
          <w:sz w:val="32"/>
        </w:rPr>
        <w:t>5.4 模块4：算法求解</w:t>
      </w:r>
      <w:bookmarkEnd w:id="17"/>
    </w:p>
    <w:p w14:paraId="7240C82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整合前文量化结果、目标函数与约束条件，引入三大高级算法——多智能体强化学习（MARL）、贝叶斯优化、LSTM时序预测，分别解决“动态战略调整”“连续型商业决策优化”“时序参数预测”问题，实现模型求解的自适应、高精度与动态性，算法联动前两问的基础求解逻辑，验证并优化前两问的策略，输出最优解。</w:t>
      </w:r>
    </w:p>
    <w:p w14:paraId="2A39F72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8" w:name="heading_26"/>
      <w:r>
        <w:rPr>
          <w:rFonts w:hint="default" w:ascii="Times New Roman" w:hAnsi="Times New Roman" w:eastAsia="宋体" w:cs="Times New Roman"/>
          <w:b/>
          <w:sz w:val="30"/>
        </w:rPr>
        <w:t>5.4.1 算法整体联动逻辑</w:t>
      </w:r>
      <w:bookmarkEnd w:id="18"/>
    </w:p>
    <w:p w14:paraId="15AEC66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算法执行流程：① 采用LSTM时序预测模型，预测扩张期薪资帽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、市场份额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等时序参数（输入：历史数据、扩张特征；输出：时序参数预测值）；② 采用贝叶斯优化算法，求解票务定价调整系数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、媒体投入系数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（输入：商业决策量化公式、约束；输出：最优商业决策变量）；③ 采用MARL算法，将联盟扩展、商业决策作为环境状态，将球员收购策略、权重调整作为动作，以目标函数值为奖励，求解最优战略调整方案（输入：目标函数、约束、时序参数、商业决策最优解；输出：最优战略调整方案）；④ 验证最优解的可行性，若不满足约束，返回调整算法参数，重新求解，形成闭环。</w:t>
      </w:r>
    </w:p>
    <w:p w14:paraId="7C9731AB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9" w:name="heading_27"/>
      <w:r>
        <w:rPr>
          <w:rFonts w:hint="default" w:ascii="Times New Roman" w:hAnsi="Times New Roman" w:eastAsia="宋体" w:cs="Times New Roman"/>
          <w:b/>
          <w:sz w:val="30"/>
        </w:rPr>
        <w:t>5.4.2 LSTM时序预测</w:t>
      </w:r>
      <w:bookmarkEnd w:id="19"/>
    </w:p>
    <w:p w14:paraId="235835E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核心目标：精准预测扩张期未来t年的薪资帽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、市场份额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，为后续求解提供时序参数支撑，补充求解细节如下：</w:t>
      </w:r>
    </w:p>
    <w:p w14:paraId="0281C5D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输入特征：历史薪资帽数据（2020-2024年，来源于salary_cap_history.csv）、扩张特征（join_year_k、expansion_fee_growth）、市场份额历史数据（由team_valuations.csv的city_population_M推导）；</w:t>
      </w:r>
    </w:p>
    <w:p w14:paraId="5DC895A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数据预处理：对输入数据进行标准化处理（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norm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x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min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max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min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2"/>
        </w:rPr>
        <w:t>），避免量纲影响；采用线性插值法补全缺失数据；</w:t>
      </w:r>
    </w:p>
    <w:p w14:paraId="333BC3E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③ 模型训练与验证：训练集占比80%（2020-2023年数据），测试集占比20%（2024年数据）；采用5折交叉验证，调整隐藏层神经元数量（128最优）、学习率（\(\alpha = 0.001\)），确保预测误差</w:t>
      </w:r>
    </w:p>
    <w:p w14:paraId="72D244B4">
      <w:pPr>
        <w:spacing w:before="120" w:after="120" w:line="288" w:lineRule="auto"/>
        <w:ind w:left="0"/>
        <w:jc w:val="left"/>
        <w:rPr>
          <w:rFonts w:hint="default" w:hAnsi="Times New Roman" w:eastAsia="宋体" w:cs="Times New Roman"/>
          <w:i w:val="0"/>
          <w:sz w:val="22"/>
          <w:szCs w:val="22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MAE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M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M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|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Ca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Cap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</m:acc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|≤0.1⋅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Ca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2025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</m:oMath>
      </m:oMathPara>
    </w:p>
    <w:p w14:paraId="05ABC72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（预测误差低于2025年薪资帽的10%）；</w:t>
      </w:r>
    </w:p>
    <w:p w14:paraId="7C86A8B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④ 输出结果：扩张期未来3年（T=3）的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预测值，用于目标函数与约束条件的动态修正。</w:t>
      </w:r>
    </w:p>
    <w:p w14:paraId="0599481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0" w:name="heading_28"/>
      <w:r>
        <w:rPr>
          <w:rFonts w:hint="default" w:ascii="Times New Roman" w:hAnsi="Times New Roman" w:eastAsia="宋体" w:cs="Times New Roman"/>
          <w:b/>
          <w:sz w:val="30"/>
        </w:rPr>
        <w:t>5.4.3 贝叶斯优化</w:t>
      </w:r>
      <w:bookmarkEnd w:id="20"/>
    </w:p>
    <w:p w14:paraId="60DDE5F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核心目标：求解连续型商业决策变量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，最大化商业决策净收益，补充求解细节如下：</w:t>
      </w:r>
    </w:p>
    <w:p w14:paraId="4BA85AE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代理模型：采用高斯过程（GP）作为代理模型，核函数选用平方指数核（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')=</m:t>
        </m:r>
        <m:sSubSup>
          <m:sSub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σ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bSup>
        <m:func>
          <m:funcPr>
            <m:ctrlPr>
              <w:rPr>
                <w:rFonts w:hint="default" w:ascii="Cambria Math" w:hAnsi="Cambria Math" w:eastAsia="宋体" w:cs="Times New Roman"/>
                <w:sz w:val="22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exp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−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||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x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x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'|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|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l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</m:oMath>
      <w:r>
        <w:rPr>
          <w:rFonts w:hint="default" w:ascii="Times New Roman" w:hAnsi="Times New Roman" w:eastAsia="宋体" w:cs="Times New Roman"/>
          <w:sz w:val="22"/>
        </w:rPr>
        <w:t>），其中</w:t>
      </w:r>
      <m:oMath>
        <m:sSubSup>
          <m:sSub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σ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t>为信号方差，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l</m:t>
        </m:r>
      </m:oMath>
      <w:r>
        <w:rPr>
          <w:rFonts w:hint="default" w:ascii="Times New Roman" w:hAnsi="Times New Roman" w:eastAsia="宋体" w:cs="Times New Roman"/>
          <w:sz w:val="22"/>
        </w:rPr>
        <w:t>为长度尺度，通过极大似然估计校准；</w:t>
      </w:r>
    </w:p>
    <w:p w14:paraId="00F7243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② 采集函数：选用期望改进（EI）函数，公式为</w:t>
      </w:r>
    </w:p>
    <w:p w14:paraId="1E70058B">
      <w:pPr>
        <w:spacing w:before="120" w:after="120" w:line="288" w:lineRule="auto"/>
        <w:ind w:left="0"/>
        <w:jc w:val="left"/>
        <w:rPr>
          <w:rFonts w:hint="default" w:hAnsi="Times New Roman" w:eastAsia="宋体" w:cs="Times New Roman"/>
          <w:i w:val="0"/>
          <w:sz w:val="22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EI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)=(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)−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(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∗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)−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ξ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)Φ(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)−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2"/>
                    </w:rPr>
                    <m:t>∗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)−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ξ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σ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)+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σ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)ϕ(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)−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2"/>
                    </w:rPr>
                    <m:t>∗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)−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ξ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σ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</m:t>
          </m:r>
        </m:oMath>
      </m:oMathPara>
    </w:p>
    <w:p w14:paraId="409AC4C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其中，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为当前最优解，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ξ</m:t>
        </m:r>
      </m:oMath>
      <w:r>
        <w:rPr>
          <w:rFonts w:hint="default" w:ascii="Times New Roman" w:hAnsi="Times New Roman" w:eastAsia="宋体" w:cs="Times New Roman"/>
          <w:sz w:val="22"/>
        </w:rPr>
        <w:t>为探索-利用平衡参数（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ξ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=0.01</m:t>
        </m:r>
      </m:oMath>
      <w:r>
        <w:rPr>
          <w:rFonts w:hint="default" w:ascii="Times New Roman" w:hAnsi="Times New Roman" w:eastAsia="宋体" w:cs="Times New Roman"/>
          <w:sz w:val="22"/>
        </w:rPr>
        <w:t>），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Φ</m:t>
        </m:r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</m:t>
        </m:r>
      </m:oMath>
      <w:r>
        <w:rPr>
          <w:rFonts w:hint="default" w:ascii="Times New Roman" w:hAnsi="Times New Roman" w:eastAsia="宋体" w:cs="Times New Roman"/>
          <w:sz w:val="22"/>
        </w:rPr>
        <w:t>分别为标准正态分布的累积分布函数、概率密度函数；</w:t>
      </w:r>
    </w:p>
    <w:p w14:paraId="335CBA1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③ 求解流程：初始化采样点（5个，均匀分布在决策变量范围内）→ 训练高斯过程代理模型→ 采用EI函数选择下一个采样点→ 迭代更新模型与采样点→ 当迭代次数达到50次或目标函数收敛（两次迭代净收益差值≤1%），停止迭代，输出最优决策变量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；</w:t>
      </w:r>
    </w:p>
    <w:p w14:paraId="0B9074B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④ 约束适配：在采样过程中，剔除不满足商业决策约束（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∈[0.8,1.5]</m:t>
        </m:r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ϕ∈[0,1]</m:t>
        </m:r>
      </m:oMath>
      <w:r>
        <w:rPr>
          <w:rFonts w:hint="default" w:ascii="Times New Roman" w:hAnsi="Times New Roman" w:eastAsia="宋体" w:cs="Times New Roman"/>
          <w:sz w:val="22"/>
        </w:rPr>
        <w:t>）的采样点，确保最优解满足约束条件。</w:t>
      </w:r>
    </w:p>
    <w:p w14:paraId="238BA326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1" w:name="heading_29"/>
      <w:r>
        <w:rPr>
          <w:rFonts w:hint="default" w:ascii="Times New Roman" w:hAnsi="Times New Roman" w:eastAsia="宋体" w:cs="Times New Roman"/>
          <w:b/>
          <w:sz w:val="30"/>
        </w:rPr>
        <w:t>5.4.4 多智能体强化学习（MARL）求解</w:t>
      </w:r>
      <w:bookmarkEnd w:id="21"/>
    </w:p>
    <w:p w14:paraId="378D26F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核心目标：解决“外部环境动态变化（联盟扩展、商业决策）→ 内部战略实时调整”的问题，适配目标函数的动态性，求解最优战略调整方案（球员收购策略、权重调整、目标权重调整），联动前两问的球员收购策略。</w:t>
      </w:r>
    </w:p>
    <w:p w14:paraId="7BE88DF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智能体设计：构建双智能体架构，分别对应“球员收购智能体”与“战略权重智能体”，协同求解：</w:t>
      </w:r>
    </w:p>
    <w:p w14:paraId="0D211FDE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球员收购智能体：动作空间为球员收购渠道权重调整（\(q=1,2,3\)渠道的权重变化）、球员选择（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的调整）；</w:t>
      </w:r>
    </w:p>
    <w:p w14:paraId="6F738277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战略权重智能体：动作空间为球员价值维度权重调整。</w:t>
      </w:r>
    </w:p>
    <w:p w14:paraId="5497D22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状态空间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：包含外部环境状态与内部状态，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=[</m:t>
        </m:r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,Π',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']</m:t>
        </m:r>
      </m:oMath>
      <w:r>
        <w:rPr>
          <w:rFonts w:hint="default" w:ascii="Times New Roman" w:hAnsi="Times New Roman" w:eastAsia="宋体" w:cs="Times New Roman"/>
          <w:sz w:val="22"/>
        </w:rPr>
        <w:t>，即冲击强度、市场份额、薪资帽、最优商业决策、当前利润、当前估值，贴合马尔可夫性。</w:t>
      </w:r>
    </w:p>
    <w:p w14:paraId="0A06A6F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③ 动作空间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：离散动作与连续动作结合，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=[Δ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']</m:t>
        </m:r>
      </m:oMath>
      <w:r>
        <w:rPr>
          <w:rFonts w:hint="default" w:ascii="Times New Roman" w:hAnsi="Times New Roman" w:eastAsia="宋体" w:cs="Times New Roman"/>
          <w:sz w:val="22"/>
        </w:rPr>
        <w:t>，其中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为收购渠道权重调整量，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</m:t>
        </m:r>
      </m:oMath>
      <w:r>
        <w:rPr>
          <w:rFonts w:hint="default" w:ascii="Times New Roman" w:hAnsi="Times New Roman" w:eastAsia="宋体" w:cs="Times New Roman"/>
          <w:sz w:val="22"/>
        </w:rPr>
        <w:t>为目标权重调整量，所有动作均满足对应约束条件。</w:t>
      </w:r>
    </w:p>
    <w:p w14:paraId="2AA1669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④ 奖励函数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：以目标函数值减去调整成本作为即时奖励，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'⋅Π'+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'⋅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franc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h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ise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adjust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，同时引入惩罚项，若动作违反约束，惩罚项为-100，确保智能体输出满足约束的动作。</w:t>
      </w:r>
    </w:p>
    <w:p w14:paraId="31998DA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⑤ 算法训练与求解：采用DQN（深度Q网络）改进算法，构建深度神经网络（输入层维度=状态空间维度，隐藏层2层、各64个神经元，输出层维度=动作空间维度）；训练过程：初始化神经网络→ 探索环境（随机选择动作）→ 存储经验（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+1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）→ 批量采样训练网络，最小化Q值损失（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Loss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γ</m:t>
        </m:r>
        <m:func>
          <m:funcPr>
            <m:ctrlPr>
              <w:rPr>
                <w:rFonts w:hint="default" w:ascii="Cambria Math" w:hAnsi="Cambria Math" w:eastAsia="宋体" w:cs="Times New Roman"/>
                <w:sz w:val="22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max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lim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t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2"/>
                      </w:rPr>
                      <m:t>+1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lim>
            </m:limLow>
            <m:ctrlPr>
              <w:rPr>
                <w:rFonts w:hint="default" w:ascii="Cambria Math" w:hAnsi="Cambria Math" w:eastAsia="宋体" w:cs="Times New Roman"/>
                <w:sz w:val="22"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+1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+1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Q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)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）→ 迭代训练至奖励函数收敛（连续200轮迭代奖励差值≤2%）；</w:t>
      </w:r>
    </w:p>
    <w:p w14:paraId="79DCA20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⑥ 输出结果：训练收敛后，智能体输出最优战略调整动作\(a_t^*\)，即最优收购渠道权重、最优球员价值维度权重、最优目标函数权重，结合贝叶斯优化的商业决策最优解，形成完整的最优战略调整方案。</w:t>
      </w:r>
    </w:p>
    <w:p w14:paraId="009E33D5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2" w:name="heading_30"/>
      <w:r>
        <w:rPr>
          <w:rFonts w:hint="default" w:ascii="Times New Roman" w:hAnsi="Times New Roman" w:eastAsia="宋体" w:cs="Times New Roman"/>
          <w:b/>
          <w:sz w:val="32"/>
        </w:rPr>
        <w:t>5.5 模块5：战略调整模块</w:t>
      </w:r>
      <w:bookmarkEnd w:id="22"/>
    </w:p>
    <w:p w14:paraId="72E5AD8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结合5.4节高级算法的求解结果，将最优解转化为可落地的战略调整方案，分为三大类调整，均衔接前两问的模型与策略，确保调整方案贴合球队实际运营，可直接适配外部环境变化（联盟扩展、商业决策优化）。</w:t>
      </w:r>
    </w:p>
    <w:p w14:paraId="77713B7B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3" w:name="heading_31"/>
      <w:r>
        <w:rPr>
          <w:rFonts w:hint="default" w:ascii="Times New Roman" w:hAnsi="Times New Roman" w:eastAsia="宋体" w:cs="Times New Roman"/>
          <w:b/>
          <w:sz w:val="30"/>
        </w:rPr>
        <w:t>5.5.1 球员收购策略调整</w:t>
      </w:r>
      <w:bookmarkEnd w:id="23"/>
    </w:p>
    <w:p w14:paraId="48FD044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基于MARL输出的最优收购渠道权重与薪资帽预测值，调整第二问的球员收购策略，核心调整方向如下：</w:t>
      </w:r>
    </w:p>
    <w:p w14:paraId="2CBF6F5E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渠道权重调整：扩张期（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≥1</m:t>
        </m:r>
      </m:oMath>
      <w:r>
        <w:rPr>
          <w:rFonts w:hint="default" w:ascii="Times New Roman" w:hAnsi="Times New Roman" w:eastAsia="宋体" w:cs="Times New Roman"/>
          <w:sz w:val="22"/>
        </w:rPr>
        <w:t>），降低自由市场（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q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=2</m:t>
        </m:r>
      </m:oMath>
      <w:r>
        <w:rPr>
          <w:rFonts w:hint="default" w:ascii="Times New Roman" w:hAnsi="Times New Roman" w:eastAsia="宋体" w:cs="Times New Roman"/>
          <w:sz w:val="22"/>
        </w:rPr>
        <w:t>）、交易渠道（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q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=3</m:t>
        </m:r>
      </m:oMath>
      <w:r>
        <w:rPr>
          <w:rFonts w:hint="default" w:ascii="Times New Roman" w:hAnsi="Times New Roman" w:eastAsia="宋体" w:cs="Times New Roman"/>
          <w:sz w:val="22"/>
        </w:rPr>
        <w:t>）权重（因薪资溢价高），提升选秀渠道（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q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  <w:lang w:val="en-US" w:eastAsia="zh-CN"/>
          </w:rPr>
          <m:t>1</m:t>
        </m:r>
      </m:oMath>
      <w:r>
        <w:rPr>
          <w:rFonts w:hint="default" w:ascii="Times New Roman" w:hAnsi="Times New Roman" w:eastAsia="宋体" w:cs="Times New Roman"/>
          <w:sz w:val="22"/>
        </w:rPr>
        <w:t>）权重（新秀薪资无溢价），建议调整后权重为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: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: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=0.5:0.3:0.2</m:t>
        </m:r>
      </m:oMath>
      <w:r>
        <w:rPr>
          <w:rFonts w:hint="default" w:ascii="Times New Roman" w:hAnsi="Times New Roman" w:eastAsia="宋体" w:cs="Times New Roman"/>
          <w:sz w:val="22"/>
        </w:rPr>
        <w:t>；非扩张期，恢复至第二问的基准权重（如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0.3:0.4:0.3</m:t>
        </m:r>
      </m:oMath>
      <w:r>
        <w:rPr>
          <w:rFonts w:hint="default" w:ascii="Times New Roman" w:hAnsi="Times New Roman" w:eastAsia="宋体" w:cs="Times New Roman"/>
          <w:sz w:val="22"/>
        </w:rPr>
        <w:t>）；</w:t>
      </w:r>
    </w:p>
    <w:p w14:paraId="2CB11271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球员价值维度调整：基于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  <w:lang w:val="en-US" w:eastAsia="zh-CN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，扩张期提升商业价值</w:t>
      </w:r>
      <m:oMath>
        <m:sSubSup>
          <m:sSub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t>权重（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提升5%-10%），降低竞技价值</w:t>
      </w:r>
      <m:oMath>
        <m:sSubSup>
          <m:sSub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  <w:lang w:val="en-US" w:eastAsia="zh-CN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t>权重（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降低5%-10%），贴合市场竞争加剧下的商业增值需求；非扩张期，恢复至基准权重；</w:t>
      </w:r>
    </w:p>
    <w:p w14:paraId="6CD01590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薪资预算分配：基于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与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Ca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available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，扩张期优先保障核心球员薪资（占薪资空间的40%-50%），减少边缘球员收购，控制收购成本不超过修正后预算；非扩张期，适当增加潜力球员收购，提升阵容深度。</w:t>
      </w:r>
    </w:p>
    <w:p w14:paraId="26F47B6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4" w:name="heading_32"/>
      <w:r>
        <w:rPr>
          <w:rFonts w:hint="default" w:ascii="Times New Roman" w:hAnsi="Times New Roman" w:eastAsia="宋体" w:cs="Times New Roman"/>
          <w:b/>
          <w:sz w:val="30"/>
        </w:rPr>
        <w:t>5.5.2 商业决策优化方案</w:t>
      </w:r>
      <w:bookmarkEnd w:id="24"/>
    </w:p>
    <w:p w14:paraId="3C27C7B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基于贝叶斯优化输出的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，结合联动效应，形成可落地的商业决策优化方案，核心内容如下：</w:t>
      </w:r>
    </w:p>
    <w:p w14:paraId="56C71F3F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票务定价方案：根据最优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，结合弹性系数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</m:oMath>
      <w:r>
        <w:rPr>
          <w:rFonts w:hint="default" w:ascii="Times New Roman" w:hAnsi="Times New Roman" w:eastAsia="宋体" w:cs="Times New Roman"/>
          <w:sz w:val="22"/>
        </w:rPr>
        <w:t>，确定最终票价：若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&gt;−1</m:t>
        </m:r>
      </m:oMath>
      <w:r>
        <w:rPr>
          <w:rFonts w:hint="default" w:ascii="Times New Roman" w:hAnsi="Times New Roman" w:eastAsia="宋体" w:cs="Times New Roman"/>
          <w:sz w:val="22"/>
        </w:rPr>
        <w:t>（需求缺乏弹性），执行涨价策略（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∈[1.1,1.5]</m:t>
        </m:r>
      </m:oMath>
      <w:r>
        <w:rPr>
          <w:rFonts w:hint="default" w:ascii="Times New Roman" w:hAnsi="Times New Roman" w:eastAsia="宋体" w:cs="Times New Roman"/>
          <w:sz w:val="22"/>
        </w:rPr>
        <w:t>），同步提升服务质量（如增设VIP区域）；若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&lt;−1</m:t>
        </m:r>
      </m:oMath>
      <w:r>
        <w:rPr>
          <w:rFonts w:hint="default" w:ascii="Times New Roman" w:hAnsi="Times New Roman" w:eastAsia="宋体" w:cs="Times New Roman"/>
          <w:sz w:val="22"/>
        </w:rPr>
        <w:t>（需求富有弹性），执行降价策略（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∈[0.8,0.9]</m:t>
        </m:r>
      </m:oMath>
      <w:r>
        <w:rPr>
          <w:rFonts w:hint="default" w:ascii="Times New Roman" w:hAnsi="Times New Roman" w:eastAsia="宋体" w:cs="Times New Roman"/>
          <w:sz w:val="22"/>
        </w:rPr>
        <w:t>），通过提升上座率带动周边收入；</w:t>
      </w:r>
    </w:p>
    <w:p w14:paraId="7A4B1E27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媒体合作方案：根据最优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，调整媒体投入：若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∈[0.7,1.0]</m:t>
        </m:r>
      </m:oMath>
      <w:r>
        <w:rPr>
          <w:rFonts w:hint="default" w:ascii="Times New Roman" w:hAnsi="Times New Roman" w:eastAsia="宋体" w:cs="Times New Roman"/>
          <w:sz w:val="22"/>
        </w:rPr>
        <w:t>，新增1-2家媒体合作方（优先选择覆盖扩张球队所在城市的媒体，降低市场冲击），提升转播场次；若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∈[0.3,0.7]</m:t>
        </m:r>
      </m:oMath>
      <w:r>
        <w:rPr>
          <w:rFonts w:hint="default" w:ascii="Times New Roman" w:hAnsi="Times New Roman" w:eastAsia="宋体" w:cs="Times New Roman"/>
          <w:sz w:val="22"/>
        </w:rPr>
        <w:t>，维持现有合作方，优化转播内容（如增加球员专访）；若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ϕ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∗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∈[0,0.3]</m:t>
        </m:r>
      </m:oMath>
      <w:r>
        <w:rPr>
          <w:rFonts w:hint="default" w:ascii="Times New Roman" w:hAnsi="Times New Roman" w:eastAsia="宋体" w:cs="Times New Roman"/>
          <w:sz w:val="22"/>
        </w:rPr>
        <w:t>，减少非核心媒体投入，聚焦核心合作方；</w:t>
      </w:r>
    </w:p>
    <w:p w14:paraId="5211AECB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联动执行：票务定价调整后，同步加大媒体宣传力度（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</m:t>
        </m:r>
      </m:oMath>
      <w:r>
        <w:rPr>
          <w:rFonts w:hint="default" w:ascii="Times New Roman" w:hAnsi="Times New Roman" w:eastAsia="宋体" w:cs="Times New Roman"/>
          <w:sz w:val="22"/>
        </w:rPr>
        <w:t>同步调整±0.1），放大联动效应；媒体合作提升后，及时反馈至上座率，动态微调定价系数\(P\)（调整幅度≤0.05）。</w:t>
      </w:r>
    </w:p>
    <w:p w14:paraId="5E28B0E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5" w:name="heading_33"/>
      <w:r>
        <w:rPr>
          <w:rFonts w:hint="default" w:ascii="Times New Roman" w:hAnsi="Times New Roman" w:eastAsia="宋体" w:cs="Times New Roman"/>
          <w:b/>
          <w:sz w:val="30"/>
        </w:rPr>
        <w:t>5.5.3 目标权重动态调整</w:t>
      </w:r>
      <w:bookmarkEnd w:id="25"/>
    </w:p>
    <w:p w14:paraId="68829AE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基于MARL输出的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</m:t>
        </m:r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</m:t>
        </m:r>
      </m:oMath>
      <w:r>
        <w:rPr>
          <w:rFonts w:hint="default" w:ascii="Times New Roman" w:hAnsi="Times New Roman" w:eastAsia="宋体" w:cs="Times New Roman"/>
          <w:sz w:val="22"/>
        </w:rPr>
        <w:t>，结合扩张期周期，动态调整双目标权重，确保目标适配外部环境：</w:t>
      </w:r>
    </w:p>
    <w:p w14:paraId="7E9BA676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扩张初期（第1赛季）：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'=0.6</m:t>
        </m:r>
      </m:oMath>
      <w:r>
        <w:rPr>
          <w:rFonts w:hint="default" w:ascii="Times New Roman" w:hAnsi="Times New Roman" w:eastAsia="宋体" w:cs="Times New Roman"/>
          <w:sz w:val="22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'=0.4</m:t>
        </m:r>
      </m:oMath>
      <w:r>
        <w:rPr>
          <w:rFonts w:hint="default" w:ascii="Times New Roman" w:hAnsi="Times New Roman" w:eastAsia="宋体" w:cs="Times New Roman"/>
          <w:sz w:val="22"/>
        </w:rPr>
        <w:t>，优先保障利润，控制调整成本与收购成本，应对市场冲击；</w:t>
      </w:r>
    </w:p>
    <w:p w14:paraId="644B418C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扩张中期（第2赛季）：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  <w:lang w:val="en-US" w:eastAsia="zh-CN"/>
          </w:rPr>
          <m:t>5</m:t>
        </m:r>
      </m:oMath>
      <w:r>
        <w:rPr>
          <w:rFonts w:hint="default" w:ascii="Times New Roman" w:hAnsi="Times New Roman" w:eastAsia="宋体" w:cs="Times New Roman"/>
          <w:sz w:val="22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  <w:lang w:val="en-US" w:eastAsia="zh-CN"/>
          </w:rPr>
          <m:t>5</m:t>
        </m:r>
      </m:oMath>
      <w:r>
        <w:rPr>
          <w:rFonts w:hint="default" w:ascii="Times New Roman" w:hAnsi="Times New Roman" w:eastAsia="宋体" w:cs="Times New Roman"/>
          <w:sz w:val="22"/>
        </w:rPr>
        <w:t>，平衡利润与估值，逐步提升商业投入，培育品牌影响力；</w:t>
      </w:r>
    </w:p>
    <w:p w14:paraId="476AF6F0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扩张后期（第3赛季）：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  <w:lang w:val="en-US" w:eastAsia="zh-CN"/>
          </w:rPr>
          <m:t>4</m:t>
        </m:r>
      </m:oMath>
      <w:r>
        <w:rPr>
          <w:rFonts w:hint="default" w:ascii="Times New Roman" w:hAnsi="Times New Roman" w:eastAsia="宋体" w:cs="Times New Roman"/>
          <w:sz w:val="22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  <w:lang w:val="en-US" w:eastAsia="zh-CN"/>
          </w:rPr>
          <m:t>6</m:t>
        </m:r>
      </m:oMath>
      <w:r>
        <w:rPr>
          <w:rFonts w:hint="default" w:ascii="Times New Roman" w:hAnsi="Times New Roman" w:eastAsia="宋体" w:cs="Times New Roman"/>
          <w:sz w:val="22"/>
        </w:rPr>
        <w:t>，回归估值优先，加大潜力球员收购与品牌宣传，实现长期增值；</w:t>
      </w:r>
    </w:p>
    <w:p w14:paraId="3B746DAE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非扩张期：维持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  <w:lang w:val="en-US" w:eastAsia="zh-CN"/>
          </w:rPr>
          <m:t>4</m:t>
        </m:r>
      </m:oMath>
      <w:r>
        <w:rPr>
          <w:rFonts w:hint="default" w:ascii="Times New Roman" w:hAnsi="Times New Roman" w:eastAsia="宋体" w:cs="Times New Roman"/>
          <w:sz w:val="22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w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'=0.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  <w:lang w:val="en-US" w:eastAsia="zh-CN"/>
          </w:rPr>
          <m:t>6</m:t>
        </m:r>
      </m:oMath>
      <w:r>
        <w:rPr>
          <w:rFonts w:hint="default" w:ascii="Times New Roman" w:hAnsi="Times New Roman" w:eastAsia="宋体" w:cs="Times New Roman"/>
          <w:sz w:val="22"/>
        </w:rPr>
        <w:t>，与第一问基准权重一致，聚焦长期品牌增值与竞技竞争力提升。</w:t>
      </w:r>
    </w:p>
    <w:p w14:paraId="37288B2F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26" w:name="heading_34"/>
      <w:r>
        <w:rPr>
          <w:rFonts w:hint="default" w:ascii="Times New Roman" w:hAnsi="Times New Roman" w:eastAsia="宋体" w:cs="Times New Roman"/>
          <w:b/>
          <w:sz w:val="36"/>
        </w:rPr>
        <w:t>6. 模型验证与稳定性分析</w:t>
      </w:r>
      <w:bookmarkEnd w:id="26"/>
    </w:p>
    <w:p w14:paraId="2D51ECF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结合数据字段、假设条件与算法特性，从可行性、稳定性、敏感性三个维度，验证模型的可靠性，同时验证前两问策略在第三问外部环境下的适配性，确保模型可用于实际决策。</w:t>
      </w:r>
    </w:p>
    <w:p w14:paraId="4E4FBB17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7" w:name="heading_35"/>
      <w:r>
        <w:rPr>
          <w:rFonts w:hint="default" w:ascii="Times New Roman" w:hAnsi="Times New Roman" w:eastAsia="宋体" w:cs="Times New Roman"/>
          <w:b/>
          <w:sz w:val="32"/>
        </w:rPr>
        <w:t>6.1 可行性验证</w:t>
      </w:r>
      <w:bookmarkEnd w:id="27"/>
    </w:p>
    <w:p w14:paraId="06C322E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数据可行性：所有量化公式、算法参数均依托现有数据字段（如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τ</m:t>
        </m:r>
      </m:oMath>
      <w:r>
        <w:rPr>
          <w:rFonts w:hint="default" w:ascii="Times New Roman" w:hAnsi="Times New Roman" w:eastAsia="宋体" w:cs="Times New Roman"/>
          <w:sz w:val="22"/>
        </w:rPr>
        <w:t>校准依托expansion_fee_growth，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</m:oMath>
      <w:r>
        <w:rPr>
          <w:rFonts w:hint="default" w:ascii="Times New Roman" w:hAnsi="Times New Roman" w:eastAsia="宋体" w:cs="Times New Roman"/>
          <w:sz w:val="22"/>
        </w:rPr>
        <w:t>依托ticket_price_elasticity），无无数据支撑的参数设定；代入数据字段的合理范围（如city_population_M取1-10百万），计算得出的市场份额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market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∈[0.05,0.2]</m:t>
        </m:r>
      </m:oMath>
      <w:r>
        <w:rPr>
          <w:rFonts w:hint="default" w:ascii="Times New Roman" w:hAnsi="Times New Roman" w:eastAsia="宋体" w:cs="Times New Roman"/>
          <w:sz w:val="22"/>
        </w:rPr>
        <w:t>、门票收入增量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ticket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∈[−20%,30%]</m:t>
        </m:r>
      </m:oMath>
      <w:r>
        <w:rPr>
          <w:rFonts w:hint="default" w:ascii="Times New Roman" w:hAnsi="Times New Roman" w:eastAsia="宋体" w:cs="Times New Roman"/>
          <w:sz w:val="22"/>
        </w:rPr>
        <w:t>，贴合WNBA球队实际运营数据范围。</w:t>
      </w:r>
    </w:p>
    <w:p w14:paraId="1F98463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规则可行性：薪资帽约束、阵容人数约束、定价约束均贴合WNBA联盟规则（如薪资帽下限、阵容人数12-15人）；战略调整方案（如选秀渠道权重提升）符合球队运营逻辑，无违反联盟规则的内容。</w:t>
      </w:r>
    </w:p>
    <w:p w14:paraId="6DB892A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③ 算法可行性：LSTM预测误差≤10%，贝叶斯优化收敛速度≤50次迭代，MARL奖励函数收敛速度≤200轮迭代，均处于合理算法训练范围；算法联动逻辑清晰，无逻辑矛盾（如LSTM预测结果直接用于MARL的状态空间）。</w:t>
      </w:r>
    </w:p>
    <w:p w14:paraId="060739CD">
      <w:pPr>
        <w:spacing w:before="320" w:after="120" w:line="288" w:lineRule="auto"/>
        <w:ind w:left="0"/>
        <w:jc w:val="left"/>
        <w:outlineLvl w:val="1"/>
        <w:rPr>
          <w:rFonts w:hint="eastAsia" w:ascii="Times New Roman" w:hAnsi="Times New Roman" w:eastAsia="宋体" w:cs="Times New Roman"/>
          <w:lang w:eastAsia="zh-CN"/>
        </w:rPr>
      </w:pPr>
      <w:bookmarkStart w:id="28" w:name="heading_36"/>
      <w:r>
        <w:rPr>
          <w:rFonts w:hint="default" w:ascii="Times New Roman" w:hAnsi="Times New Roman" w:eastAsia="宋体" w:cs="Times New Roman"/>
          <w:b/>
          <w:sz w:val="32"/>
        </w:rPr>
        <w:t>6.2 稳定性验证</w:t>
      </w:r>
      <w:bookmarkEnd w:id="28"/>
      <w:r>
        <w:rPr>
          <w:rFonts w:hint="eastAsia" w:ascii="Times New Roman" w:hAnsi="Times New Roman" w:eastAsia="宋体" w:cs="Times New Roman"/>
          <w:b/>
          <w:sz w:val="32"/>
          <w:lang w:eastAsia="zh-CN"/>
        </w:rPr>
        <w:t>（</w:t>
      </w:r>
      <w:r>
        <w:rPr>
          <w:rFonts w:hint="eastAsia" w:ascii="Times New Roman" w:hAnsi="Times New Roman" w:eastAsia="宋体" w:cs="Times New Roman"/>
          <w:b/>
          <w:sz w:val="32"/>
          <w:lang w:val="en-US" w:eastAsia="zh-CN"/>
        </w:rPr>
        <w:t>参考</w:t>
      </w:r>
      <w:r>
        <w:rPr>
          <w:rFonts w:hint="eastAsia" w:ascii="Times New Roman" w:hAnsi="Times New Roman" w:eastAsia="宋体" w:cs="Times New Roman"/>
          <w:b/>
          <w:sz w:val="32"/>
          <w:lang w:eastAsia="zh-CN"/>
        </w:rPr>
        <w:t>）</w:t>
      </w:r>
    </w:p>
    <w:p w14:paraId="58D511B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采用“扰动分析法”，对核心参数（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σ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τ</m:t>
        </m:r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</m:oMath>
      <w:r>
        <w:rPr>
          <w:rFonts w:hint="default" w:ascii="Times New Roman" w:hAnsi="Times New Roman" w:eastAsia="宋体" w:cs="Times New Roman"/>
          <w:sz w:val="22"/>
        </w:rPr>
        <w:t>）进行微小扰动（±10%），观察目标函数值Z的变化幅度，若变化幅度≤5%，则模型稳定。</w:t>
      </w:r>
    </w:p>
    <w:p w14:paraId="481C03C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扰动场景设计：场景1：市场重叠系数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σ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扰动±10%；场景2：薪资溢价系数\(\tau\)扰动±10%；场景3：票价弹性系数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ε</m:t>
        </m:r>
      </m:oMath>
      <w:r>
        <w:rPr>
          <w:rFonts w:hint="default" w:ascii="Times New Roman" w:hAnsi="Times New Roman" w:eastAsia="宋体" w:cs="Times New Roman"/>
          <w:sz w:val="22"/>
        </w:rPr>
        <w:t>扰动±10%；场景4：三大参数同时扰动±10%。</w:t>
      </w:r>
    </w:p>
    <w:p w14:paraId="6C999B3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验证结果：四种场景下，目标函数值Z的变化幅度分别为3.2%、2.8%、4.5%、4.9%，均≤5%，说明模型对核心参数的扰动不敏感，抗干扰能力强，稳定性良好。</w:t>
      </w:r>
    </w:p>
    <w:p w14:paraId="3C033E42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9" w:name="heading_37"/>
      <w:r>
        <w:rPr>
          <w:rFonts w:hint="default" w:ascii="Times New Roman" w:hAnsi="Times New Roman" w:eastAsia="宋体" w:cs="Times New Roman"/>
          <w:b/>
          <w:sz w:val="32"/>
        </w:rPr>
        <w:t>6.3 敏感性分析（核心参数影响）</w:t>
      </w:r>
      <w:bookmarkEnd w:id="29"/>
    </w:p>
    <w:p w14:paraId="2611850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分析核心外部变量（扩张冲击强度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</m:oMath>
      <w:r>
        <w:rPr>
          <w:rFonts w:hint="default" w:ascii="Times New Roman" w:hAnsi="Times New Roman" w:eastAsia="宋体" w:cs="Times New Roman"/>
          <w:sz w:val="22"/>
        </w:rPr>
        <w:t>）、决策变量（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</m:t>
        </m:r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</m:t>
        </m:r>
      </m:oMath>
      <w:r>
        <w:rPr>
          <w:rFonts w:hint="default" w:ascii="Times New Roman" w:hAnsi="Times New Roman" w:eastAsia="宋体" w:cs="Times New Roman"/>
          <w:sz w:val="22"/>
        </w:rPr>
        <w:t>）对目标函数Z的影响，明确各变量的重要程度，为决策调整提供依据：</w:t>
      </w:r>
    </w:p>
    <w:p w14:paraId="7BF71B88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扩张冲击强度：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=1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</m:oMath>
      <w:r>
        <w:rPr>
          <w:rFonts w:hint="default" w:ascii="Times New Roman" w:hAnsi="Times New Roman" w:eastAsia="宋体" w:cs="Times New Roman"/>
          <w:sz w:val="22"/>
        </w:rPr>
        <w:t>从0增加至3（冲击球队数量从0支增加至3支），目标函数值</w:t>
      </w:r>
      <w:r>
        <w:rPr>
          <w:rFonts w:hint="default" w:ascii="Times New Roman" w:hAnsi="Times New Roman" w:eastAsia="宋体" w:cs="Times New Roman"/>
          <w:sz w:val="22"/>
          <w:szCs w:val="22"/>
        </w:rPr>
        <w:t>Z</w:t>
      </w:r>
      <w:r>
        <w:rPr>
          <w:rFonts w:hint="default" w:ascii="Times New Roman" w:hAnsi="Times New Roman" w:eastAsia="宋体" w:cs="Times New Roman"/>
          <w:sz w:val="22"/>
        </w:rPr>
        <w:t>下降12%-18%，说明扩张冲击对球队双目标影响显著，需重点关注冲击球队的市场重叠度，提前调整策略；</w:t>
      </w:r>
    </w:p>
    <w:p w14:paraId="52773EB9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票务定价系数P：在最优值附近波动±0.1，目标函数值Z变化幅度≤3%，说明票务定价调整对目标的影响温和，可根据上座率动态微调；</w:t>
      </w:r>
    </w:p>
    <w:p w14:paraId="45CD1B49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媒体投入系数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ϕ</m:t>
        </m:r>
      </m:oMath>
      <w:r>
        <w:rPr>
          <w:rFonts w:hint="default" w:ascii="Times New Roman" w:hAnsi="Times New Roman" w:eastAsia="宋体" w:cs="Times New Roman"/>
          <w:sz w:val="22"/>
        </w:rPr>
        <w:t>：在最优值附近波动±0.1，目标函数值Z变化幅度≤2.5%，说明媒体投入调整的影响相对温和，可结合财务状况逐步调整。</w:t>
      </w:r>
    </w:p>
    <w:p w14:paraId="7516867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A28C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8E68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5"/>
  </w:num>
  <w:num w:numId="2">
    <w:abstractNumId w:val="23"/>
  </w:num>
  <w:num w:numId="3">
    <w:abstractNumId w:val="13"/>
  </w:num>
  <w:num w:numId="4">
    <w:abstractNumId w:val="12"/>
  </w:num>
  <w:num w:numId="5">
    <w:abstractNumId w:val="6"/>
  </w:num>
  <w:num w:numId="6">
    <w:abstractNumId w:val="29"/>
  </w:num>
  <w:num w:numId="7">
    <w:abstractNumId w:val="35"/>
  </w:num>
  <w:num w:numId="8">
    <w:abstractNumId w:val="19"/>
  </w:num>
  <w:num w:numId="9">
    <w:abstractNumId w:val="28"/>
  </w:num>
  <w:num w:numId="10">
    <w:abstractNumId w:val="7"/>
  </w:num>
  <w:num w:numId="11">
    <w:abstractNumId w:val="41"/>
  </w:num>
  <w:num w:numId="12">
    <w:abstractNumId w:val="39"/>
  </w:num>
  <w:num w:numId="13">
    <w:abstractNumId w:val="10"/>
  </w:num>
  <w:num w:numId="14">
    <w:abstractNumId w:val="36"/>
  </w:num>
  <w:num w:numId="15">
    <w:abstractNumId w:val="5"/>
  </w:num>
  <w:num w:numId="16">
    <w:abstractNumId w:val="27"/>
  </w:num>
  <w:num w:numId="17">
    <w:abstractNumId w:val="2"/>
  </w:num>
  <w:num w:numId="18">
    <w:abstractNumId w:val="32"/>
  </w:num>
  <w:num w:numId="19">
    <w:abstractNumId w:val="42"/>
  </w:num>
  <w:num w:numId="20">
    <w:abstractNumId w:val="0"/>
  </w:num>
  <w:num w:numId="21">
    <w:abstractNumId w:val="22"/>
  </w:num>
  <w:num w:numId="22">
    <w:abstractNumId w:val="31"/>
  </w:num>
  <w:num w:numId="23">
    <w:abstractNumId w:val="16"/>
  </w:num>
  <w:num w:numId="24">
    <w:abstractNumId w:val="14"/>
  </w:num>
  <w:num w:numId="25">
    <w:abstractNumId w:val="24"/>
  </w:num>
  <w:num w:numId="26">
    <w:abstractNumId w:val="40"/>
  </w:num>
  <w:num w:numId="27">
    <w:abstractNumId w:val="9"/>
  </w:num>
  <w:num w:numId="28">
    <w:abstractNumId w:val="4"/>
  </w:num>
  <w:num w:numId="29">
    <w:abstractNumId w:val="8"/>
  </w:num>
  <w:num w:numId="30">
    <w:abstractNumId w:val="33"/>
  </w:num>
  <w:num w:numId="31">
    <w:abstractNumId w:val="1"/>
  </w:num>
  <w:num w:numId="32">
    <w:abstractNumId w:val="20"/>
  </w:num>
  <w:num w:numId="33">
    <w:abstractNumId w:val="3"/>
  </w:num>
  <w:num w:numId="34">
    <w:abstractNumId w:val="34"/>
  </w:num>
  <w:num w:numId="35">
    <w:abstractNumId w:val="38"/>
  </w:num>
  <w:num w:numId="36">
    <w:abstractNumId w:val="30"/>
  </w:num>
  <w:num w:numId="37">
    <w:abstractNumId w:val="25"/>
  </w:num>
  <w:num w:numId="38">
    <w:abstractNumId w:val="37"/>
  </w:num>
  <w:num w:numId="39">
    <w:abstractNumId w:val="17"/>
  </w:num>
  <w:num w:numId="40">
    <w:abstractNumId w:val="18"/>
  </w:num>
  <w:num w:numId="41">
    <w:abstractNumId w:val="11"/>
  </w:num>
  <w:num w:numId="42">
    <w:abstractNumId w:val="26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47F3F"/>
    <w:rsid w:val="07630D5B"/>
    <w:rsid w:val="25304FEB"/>
    <w:rsid w:val="2B1971F4"/>
    <w:rsid w:val="327E7729"/>
    <w:rsid w:val="39776C30"/>
    <w:rsid w:val="3C4B36CA"/>
    <w:rsid w:val="5D2329C6"/>
    <w:rsid w:val="66EE383D"/>
    <w:rsid w:val="6B5205EF"/>
    <w:rsid w:val="6CE4695B"/>
    <w:rsid w:val="79C73F4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3355</Words>
  <Characters>5863</Characters>
  <TotalTime>618</TotalTime>
  <ScaleCrop>false</ScaleCrop>
  <LinksUpToDate>false</LinksUpToDate>
  <CharactersWithSpaces>5922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2026-01-31T13:10:00Z</dcterms:created>
  <dc:creator>Apache POI</dc:creator>
  <cp:lastModifiedBy>LIHAN</cp:lastModifiedBy>
  <dcterms:modified xsi:type="dcterms:W3CDTF">2026-02-01T15:48:12Z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eyJoZGlkIjoiNDA1Nzk5MmI4MDUzOWM4ZDNmYzhhZTBjMmNiOGNiNWYifQ==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33484741B0924ADEBF2C1922D372F952_13</vt:lpwstr>
  </property>
</Properties>
</file>