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1"/>
        </w:rPr>
        <w:t>儿童学习成长系统 V2.0</w:t>
        <w:br/>
        <w:t>研发进场冻结基线 V1.3.1</w:t>
      </w:r>
    </w:p>
    <w:p>
      <w:pPr>
        <w:jc w:val="center"/>
      </w:pPr>
      <w:r>
        <w:rPr>
          <w:sz w:val="21"/>
        </w:rPr>
        <w:t>版本日期：2026-09-28</w:t>
      </w:r>
    </w:p>
    <w:p>
      <w:pPr>
        <w:jc w:val="center"/>
      </w:pPr>
      <w:r>
        <w:rPr>
          <w:sz w:val="21"/>
        </w:rPr>
        <w:t>文档状态：唯一研发基线（V1.3及更早版本均被本版取代）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1. 基线目的与适用范围</w:t>
      </w:r>
    </w:p>
    <w:p>
      <w:r>
        <w:rPr>
          <w:rFonts w:ascii="Noto Sans CJK SC" w:hAnsi="Noto Sans CJK SC" w:eastAsia="Noto Sans CJK SC" w:cs="Noto Sans CJK SC"/>
          <w:sz w:val="21"/>
        </w:rPr>
        <w:t>本文件用于冻结MVP研发进场前仍可能导致实现分叉的关键口径。研发从本版起不再从历史方案文档反推数据库、接口、错误码、Mastery算法或DeepTutor扩展方式。</w:t>
      </w:r>
    </w:p>
    <w:p>
      <w:r>
        <w:rPr>
          <w:sz w:val="21"/>
        </w:rPr>
        <w:t>本版延续已关闭的两项非阻塞灰灯：GRAY-01 learning_plan/FK一致性、GRAY-02 历史文档归档；唯一架构红灯仍为 GATE-R0-SPI。新增 GATE-XLSX-CACHE 作为研发资产预提交硬门：不阻塞业务研发，但阻塞任何更新后的 Backlog XLSX 提交/发布。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2. SSOT（Single Source of Truth）冻结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领域</w:t>
            </w:r>
          </w:p>
        </w:tc>
        <w:tc>
          <w:tcPr>
            <w:tcW w:type="dxa" w:w="2880"/>
          </w:tcPr>
          <w:p>
            <w:r>
              <w:t>唯一真相源</w:t>
            </w:r>
          </w:p>
        </w:tc>
        <w:tc>
          <w:tcPr>
            <w:tcW w:type="dxa" w:w="2880"/>
          </w:tcPr>
          <w:p>
            <w:r>
              <w:t>规则</w:t>
            </w:r>
          </w:p>
        </w:tc>
      </w:tr>
      <w:tr>
        <w:tc>
          <w:tcPr>
            <w:tcW w:type="dxa" w:w="2880"/>
          </w:tcPr>
          <w:p>
            <w:r>
              <w:t>数据库实体/字段/约束</w:t>
            </w:r>
          </w:p>
        </w:tc>
        <w:tc>
          <w:tcPr>
            <w:tcW w:type="dxa" w:w="2880"/>
          </w:tcPr>
          <w:p>
            <w:r>
              <w:t>01_schema_postgresql_v1.3.1.sql</w:t>
            </w:r>
          </w:p>
        </w:tc>
        <w:tc>
          <w:tcPr>
            <w:tcW w:type="dxa" w:w="2880"/>
          </w:tcPr>
          <w:p>
            <w:r>
              <w:t>snake_case为唯一实现命名；领域文档中的PascalCase仅作概念展示</w:t>
            </w:r>
          </w:p>
        </w:tc>
      </w:tr>
      <w:tr>
        <w:tc>
          <w:tcPr>
            <w:tcW w:type="dxa" w:w="2880"/>
          </w:tcPr>
          <w:p>
            <w:r>
              <w:t>HTTP/API契约与错误返回</w:t>
            </w:r>
          </w:p>
        </w:tc>
        <w:tc>
          <w:tcPr>
            <w:tcW w:type="dxa" w:w="2880"/>
          </w:tcPr>
          <w:p>
            <w:r>
              <w:t>02_openapi_v1.3.1.yaml</w:t>
            </w:r>
          </w:p>
        </w:tc>
        <w:tc>
          <w:tcPr>
            <w:tcW w:type="dxa" w:w="2880"/>
          </w:tcPr>
          <w:p>
            <w:r>
              <w:t>请求、响应、系统错误码以OpenAPI为准</w:t>
            </w:r>
          </w:p>
        </w:tc>
      </w:tr>
      <w:tr>
        <w:tc>
          <w:tcPr>
            <w:tcW w:type="dxa" w:w="2880"/>
          </w:tcPr>
          <w:p>
            <w:r>
              <w:t>Gate与冻结算法</w:t>
            </w:r>
          </w:p>
        </w:tc>
        <w:tc>
          <w:tcPr>
            <w:tcW w:type="dxa" w:w="2880"/>
          </w:tcPr>
          <w:p>
            <w:r>
              <w:t>本冻结基线 + ADR-0001</w:t>
            </w:r>
          </w:p>
        </w:tc>
        <w:tc>
          <w:tcPr>
            <w:tcW w:type="dxa" w:w="2880"/>
          </w:tcPr>
          <w:p>
            <w:r>
              <w:t>Core Patch、Mastery、错误码分层、变更控制以冻结基线/ADR为准</w:t>
            </w:r>
          </w:p>
        </w:tc>
      </w:tr>
      <w:tr>
        <w:tc>
          <w:tcPr>
            <w:tcW w:type="dxa" w:w="2880"/>
          </w:tcPr>
          <w:p>
            <w:r>
              <w:t>排期/Story</w:t>
            </w:r>
          </w:p>
        </w:tc>
        <w:tc>
          <w:tcPr>
            <w:tcW w:type="dxa" w:w="2880"/>
          </w:tcPr>
          <w:p>
            <w:r>
              <w:t>05_Sprint_Backlog_v1.3.1.xlsx</w:t>
            </w:r>
          </w:p>
        </w:tc>
        <w:tc>
          <w:tcPr>
            <w:tcW w:type="dxa" w:w="2880"/>
          </w:tcPr>
          <w:p>
            <w:r>
              <w:t>Summary从Backlog明细用公式自动汇总，禁止手工改数</w:t>
            </w:r>
          </w:p>
        </w:tc>
      </w:tr>
      <w:tr>
        <w:tc>
          <w:tcPr>
            <w:tcW w:type="dxa" w:w="2880"/>
          </w:tcPr>
          <w:p>
            <w:r>
              <w:t>历史方案DOCX</w:t>
            </w:r>
          </w:p>
        </w:tc>
        <w:tc>
          <w:tcPr>
            <w:tcW w:type="dxa" w:w="2880"/>
          </w:tcPr>
          <w:p>
            <w:r>
              <w:t>HISTORICAL_DOCS_SUPERSEDED_V1.3.1.md</w:t>
            </w:r>
          </w:p>
        </w:tc>
        <w:tc>
          <w:tcPr>
            <w:tcW w:type="dxa" w:w="2880"/>
          </w:tcPr>
          <w:p>
            <w:r>
              <w:t>全部为Superseded/背景参考，不得作为实现依据</w:t>
            </w:r>
          </w:p>
        </w:tc>
      </w:tr>
      <w:tr>
        <w:tc>
          <w:tcPr>
            <w:tcW w:type="dxa" w:w="2880"/>
          </w:tcPr>
          <w:p>
            <w:r>
              <w:t>Backlog缓存一致性校验</w:t>
            </w:r>
          </w:p>
        </w:tc>
        <w:tc>
          <w:tcPr>
            <w:tcW w:type="dxa" w:w="2880"/>
          </w:tcPr>
          <w:p>
            <w:r>
              <w:t>06_validate_backlog_summary_cache.py</w:t>
            </w:r>
          </w:p>
        </w:tc>
        <w:tc>
          <w:tcPr>
            <w:tcW w:type="dxa" w:w="2880"/>
          </w:tcPr>
          <w:p>
            <w:r>
              <w:t>提交/发布前独立复算Backlog并核对Summary缓存值；退出码必须为0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3. Gate状态总表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阻塞范围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本版结论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关闭条件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GATE-R0-SPI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RED / HARD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E3 Agent Integration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待Spike实证；Core Patch=0目前是架构目标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E0-01 + E0-01A完成并形成ADR结论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P0-MASTERY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GREEN / FROZEN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E2-03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权重、证据来源、窗口、最小证据量已冻结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规则回放测试纳入E8-01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P0-ERROR-CODE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GREEN / FROZEN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API/Agent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系统错误码与教育诊断码已分层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OpenAPI集成测试无漂移码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GRAY-01 learning_plan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CLOSED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不阻塞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DDL已补表并建立同child复合FK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迁移测试验证约束存在</w:t>
            </w:r>
          </w:p>
        </w:tc>
      </w:tr>
      <w:tr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GRAY-02 历史文档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CLOSED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不阻塞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 w:cs="Noto Sans CJK SC"/>
              </w:rPr>
              <w:t>已由归档清单正式宣布Superseded</w:t>
            </w:r>
          </w:p>
        </w:tc>
        <w:tc>
          <w:tcPr>
            <w:tcW w:type="dxa" w:w="1728"/>
          </w:tcPr>
          <w:p>
            <w:r>
              <w:t>新研发仅使用V1.3.1 SSOT</w:t>
            </w:r>
          </w:p>
        </w:tc>
      </w:tr>
      <w:tr>
        <w:tc>
          <w:tcPr>
            <w:tcW w:type="dxa" w:w="1728"/>
          </w:tcPr>
          <w:p>
            <w:r>
              <w:t>GATE-XLSX-CACHE</w:t>
            </w:r>
          </w:p>
        </w:tc>
        <w:tc>
          <w:tcPr>
            <w:tcW w:type="dxa" w:w="1728"/>
          </w:tcPr>
          <w:p>
            <w:r>
              <w:t>HARD / PRE-COMMIT</w:t>
            </w:r>
          </w:p>
        </w:tc>
        <w:tc>
          <w:tcPr>
            <w:tcW w:type="dxa" w:w="1728"/>
          </w:tcPr>
          <w:p>
            <w:r>
              <w:t>Backlog XLSX提交/发布</w:t>
            </w:r>
          </w:p>
        </w:tc>
        <w:tc>
          <w:tcPr>
            <w:tcW w:type="dxa" w:w="1728"/>
          </w:tcPr>
          <w:p>
            <w:r>
              <w:t>Summary公式缓存必须与Backlog明细独立复算结果一致；V1.3.1附带校验脚本</w:t>
            </w:r>
          </w:p>
        </w:tc>
        <w:tc>
          <w:tcPr>
            <w:tcW w:type="dxa" w:w="1728"/>
          </w:tcPr>
          <w:p>
            <w:r>
              <w:t>任何明细修改后先重算并刷新&lt;x:v&gt;；CI/Pre-commit校验通过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4. GATE-R0-SPI：DeepTutor外部扩展技术Spike</w:t>
      </w:r>
    </w:p>
    <w:p>
      <w:r>
        <w:rPr>
          <w:rFonts w:ascii="Noto Sans CJK SC" w:hAnsi="Noto Sans CJK SC" w:eastAsia="Noto Sans CJK SC" w:cs="Noto Sans CJK SC"/>
          <w:sz w:val="21"/>
        </w:rPr>
        <w:t>架构目标仍为 DeepTutor Core Patch = 0，但在Spike通过之前不得把它表述为已验证事实。DeepTutor当前公开架构具备Tool/Capability Registry，且官方插件平台提案明确提及Python entry-point外部加载；但外部Tool+Capability组合、跨入口运行与失败隔离仍须在本项目环境中实证。</w:t>
      </w:r>
    </w:p>
    <w:p>
      <w:r>
        <w:rPr>
          <w:rFonts w:ascii="Noto Sans CJK SC" w:hAnsi="Noto Sans CJK SC" w:eastAsia="Noto Sans CJK SC" w:cs="Noto Sans CJK SC"/>
          <w:sz w:val="21"/>
        </w:rPr>
        <w:t>E0-01必须验证：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扩展代码位于DeepTutor仓库之外，以独立Python package存在；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wheel与editable install均可安装；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DeepTutor启动后能发现外部Tool；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能发现外部Capability；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Capability可调用外部Tool；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项目实际需要的CLI/API/WebSocket入口至少验证生产所需入口；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重启后仍可发现；卸载后干净消失；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坏插件初始化失败不会拖垮DeepTutor整体；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固定DeepTutor基线tag/commit后，git diff确认Core源码修改=0；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输出PASS/PARTIAL/FAIL与ADR。</w:t>
      </w:r>
    </w:p>
    <w:p>
      <w:r>
        <w:rPr>
          <w:rFonts w:ascii="Noto Sans CJK SC" w:hAnsi="Noto Sans CJK SC" w:eastAsia="Noto Sans CJK SC" w:cs="Noto Sans CJK SC"/>
          <w:sz w:val="21"/>
        </w:rPr>
        <w:t>决策分支：PASS→Core Patch=0升级为硬约束；PARTIAL→优先Tool/MCP/Adapter，不为Capability强改Core；FAIL→E3暂停并重新做架构ADR。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5. P0：Mastery四维口径与证据映射</w:t>
      </w:r>
    </w:p>
    <w:p>
      <w:r>
        <w:rPr>
          <w:rFonts w:ascii="Noto Sans CJK SC" w:hAnsi="Noto Sans CJK SC" w:eastAsia="Noto Sans CJK SC" w:cs="Noto Sans CJK SC"/>
          <w:sz w:val="21"/>
        </w:rPr>
        <w:t>四维权重固定，不允许不同文档或服务自行调整：</w:t>
      </w:r>
    </w:p>
    <w:p>
      <w:r>
        <w:rPr>
          <w:rFonts w:ascii="Noto Sans CJK SC" w:hAnsi="Noto Sans CJK SC" w:eastAsia="Noto Sans CJK SC" w:cs="Noto Sans CJK SC"/>
          <w:sz w:val="21"/>
        </w:rPr>
        <w:t>MasteryScore = 0.35×Correctness + 0.25×Independence + 0.20×Stability + 0.20×Transfer</w:t>
      </w:r>
    </w:p>
    <w:p>
      <w:r>
        <w:rPr>
          <w:rFonts w:ascii="Noto Sans CJK SC" w:hAnsi="Noto Sans CJK SC" w:eastAsia="Noto Sans CJK SC" w:cs="Noto Sans CJK SC"/>
          <w:sz w:val="21"/>
        </w:rPr>
        <w:t>四维取值统一为0~1；缺任一升级所需维度时，不得对剩余维度重新归一化。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sz w:val="21"/>
        </w:rPr>
        <w:t>5.1 Correctness</w:t>
      </w:r>
    </w:p>
    <w:p>
      <w:r>
        <w:rPr>
          <w:rFonts w:ascii="Noto Sans CJK SC" w:hAnsi="Noto Sans CJK SC" w:eastAsia="Noto Sans CJK SC" w:cs="Noto Sans CJK SC"/>
          <w:sz w:val="21"/>
        </w:rPr>
        <w:t>来源：有效原子evidence（attempt_standard / attempt_transfer / retention_check）。</w:t>
      </w:r>
    </w:p>
    <w:p>
      <w:r>
        <w:rPr>
          <w:rFonts w:ascii="Noto Sans CJK SC" w:hAnsi="Noto Sans CJK SC" w:eastAsia="Noto Sans CJK SC" w:cs="Noto Sans CJK SC"/>
          <w:sz w:val="21"/>
        </w:rPr>
        <w:t>L2→L3评估窗口：最近8条有效可评分原子证据，覆盖&gt;=3个resource_version、&gt;=2个learning_session。</w:t>
      </w:r>
    </w:p>
    <w:p>
      <w:r>
        <w:rPr>
          <w:rFonts w:ascii="Noto Sans CJK SC" w:hAnsi="Noto Sans CJK SC" w:eastAsia="Noto Sans CJK SC" w:cs="Noto Sans CJK SC"/>
          <w:sz w:val="21"/>
        </w:rPr>
        <w:t>计算：correct=true→1.0，false→0.0；窗口内算术平均。原子evidence保留task_instance_id / attempt_id。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sz w:val="21"/>
        </w:rPr>
        <w:t>5.2 Independence</w:t>
      </w:r>
    </w:p>
    <w:p>
      <w:r>
        <w:rPr>
          <w:rFonts w:ascii="Noto Sans CJK SC" w:hAnsi="Noto Sans CJK SC" w:eastAsia="Noto Sans CJK SC" w:cs="Noto Sans CJK SC"/>
          <w:sz w:val="21"/>
        </w:rPr>
        <w:t>来源：与Correctness同一批原子evidence，读取Attempt.max_hint_level。</w:t>
      </w:r>
    </w:p>
    <w:p>
      <w:r>
        <w:rPr>
          <w:rFonts w:ascii="Noto Sans CJK SC" w:hAnsi="Noto Sans CJK SC" w:eastAsia="Noto Sans CJK SC" w:cs="Noto Sans CJK SC"/>
          <w:sz w:val="21"/>
        </w:rPr>
        <w:t>映射：Hint 0/1/2/3/4 → 1.00/0.75/0.50/0.25/0.00；窗口内算术平均。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sz w:val="21"/>
        </w:rPr>
        <w:t>5.3 Stability</w:t>
      </w:r>
    </w:p>
    <w:p>
      <w:r>
        <w:rPr>
          <w:rFonts w:ascii="Noto Sans CJK SC" w:hAnsi="Noto Sans CJK SC" w:eastAsia="Noto Sans CJK SC" w:cs="Noto Sans CJK SC"/>
          <w:sz w:val="21"/>
        </w:rPr>
        <w:t>仅允许MasteryService派生并写入stability_window，Agent/客户端不得直接写。</w:t>
      </w:r>
    </w:p>
    <w:p>
      <w:r>
        <w:rPr>
          <w:rFonts w:ascii="Noto Sans CJK SC" w:hAnsi="Noto Sans CJK SC" w:eastAsia="Noto Sans CJK SC" w:cs="Noto Sans CJK SC"/>
          <w:sz w:val="21"/>
        </w:rPr>
        <w:t>窗口：最近5条attempt_standard/retention_check；覆盖&gt;=3个resource_version、&gt;=2个session。</w:t>
      </w:r>
    </w:p>
    <w:p>
      <w:r>
        <w:rPr>
          <w:rFonts w:ascii="Noto Sans CJK SC" w:hAnsi="Noto Sans CJK SC" w:eastAsia="Noto Sans CJK SC" w:cs="Noto Sans CJK SC"/>
          <w:sz w:val="21"/>
        </w:rPr>
        <w:t>每条source_quality = correctness × independence；Stability = mean(source_quality)。</w:t>
      </w:r>
    </w:p>
    <w:p>
      <w:r>
        <w:rPr>
          <w:rFonts w:ascii="Noto Sans CJK SC" w:hAnsi="Noto Sans CJK SC" w:eastAsia="Noto Sans CJK SC" w:cs="Noto Sans CJK SC"/>
          <w:sz w:val="21"/>
        </w:rPr>
        <w:t>派生evidence必须保存source_evidence_ids与rule_version。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sz w:val="21"/>
        </w:rPr>
        <w:t>5.4 Transfer</w:t>
      </w:r>
    </w:p>
    <w:p>
      <w:r>
        <w:rPr>
          <w:rFonts w:ascii="Noto Sans CJK SC" w:hAnsi="Noto Sans CJK SC" w:eastAsia="Noto Sans CJK SC" w:cs="Noto Sans CJK SC"/>
          <w:sz w:val="21"/>
        </w:rPr>
        <w:t>仅允许MasteryService派生并写入transfer_window。</w:t>
      </w:r>
    </w:p>
    <w:p>
      <w:r>
        <w:rPr>
          <w:rFonts w:ascii="Noto Sans CJK SC" w:hAnsi="Noto Sans CJK SC" w:eastAsia="Noto Sans CJK SC" w:cs="Noto Sans CJK SC"/>
          <w:sz w:val="21"/>
        </w:rPr>
        <w:t>窗口：至少2条attempt_transfer，覆盖&gt;=2个context_family、&gt;=2个session；评估取最近最多4条。</w:t>
      </w:r>
    </w:p>
    <w:p>
      <w:r>
        <w:rPr>
          <w:rFonts w:ascii="Noto Sans CJK SC" w:hAnsi="Noto Sans CJK SC" w:eastAsia="Noto Sans CJK SC" w:cs="Noto Sans CJK SC"/>
          <w:sz w:val="21"/>
        </w:rPr>
        <w:t>每条source_quality = correctness × independence；Transfer = mean(source_quality)。</w:t>
      </w:r>
    </w:p>
    <w:p>
      <w:r>
        <w:rPr>
          <w:rFonts w:ascii="Noto Sans CJK SC" w:hAnsi="Noto Sans CJK SC" w:eastAsia="Noto Sans CJK SC" w:cs="Noto Sans CJK SC"/>
          <w:sz w:val="21"/>
        </w:rPr>
        <w:t>派生evidence必须保存source_evidence_ids、context_family与rule_version。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sz w:val="21"/>
        </w:rPr>
        <w:t>5.5 升级Gate（MVP默认冻结）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L0→L1：首次有效教学/诊断证据完成，不使用四维MasteryScore。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L1→L2：可在Hint≤2的支持下稳定完成，按能力节点规则判定，不要求Transfer维度。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L2→L3：四维证据Gate全部满足；MasteryScore≥0.80；C≥0.80；I≥0.75；S≥0.75；T≥0.60。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L3→L4：Transfer≥0.80，至少3条transfer evidence、覆盖&gt;=3个context_family，并满足能力节点解释/迁移规则。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1"/>
        </w:rPr>
        <w:t>任何单次失败不得直接降级；降级只能进入review_required后基于后续验证证据执行。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6. P0：learning_plan与Session关系</w:t>
      </w:r>
    </w:p>
    <w:p>
      <w:r>
        <w:t>GRAY-01在V1.3关闭，V1.3.1延续。DDL已正式定义learning_plan，并通过复合外键保证learning_session不能引用其他child的plan。</w:t>
      </w:r>
    </w:p>
    <w:p>
      <w:r>
        <w:rPr>
          <w:rFonts w:ascii="Noto Sans CJK SC" w:hAnsi="Noto Sans CJK SC" w:eastAsia="Noto Sans CJK SC" w:cs="Noto Sans CJK SC"/>
          <w:sz w:val="21"/>
        </w:rPr>
        <w:t>冻结关系：child → learning_plan → learning_session → task_instance → attempt。</w:t>
      </w:r>
    </w:p>
    <w:p>
      <w:r>
        <w:rPr>
          <w:rFonts w:ascii="Noto Sans CJK SC" w:hAnsi="Noto Sans CJK SC" w:eastAsia="Noto Sans CJK SC" w:cs="Noto Sans CJK SC"/>
          <w:sz w:val="21"/>
        </w:rPr>
        <w:t>learning_session.plan_id允许为空，用于诊断/临时会话；非空时必须与session.child_id匹配。OpenAPI的Session创建接口同步支持plan_id；未传plan_id时由Curriculum Engine选择或创建active plan。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7. P0：错误码命名空间</w:t>
      </w:r>
    </w:p>
    <w:p>
      <w:r>
        <w:rPr>
          <w:rFonts w:ascii="Noto Sans CJK SC" w:hAnsi="Noto Sans CJK SC" w:eastAsia="Noto Sans CJK SC" w:cs="Noto Sans CJK SC"/>
          <w:sz w:val="21"/>
        </w:rPr>
        <w:t>系统错误与教育诊断是两个不同命名空间，禁止混用。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命名空间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冻结码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系统/API错误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HTTP 4xx/5xx error.code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LE-4001, LE-4091, LE-4221, LE-4291, LE-5001, AG-5031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教育诊断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HTTP 2xx业务载荷 diagnosis.code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 w:cs="Noto Sans CJK SC"/>
              </w:rPr>
              <w:t>E01~E07</w:t>
            </w:r>
          </w:p>
        </w:tc>
      </w:tr>
    </w:tbl>
    <w:p>
      <w:r>
        <w:rPr>
          <w:rFonts w:ascii="Noto Sans CJK SC" w:hAnsi="Noto Sans CJK SC" w:eastAsia="Noto Sans CJK SC" w:cs="Noto Sans CJK SC"/>
          <w:sz w:val="21"/>
        </w:rPr>
        <w:t>DeepTutor不可用唯一使用AG-5031；LE-004等历史漂移码全部废止。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8. 历史文档归档与作废</w:t>
      </w:r>
    </w:p>
    <w:p>
      <w:r>
        <w:t>GRAY-02在V1.3关闭。HISTORICAL_DOCS_SUPERSEDED_V1.3.1.md中列示的历史DOCX/XLSX/ZIP均只作为设计演进记录。</w:t>
      </w:r>
    </w:p>
    <w:p>
      <w:r>
        <w:t>任何人不得从历史文档中的Child / Ability_State / Learner Model等命名反推数据库或API实现。历史文档若与V1.3.1冻结资产冲突，直接以V1.3.1 SSOT为准。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9. Backlog汇总规则</w:t>
      </w:r>
    </w:p>
    <w:p>
      <w:r>
        <w:rPr>
          <w:sz w:val="21"/>
        </w:rPr>
        <w:t>V1.3.1起，Summary的Story数、Story Point、P0/P1/P2继续由公式从Backlog明细自动计算，禁止人工维护汇总数字。Gate Status单独位于H:J区，不参与Epic工作量汇总。由于XLSX公式单元格同时保存缓存值 &lt;x:v&gt;，部分Python读取链路不会执行公式而只读取缓存，因此任何Backlog明细修改后必须使用具备公式计算能力的引擎（Excel、LibreOffice、artifact_tool等）重算并刷新缓存后再提交。CI/Pre-commit必须从Backlog明细独立复算Epic汇总，并与Summary缓存值逐项比对；缓存为空或不一致均视为Gate失败。仅写入公式/明细但不执行计算的Python库保存结果不得直接作为发布件。</w:t>
      </w:r>
    </w:p>
    <w:p>
      <w:pPr>
        <w:pStyle w:val="Heading1"/>
      </w:pPr>
      <w:r>
        <w:rPr>
          <w:sz w:val="21"/>
        </w:rPr>
        <w:t>9.1 GATE-XLSX-CACHE执行要求</w:t>
      </w:r>
    </w:p>
    <w:p>
      <w:r>
        <w:rPr>
          <w:sz w:val="21"/>
        </w:rPr>
        <w:t>提交/发布05_Sprint_Backlog_v1.3.1.xlsx前，必须完成：①公式计算引擎重算；②缓存&lt;x:v&gt;刷新；③运行 python 06_validate_backlog_summary_cache.py 05_Sprint_Backlog_v1.3.1.xlsx；④退出码必须为0。若使用不执行Excel公式的Python库修改明细，该保存动作只能作为中间步骤，不能直接作为最终发布件。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10. 变更控制</w:t>
      </w:r>
    </w:p>
    <w:p>
      <w:r>
        <w:rPr>
          <w:sz w:val="21"/>
        </w:rPr>
        <w:t>冻结后任何涉及数据库命名、Mastery权重/证据Gate、错误码、DeepTutor Core Patch策略、能力等级含义、Backlog公式汇总/缓存一致性规则的修改，必须通过RFC/ADR或受控变更，并同步修改对应SSOT文件与Backlog。仅修改聊天结论或单份Word视为无效变更。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sz w:val="21"/>
        </w:rPr>
        <w:t>11. 进场签署项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确认项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Tech Lead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GATE-R0-SPI Spike方案与基线commit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待填写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待签署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Backend/DBA</w:t>
            </w:r>
          </w:p>
        </w:tc>
        <w:tc>
          <w:tcPr>
            <w:tcW w:type="dxa" w:w="2160"/>
          </w:tcPr>
          <w:p>
            <w:r>
              <w:t>DDL V1.3.1 + learning_plan复合FK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待填写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待签署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AI Engineer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外部Tool/Capability Spike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待填写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待签署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Education Lead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Mastery证据Gate与错误诊断口径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待填写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待签署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Product/PM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历史文档Superseded与SSOT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待填写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待签署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QA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Gate与规则回放测试计划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待填写</w:t>
            </w:r>
          </w:p>
        </w:tc>
        <w:tc>
          <w:tcPr>
            <w:tcW w:type="dxa" w:w="2160"/>
          </w:tcPr>
          <w:p>
            <w:r>
              <w:rPr>
                <w:rFonts w:ascii="Noto Sans CJK SC" w:hAnsi="Noto Sans CJK SC" w:eastAsia="Noto Sans CJK SC" w:cs="Noto Sans CJK SC"/>
              </w:rPr>
              <w:t>待签署</w:t>
            </w:r>
          </w:p>
        </w:tc>
      </w:tr>
      <w:tr>
        <w:tc>
          <w:tcPr>
            <w:tcW w:type="dxa" w:w="2160"/>
          </w:tcPr>
          <w:p>
            <w:r>
              <w:t>DevOps/PMO</w:t>
            </w:r>
          </w:p>
        </w:tc>
        <w:tc>
          <w:tcPr>
            <w:tcW w:type="dxa" w:w="2160"/>
          </w:tcPr>
          <w:p>
            <w:r>
              <w:t>Backlog XLSX缓存重算与CI一致性Gate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待签署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