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V1.4 Question Bank Production Contract</w:t>
      </w:r>
    </w:p>
    <w:p>
      <w:pPr>
        <w:jc w:val="center"/>
      </w:pPr>
      <w:r>
        <w:rPr>
          <w:b/>
          <w:sz w:val="32"/>
        </w:rPr>
        <w:t>v1.0</w:t>
      </w:r>
    </w:p>
    <w:p>
      <w:pPr>
        <w:jc w:val="center"/>
      </w:pPr>
      <w:r>
        <w:rPr>
          <w:sz w:val="26"/>
        </w:rPr>
        <w:t>题库生产、交付、入库与验收契约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版本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适用版本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V1.4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适用对象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题库生产方 / 内容交付方 / 前端 Renderer / Learning API / QA / 数据入库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状态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Production Contract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基准来源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《V1.4 Renderer Config 契约对照表（trial155 实灌审计产出，2026-10-08）》</w:t>
            </w:r>
          </w:p>
        </w:tc>
      </w:tr>
    </w:tbl>
    <w:p/>
    <w:p>
      <w:r>
        <w:rPr>
          <w:b/>
        </w:rPr>
        <w:t>核心原则：</w:t>
      </w:r>
      <w:r>
        <w:t>TaskUISchema JSON Schema 校验通过，不等于题目能够进入 V1.4 生产链。题目必须同时满足 Renderer Config、Answer Semantics、Evaluator、Evidence、Diagnosis 与数据一致性契约。</w:t>
      </w:r>
    </w:p>
    <w:p>
      <w:pPr>
        <w:pStyle w:val="Heading1"/>
      </w:pPr>
      <w:r>
        <w:t>1. 契约目的</w:t>
      </w:r>
    </w:p>
    <w:p>
      <w:r>
        <w:t>本契约用于将题库生产从“结构可解析”提升为“可实际进入 V1.4 前端 Renderer + Learning API 判分链”。契约以 19 个已闭 Vertical Gate 的实际 config 金样例与 parser 守卫为基准，约束题干、答案、Renderer、交互语义、评估器、诊断和数据一致性。</w:t>
      </w:r>
    </w:p>
    <w:p>
      <w:pPr>
        <w:pStyle w:val="ListBullet"/>
      </w:pPr>
      <w:r>
        <w:t>正式扩产前，必须先完成契约对齐；不得以 trial155 的字段转换结果直接扩产至 3,108。</w:t>
      </w:r>
    </w:p>
    <w:p>
      <w:pPr>
        <w:pStyle w:val="ListBullet"/>
      </w:pPr>
      <w:r>
        <w:t>字段名错位可以通过机器转换处理；答案语义轴、交互玩法和评估器口径不一致时，必须重新生成题目。</w:t>
      </w:r>
    </w:p>
    <w:p>
      <w:pPr>
        <w:pStyle w:val="ListBullet"/>
      </w:pPr>
      <w:r>
        <w:t>任何题目若 config 与 answer 自身矛盾，即使 JSON Schema 通过，也不得入库。</w:t>
      </w:r>
    </w:p>
    <w:p>
      <w:pPr>
        <w:pStyle w:val="Heading1"/>
      </w:pPr>
      <w:r>
        <w:t>2. 适用范围与生产边界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范围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契约要求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题目内容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必须是真实可判分题目，不得使用模板占位句。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答案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必须提供可由前端/后端实际判分的标量 answer。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Renderer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必须挂接到 V1.4 已闭 Gate 的实际 Renderer 语义，不得仅凭名称相似挂接。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Config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必须满足对应 Renderer 的真实 config 结构、mode、值域及 parser 守卫。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Evaluator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answer 语义必须与实际 evaluator 一致；不能依赖临时转换器改变数学/交互含义。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Diagnosis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error_models.pattern 必须使用前端实际 structure.error 词表中的值。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Evidence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必须提供 evidence_targets，使交互证据能够进入行为/诊断链。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一致性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题干、config、answer、hint、goal、evidence、error model 之间必须自洽。</w:t>
            </w:r>
          </w:p>
        </w:tc>
      </w:tr>
    </w:tbl>
    <w:p/>
    <w:p>
      <w:pPr>
        <w:pStyle w:val="Heading1"/>
      </w:pPr>
      <w:r>
        <w:t>3. 生产题目的最小契约</w:t>
      </w:r>
    </w:p>
    <w:p>
      <w:r>
        <w:t>每一道生产题必须至少形成以下闭环：</w:t>
      </w:r>
    </w:p>
    <w:p>
      <w:pPr>
        <w:pStyle w:val="ListNumber"/>
      </w:pPr>
      <w:r>
        <w:t>Question Content：真实题干及必要的结构化内容。</w:t>
      </w:r>
    </w:p>
    <w:p>
      <w:pPr>
        <w:pStyle w:val="ListNumber"/>
      </w:pPr>
      <w:r>
        <w:t>Renderer Config：与目标 Renderer 的 Gate-final config 对齐。</w:t>
      </w:r>
    </w:p>
    <w:p>
      <w:pPr>
        <w:pStyle w:val="ListNumber"/>
      </w:pPr>
      <w:r>
        <w:t>Answer：直接给出 content.answer 标量，不使用 {type,value} 包装。</w:t>
      </w:r>
    </w:p>
    <w:p>
      <w:pPr>
        <w:pStyle w:val="ListNumber"/>
      </w:pPr>
      <w:r>
        <w:t>Evaluator：answer 的语义与实际 evaluator 完全一致。</w:t>
      </w:r>
    </w:p>
    <w:p>
      <w:pPr>
        <w:pStyle w:val="ListNumber"/>
      </w:pPr>
      <w:r>
        <w:t>Hint Ladder：4 级提示，最后一级不得直接泄露答案。</w:t>
      </w:r>
    </w:p>
    <w:p>
      <w:pPr>
        <w:pStyle w:val="ListNumber"/>
      </w:pPr>
      <w:r>
        <w:t>Goal：明确本题希望孩子完成的目标。</w:t>
      </w:r>
    </w:p>
    <w:p>
      <w:pPr>
        <w:pStyle w:val="ListNumber"/>
      </w:pPr>
      <w:r>
        <w:t>Evidence Targets：定义需要采集的交互证据。</w:t>
      </w:r>
    </w:p>
    <w:p>
      <w:pPr>
        <w:pStyle w:val="ListNumber"/>
      </w:pPr>
      <w:r>
        <w:t>Error Models：pattern 必须逐字使用前端 structure.error 词表。</w:t>
      </w:r>
    </w:p>
    <w:p>
      <w:pPr>
        <w:pStyle w:val="ListNumber"/>
      </w:pPr>
      <w:r>
        <w:t>Consistency：config 与 answer 必须可由机器验证，不能出现答案与题面/参数矛盾。</w:t>
      </w:r>
    </w:p>
    <w:p>
      <w:pPr>
        <w:pStyle w:val="Heading1"/>
      </w:pPr>
      <w:r>
        <w:t>4. Answer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规则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生产要求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禁止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数据类型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content.answer 为 int 或 str 等契约允许的标量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answer={type,value} 对象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语义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answer 表示对应 Renderer/evaluator 真正判分的目标量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为了适配题库原始设计而改变答案含义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唯一性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在实际 evaluator 下必须形成确定判分结果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多解却用单一标量强行判分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单位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与 Renderer Gate-final 单位一致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money-board 元/角混用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坐标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按 Renderer 约定的坐标体系编码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direction-grid 1-based 坐标</w:t>
            </w:r>
          </w:p>
        </w:tc>
      </w:tr>
    </w:tbl>
    <w:p/>
    <w:p>
      <w:pPr>
        <w:pStyle w:val="Heading1"/>
      </w:pPr>
      <w:r>
        <w:t>5. Global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ID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契约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生产要求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content.answer 标量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直接输出 int/str 标量；不得依赖 adapter 从对象中提取 value。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Seed 硬依赖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必须提供 hint_ladder（4级）、goal、evidence_targets；error_models[].pattern 必须与前端 structure.error 逐字匹配。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Mode 词表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mode 必须采用各 Gate 定稿值，不得自造 shortest_path、set_time、compose 等标签。</w:t>
            </w:r>
          </w:p>
        </w:tc>
      </w:tr>
    </w:tbl>
    <w:p/>
    <w:p>
      <w:pPr>
        <w:pStyle w:val="Heading1"/>
      </w:pPr>
      <w:r>
        <w:t>6. 19 Renderer Contract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Renderer</w:t>
            </w:r>
          </w:p>
        </w:tc>
        <w:tc>
          <w:tcPr>
            <w:tcW w:type="dxa" w:w="2948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Gate-final 核心语义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处理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关键约束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bar-model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part_whole；known + answer_bar；未知量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可转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字段重命名后再过 parser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place-value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target + pool；答案=摆出的完整数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重导/换挂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不得将“某数位数字”挂为 place-value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formula-board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tokens + answer_slot；固定缺位结构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有限可转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construct 类结构不得依赖当前 evaluator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array-board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target_rows/target_cols；答案=总数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直接对齐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字段改名即可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grouping-board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等分建组；答案=每组数量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重导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不得使用“包含分/有几组”答案轴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estimation-canvas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连续滑条 + tolerance；答案=估算值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重导/换挂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不得用离散选项替代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shape-gallery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分类放置/计数目标类型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重导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不得改成角数等属性问答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shape-canvas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目标面积；答案=面积数值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重导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target 限 rectangle/triangle；删除复合 house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sorting-board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数值升序；答案=数字拼接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重导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分类归组题移出该 Renderer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direction-grid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终点格编码；0-based、行主序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重导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不得用最少步数作为答案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ruler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区间长度/间隔；答案=数值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基本可转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避免 left=0 触发退化守卫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clock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整点/半点；答案=总分钟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重导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不得使用任意 :15 等分钟位或 HH:MM 文本答案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money-board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单位=角；denominations=[1,5,10,50]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重导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change 必须满足 paid-price=answer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pattern-board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ABAB 颜色周期；token 1..5；答案=blank token 拼接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重导/换挂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等差数列移至 number-input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ten-frame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target_count/max_frames；答案=总数量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有限映射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make-ten 需明确独立 mode/契约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number-line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落点值；scale + start_marker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直接对齐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保持实际 config 语义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object-counter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groups + expected 结构；答案=总数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补结构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单组简化题可吃但缺 R01 分组证据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number-input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范围/整数约束；标量答案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直接对齐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保持 evaluator 可直接判分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column-arithmetic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operands + places + layout；答案=计算结果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直接对齐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addition/subtraction 按实际 mode</w:t>
            </w:r>
          </w:p>
        </w:tc>
      </w:tr>
    </w:tbl>
    <w:p/>
    <w:p>
      <w:pPr>
        <w:pStyle w:val="Heading1"/>
      </w:pPr>
      <w:r>
        <w:t>7. 重点 Renderer 重导规则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Renderer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重导要求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direction-grid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grid 坐标从 0 开始；answer 为终点格的 0-based 行主序编码；dr、dc 均不得为 0。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shape-canvas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answer 为目标面积数值；target 仅允许 rectangle/triangle；删除 house 等当前几何评估器无法判定的复合形。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sorting-board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改为数值升序排序，answer 为数字拼接；分类题不得继续挂 sorting-board。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pattern-board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使用 ABAB 颜色周期，token 1..5，answer 为缺失 token 拼接；等差数列转 number-input。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clock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仅使用整时/半点；answer 为总分钟数，例如 6:00→360。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money-board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统一以角为单位；denominations 固定为 [1,5,10,50]；找零题必须机器校验 paid-price=answer。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shape-gallery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采用分类/放置并计数目标类型的语义；不得将角数属性问答伪装成 gallery。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estimation-canvas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采用连续滑条估算+tolerance 语义；离散档位选择应换挂 number-input。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place-value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采用 target + pool 摆数语义；数位数字问答应换挂 number-input。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grouping-board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采用平均分/等分建组语义；答案为每组数量。</w:t>
            </w:r>
          </w:p>
        </w:tc>
      </w:tr>
    </w:tbl>
    <w:p/>
    <w:p>
      <w:pPr>
        <w:pStyle w:val="Heading1"/>
      </w:pPr>
      <w:r>
        <w:t>8. Hint / Goal / Evidence / Diagnosis Contract</w:t>
      </w:r>
    </w:p>
    <w:p>
      <w:r>
        <w:t>每题必须同时具备以下四类生产元数据：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字段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契约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hint_ladder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4级提示；从轻到重；第4级不得直接泄露最终答案。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goal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描述本题学习/交互目标，不替代题干。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evidence_targets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明确需要从交互过程中采集的证据目标，用于后续 Behavior Evidence / Diagnosis。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error_models[].pattern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只能使用前端 structure.error 的实际词表，逐字匹配；不得使用自造 diagnosis tag。</w:t>
            </w:r>
          </w:p>
        </w:tc>
      </w:tr>
    </w:tbl>
    <w:p/>
    <w:p>
      <w:pPr>
        <w:pStyle w:val="Heading1"/>
      </w:pPr>
      <w:r>
        <w:t>9. context_family Contract</w:t>
      </w:r>
    </w:p>
    <w:p>
      <w:r>
        <w:t>本次 trial155 审计中，context_family 已在受控词表范围内，因此正式生产应保持该受控口径。不得把题型、Renderer、错误类型等其他维度混入 context_family。</w:t>
      </w:r>
    </w:p>
    <w:p>
      <w:pPr>
        <w:pStyle w:val="Heading1"/>
      </w:pPr>
      <w:r>
        <w:t>10. Data Consistency Gate</w:t>
      </w:r>
    </w:p>
    <w:p>
      <w:r>
        <w:t>Schema 校验不能发现“答案与 config 自相矛盾”。因此生产流水线必须增加逐题一致性审计。至少覆盖：</w:t>
      </w:r>
    </w:p>
    <w:p>
      <w:pPr>
        <w:pStyle w:val="ListBullet"/>
      </w:pPr>
      <w:r>
        <w:t>数值关系：例如 money-board 的 paid - price = answer。</w:t>
      </w:r>
    </w:p>
    <w:p>
      <w:pPr>
        <w:pStyle w:val="ListBullet"/>
      </w:pPr>
      <w:r>
        <w:t>坐标值域：例如 direction-grid 的 row/col 必须符合 0-based grid 范围。</w:t>
      </w:r>
    </w:p>
    <w:p>
      <w:pPr>
        <w:pStyle w:val="ListBullet"/>
      </w:pPr>
      <w:r>
        <w:t>Renderer 值域：例如 clock minute 必须符合实际 UI/parser 的整点/半点约束。</w:t>
      </w:r>
    </w:p>
    <w:p>
      <w:pPr>
        <w:pStyle w:val="ListBullet"/>
      </w:pPr>
      <w:r>
        <w:t>答案轴：answer 的类型、单位、编码方式必须与 Renderer evaluator 一致。</w:t>
      </w:r>
    </w:p>
    <w:p>
      <w:pPr>
        <w:pStyle w:val="ListBullet"/>
      </w:pPr>
      <w:r>
        <w:t>交互路径：题目要求的玩法必须能由对应 Renderer 实际完成。</w:t>
      </w:r>
    </w:p>
    <w:p>
      <w:pPr>
        <w:pStyle w:val="ListBullet"/>
      </w:pPr>
      <w:r>
        <w:t>题目结构：config、answer、goal、hint、evidence、error model 不能互相冲突。</w:t>
      </w:r>
    </w:p>
    <w:p>
      <w:pPr>
        <w:pStyle w:val="Heading1"/>
      </w:pPr>
      <w:r>
        <w:t>11. Mandatory Acceptance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Gate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检查项</w:t>
            </w:r>
          </w:p>
        </w:tc>
        <w:tc>
          <w:tcPr>
            <w:tcW w:type="dxa" w:w="4819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通过标准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Gate 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JSON Schema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基础结构合法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Gate 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Question Consistency Audit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题干/config/answer 内部一致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Gate 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Config × Parser Audit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目标 Renderer 的真实 parser 守卫通过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Gate 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5% Pin E2E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抽样题真实灌入前端/后端链路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Gate 5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Judge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实际 evaluator 可判分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Gate 6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Evidence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交互证据可采集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Gate 7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Diagnosis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error model 与实际 evidence/structure.error 可命中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Gate 8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qa_replay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回放与验收结果一致</w:t>
            </w:r>
          </w:p>
        </w:tc>
      </w:tr>
    </w:tbl>
    <w:p/>
    <w:p>
      <w:pPr>
        <w:pStyle w:val="Heading1"/>
      </w:pPr>
      <w:r>
        <w:t>12. Delivery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类别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定义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处理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A — Direct Reuse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number-line、column-arithmetic、number-input、bar-model（字段重命名）等语义一致题目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允许在完成格式统一及全量门禁后进入后续交付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B — Contract Regeneration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答案轴、交互语义、Renderer 或 evaluator 不一致的题目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必须重新生成；不得依赖 converter 改变语义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C — Data Contradiction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题目自身 config/answer/坐标/值域矛盾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必须先修复数据，再进入 Renderer 审计</w:t>
            </w:r>
          </w:p>
        </w:tc>
      </w:tr>
    </w:tbl>
    <w:p/>
    <w:p>
      <w:pPr>
        <w:pStyle w:val="Heading1"/>
      </w:pPr>
      <w:r>
        <w:t>13. Converter Policy</w:t>
      </w:r>
    </w:p>
    <w:p>
      <w:r>
        <w:t>apps/learning-api/scripts/convert_trial155.py 仅保留为审计分析工具，不得作为正式入库通道。原因是字段转换能够解决部分命名差异，但不能可靠解决答案语义轴、交互语义及 evaluator 不一致。</w:t>
      </w:r>
    </w:p>
    <w:p>
      <w:pPr>
        <w:pStyle w:val="ListBullet"/>
      </w:pPr>
      <w:r>
        <w:t>不得通过 converter 将“错误语义”伪装成“契约兼容”。</w:t>
      </w:r>
    </w:p>
    <w:p>
      <w:pPr>
        <w:pStyle w:val="ListBullet"/>
      </w:pPr>
      <w:r>
        <w:t>converter 的 semantic-gap reject 必须被视为需要重导的生产信号。</w:t>
      </w:r>
    </w:p>
    <w:p>
      <w:pPr>
        <w:pStyle w:val="Heading1"/>
      </w:pPr>
      <w:r>
        <w:t>14. Trial155 与 3,108 扩产的关系</w:t>
      </w:r>
    </w:p>
    <w:p>
      <w:r>
        <w:t>trial155 的定位是生产契约验证样本，而不是最终题库。当前审计结果显示：原始 122 个专件覆盖题中仅 8 个直接通过；临时转换后仍存在 41 个 FAIL。因此不得将 trial155 或其转换结果直接作为生产 seed。</w:t>
      </w:r>
    </w:p>
    <w:p>
      <w:r>
        <w:t>在契约完全对齐前，不应继续以“扩大数量”为主要工作目标。正确顺序是：</w:t>
      </w:r>
    </w:p>
    <w:p>
      <w:pPr>
        <w:pStyle w:val="ListNumber"/>
      </w:pPr>
      <w:r>
        <w:t>冻结并执行本 Production Contract。</w:t>
      </w:r>
    </w:p>
    <w:p>
      <w:pPr>
        <w:pStyle w:val="ListNumber"/>
      </w:pPr>
      <w:r>
        <w:t>按 Renderer 语义重导不兼容题目。</w:t>
      </w:r>
    </w:p>
    <w:p>
      <w:pPr>
        <w:pStyle w:val="ListNumber"/>
      </w:pPr>
      <w:r>
        <w:t>完成逐题一致性审计。</w:t>
      </w:r>
    </w:p>
    <w:p>
      <w:pPr>
        <w:pStyle w:val="ListNumber"/>
      </w:pPr>
      <w:r>
        <w:t>重新执行 Config × Parser Audit。</w:t>
      </w:r>
    </w:p>
    <w:p>
      <w:pPr>
        <w:pStyle w:val="ListNumber"/>
      </w:pPr>
      <w:r>
        <w:t>通过 5% Pin E2E、Judge、Evidence、Diagnosis、qa_replay。</w:t>
      </w:r>
    </w:p>
    <w:p>
      <w:pPr>
        <w:pStyle w:val="ListNumber"/>
      </w:pPr>
      <w:r>
        <w:t>完成上述闭环后，再进入更大规模题库生产。</w:t>
      </w:r>
    </w:p>
    <w:p>
      <w:pPr>
        <w:pStyle w:val="Heading1"/>
      </w:pPr>
      <w:r>
        <w:t>15. 生产禁止项</w:t>
      </w:r>
    </w:p>
    <w:p>
      <w:pPr>
        <w:pStyle w:val="ListBullet"/>
      </w:pPr>
      <w:r>
        <w:t>禁止使用模板占位 prompt 作为生产题干。</w:t>
      </w:r>
    </w:p>
    <w:p>
      <w:pPr>
        <w:pStyle w:val="ListBullet"/>
      </w:pPr>
      <w:r>
        <w:t>禁止没有 answer 的题目进入 seed。</w:t>
      </w:r>
    </w:p>
    <w:p>
      <w:pPr>
        <w:pStyle w:val="ListBullet"/>
      </w:pPr>
      <w:r>
        <w:t>禁止使用 {type,value} 作为正式 content.answer 结构。</w:t>
      </w:r>
    </w:p>
    <w:p>
      <w:pPr>
        <w:pStyle w:val="ListBullet"/>
      </w:pPr>
      <w:r>
        <w:t>禁止使用自造 mode 替代 Gate-final mode。</w:t>
      </w:r>
    </w:p>
    <w:p>
      <w:pPr>
        <w:pStyle w:val="ListBullet"/>
      </w:pPr>
      <w:r>
        <w:t>禁止使用自由文本 diagnosis tag 替代 structure.error 词表。</w:t>
      </w:r>
    </w:p>
    <w:p>
      <w:pPr>
        <w:pStyle w:val="ListBullet"/>
      </w:pPr>
      <w:r>
        <w:t>禁止以字段转换掩盖答案语义轴不一致。</w:t>
      </w:r>
    </w:p>
    <w:p>
      <w:pPr>
        <w:pStyle w:val="ListBullet"/>
      </w:pPr>
      <w:r>
        <w:t>禁止将分类、属性问答、等差数列等玩法挂到语义不匹配的 Renderer。</w:t>
      </w:r>
    </w:p>
    <w:p>
      <w:pPr>
        <w:pStyle w:val="ListBullet"/>
      </w:pPr>
      <w:r>
        <w:t>禁止跳过逐题一致性审计，仅凭 JSON Schema 判定可入库。</w:t>
      </w:r>
    </w:p>
    <w:p>
      <w:pPr>
        <w:pStyle w:val="ListBullet"/>
      </w:pPr>
      <w:r>
        <w:t>禁止把 convert_trial155.py 作为正式 ingestion path。</w:t>
      </w:r>
    </w:p>
    <w:p>
      <w:pPr>
        <w:pStyle w:val="Heading1"/>
      </w:pPr>
      <w:r>
        <w:t>16. Release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8"/>
              </w:rPr>
              <w:t>DoD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Content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每题均为真实题干，answer 完整，可判分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Renderer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目标 Renderer 与 Gate-final config 语义一致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Config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config 通过对应 parser 守卫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Answer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scalar + 正确单位/编码/答案轴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Metadata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hint_ladder 4级、goal、evidence_targets 完整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Diagnosis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error_models.pattern 与实际 structure.error 词表逐字一致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Consistency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题目自身数据关系全部通过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E2E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5% pin sample 完成真实灌入与判分链验证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QA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Judge / Evidence / Diagnosis / qa_replay 全部通过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Ingestion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8"/>
              </w:rPr>
              <w:t>仅允许正式生产链进入 DB，不允许 trial converter 作为入口</w:t>
            </w:r>
          </w:p>
        </w:tc>
      </w:tr>
    </w:tbl>
    <w:p/>
    <w:p>
      <w:pPr>
        <w:pStyle w:val="Heading1"/>
      </w:pPr>
      <w:r>
        <w:t>17. Audit Baseline / Source</w:t>
      </w:r>
    </w:p>
    <w:p>
      <w:r>
        <w:t>本契约直接基于用户提供的《V1.4 Renderer Config 契约对照表（trial155 实灌审计产出，2026-10-08）》整理。该审计明确指出：TaskUISchema JSON Schema 通过不等于兼容；主要问题集中在答案语义轴、交互语义与 evaluator 口径；并给出了 19 个 Renderer 的逐项对照、重导规则、数据一致性问题及验收顺序。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V1.4 Question Bank Production Contract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