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刘德华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t xml:space="preserve">电工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初级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6月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bookmarkStart w:id="0" w:name="_GoBack"/>
            <w:bookmarkEnd w:id="0"/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2019-08-11T14:47:40Z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