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E47D4">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552575"/>
                    </a:xfrm>
                    <a:prstGeom prst="rect">
                      <a:avLst/>
                    </a:prstGeom>
                    <a:noFill/>
                    <a:ln>
                      <a:noFill/>
                    </a:ln>
                  </pic:spPr>
                </pic:pic>
              </a:graphicData>
            </a:graphic>
          </wp:inline>
        </w:drawing>
      </w:r>
    </w:p>
    <w:p w14:paraId="2F87701F">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222919A3">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6E5E5935">
      <w:pPr>
        <w:wordWrap w:val="0"/>
        <w:ind w:firstLine="1988" w:firstLineChars="450"/>
        <w:jc w:val="center"/>
        <w:rPr>
          <w:rFonts w:eastAsia="黑体"/>
          <w:b/>
          <w:bCs/>
          <w:sz w:val="44"/>
          <w:szCs w:val="44"/>
        </w:rPr>
      </w:pPr>
    </w:p>
    <w:p w14:paraId="330D3131">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3FA62989">
      <w:pPr>
        <w:wordWrap w:val="0"/>
        <w:jc w:val="center"/>
        <w:rPr>
          <w:sz w:val="18"/>
          <w:szCs w:val="18"/>
        </w:rPr>
      </w:pPr>
      <w:r>
        <w:rPr>
          <w:sz w:val="18"/>
          <w:szCs w:val="18"/>
        </w:rPr>
        <w:t> </w:t>
      </w:r>
    </w:p>
    <w:p w14:paraId="1326AFF3">
      <w:pPr>
        <w:wordWrap w:val="0"/>
        <w:jc w:val="center"/>
        <w:rPr>
          <w:sz w:val="18"/>
          <w:szCs w:val="18"/>
        </w:rPr>
      </w:pPr>
      <w:r>
        <w:rPr>
          <w:sz w:val="18"/>
          <w:szCs w:val="18"/>
        </w:rPr>
        <w:t> </w:t>
      </w:r>
    </w:p>
    <w:p w14:paraId="5D031738">
      <w:pPr>
        <w:wordWrap w:val="0"/>
        <w:jc w:val="left"/>
        <w:rPr>
          <w:b/>
          <w:bCs/>
          <w:sz w:val="18"/>
          <w:szCs w:val="18"/>
        </w:rPr>
      </w:pPr>
    </w:p>
    <w:p w14:paraId="0EC94B03">
      <w:pPr>
        <w:wordWrap w:val="0"/>
        <w:jc w:val="left"/>
        <w:rPr>
          <w:b/>
          <w:bCs/>
          <w:sz w:val="18"/>
          <w:szCs w:val="18"/>
        </w:rPr>
      </w:pPr>
    </w:p>
    <w:p w14:paraId="5FB58C70">
      <w:pPr>
        <w:wordWrap w:val="0"/>
        <w:jc w:val="left"/>
        <w:rPr>
          <w:b/>
          <w:bCs/>
          <w:sz w:val="18"/>
          <w:szCs w:val="18"/>
        </w:rPr>
      </w:pPr>
    </w:p>
    <w:p w14:paraId="7A047788">
      <w:pPr>
        <w:tabs>
          <w:tab w:val="left" w:pos="1080"/>
        </w:tabs>
        <w:wordWrap w:val="0"/>
        <w:ind w:firstLine="1780" w:firstLineChars="591"/>
        <w:jc w:val="left"/>
        <w:rPr>
          <w:rFonts w:hint="default" w:eastAsia="楷体_GB2312"/>
          <w:b/>
          <w:bCs/>
          <w:sz w:val="30"/>
          <w:szCs w:val="30"/>
          <w:u w:val="single"/>
          <w:lang w:val="en-US" w:eastAsia="zh-CN"/>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lang w:val="en-US" w:eastAsia="zh-CN"/>
        </w:rPr>
        <w:t xml:space="preserve">    人工智能决策系统的    </w:t>
      </w:r>
    </w:p>
    <w:p w14:paraId="7CE86496">
      <w:pPr>
        <w:tabs>
          <w:tab w:val="left" w:pos="1080"/>
        </w:tabs>
        <w:wordWrap w:val="0"/>
        <w:ind w:firstLine="3587" w:firstLineChars="1191"/>
        <w:jc w:val="left"/>
        <w:rPr>
          <w:rFonts w:hint="default" w:eastAsia="楷体_GB2312"/>
          <w:b/>
          <w:bCs/>
          <w:sz w:val="30"/>
          <w:szCs w:val="30"/>
          <w:u w:val="single"/>
          <w:lang w:val="en-US"/>
        </w:rPr>
      </w:pPr>
      <w:r>
        <w:rPr>
          <w:rFonts w:hint="eastAsia" w:eastAsia="楷体_GB2312"/>
          <w:b/>
          <w:bCs/>
          <w:sz w:val="30"/>
          <w:szCs w:val="30"/>
          <w:u w:val="single"/>
          <w:lang w:val="en-US" w:eastAsia="zh-CN"/>
        </w:rPr>
        <w:t xml:space="preserve">   伦理和责任问题   </w:t>
      </w:r>
    </w:p>
    <w:p w14:paraId="011DD4F3">
      <w:pPr>
        <w:wordWrap w:val="0"/>
        <w:ind w:firstLine="1780"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eastAsia="zh-CN"/>
        </w:rPr>
        <w:t>计软网安学院</w:t>
      </w:r>
      <w:r>
        <w:rPr>
          <w:rFonts w:hint="eastAsia" w:eastAsia="楷体_GB2312"/>
          <w:b/>
          <w:bCs/>
          <w:sz w:val="30"/>
          <w:szCs w:val="30"/>
          <w:u w:val="single"/>
        </w:rPr>
        <w:t xml:space="preserve"> </w:t>
      </w:r>
      <w:r>
        <w:rPr>
          <w:rFonts w:eastAsia="楷体_GB2312"/>
          <w:b/>
          <w:bCs/>
          <w:sz w:val="30"/>
          <w:szCs w:val="30"/>
          <w:u w:val="single"/>
        </w:rPr>
        <w:t xml:space="preserve">        </w:t>
      </w:r>
    </w:p>
    <w:p w14:paraId="5150B77A">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eastAsia="zh-CN"/>
        </w:rPr>
        <w:t>计算机科学与技术</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1F4963BF">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r>
        <w:rPr>
          <w:rFonts w:hint="default" w:eastAsia="楷体_GB2312"/>
          <w:b/>
          <w:bCs/>
          <w:sz w:val="30"/>
          <w:szCs w:val="30"/>
          <w:u w:val="single"/>
          <w:lang w:val="en-US"/>
        </w:rPr>
        <w:t>B220408</w:t>
      </w:r>
      <w:r>
        <w:rPr>
          <w:rFonts w:hint="eastAsia" w:eastAsia="楷体_GB2312"/>
          <w:b/>
          <w:bCs/>
          <w:sz w:val="30"/>
          <w:szCs w:val="30"/>
          <w:u w:val="single"/>
        </w:rPr>
        <w:t xml:space="preserve">     </w:t>
      </w:r>
      <w:r>
        <w:rPr>
          <w:rFonts w:eastAsia="楷体_GB2312"/>
          <w:b/>
          <w:bCs/>
          <w:sz w:val="30"/>
          <w:szCs w:val="30"/>
          <w:u w:val="single"/>
        </w:rPr>
        <w:t xml:space="preserve">      </w:t>
      </w:r>
    </w:p>
    <w:p w14:paraId="3323EEBB">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default" w:eastAsia="楷体_GB2312"/>
          <w:b/>
          <w:bCs/>
          <w:sz w:val="30"/>
          <w:szCs w:val="30"/>
          <w:u w:val="single"/>
          <w:lang w:val="en-US"/>
        </w:rPr>
        <w:t xml:space="preserve">B22040811   </w:t>
      </w:r>
      <w:r>
        <w:rPr>
          <w:rFonts w:eastAsia="楷体_GB2312"/>
          <w:b/>
          <w:bCs/>
          <w:sz w:val="30"/>
          <w:szCs w:val="30"/>
          <w:u w:val="single"/>
        </w:rPr>
        <w:t xml:space="preserve">       </w:t>
      </w:r>
    </w:p>
    <w:p w14:paraId="5C75066C">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eastAsia="zh-CN"/>
        </w:rPr>
        <w:t>杨劲涛</w:t>
      </w:r>
      <w:r>
        <w:rPr>
          <w:rFonts w:hint="eastAsia" w:eastAsia="楷体_GB2312"/>
          <w:b/>
          <w:bCs/>
          <w:sz w:val="30"/>
          <w:szCs w:val="30"/>
          <w:u w:val="single"/>
        </w:rPr>
        <w:t xml:space="preserve">   </w:t>
      </w:r>
      <w:r>
        <w:rPr>
          <w:rFonts w:eastAsia="楷体_GB2312"/>
          <w:b/>
          <w:bCs/>
          <w:sz w:val="30"/>
          <w:szCs w:val="30"/>
          <w:u w:val="single"/>
        </w:rPr>
        <w:t xml:space="preserve">         </w:t>
      </w:r>
    </w:p>
    <w:p w14:paraId="3F991E95">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张莹</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64A05890">
      <w:pPr>
        <w:wordWrap w:val="0"/>
        <w:rPr>
          <w:sz w:val="18"/>
          <w:szCs w:val="18"/>
        </w:rPr>
      </w:pPr>
    </w:p>
    <w:p w14:paraId="76629F81">
      <w:pPr>
        <w:ind w:firstLine="3330" w:firstLineChars="1850"/>
        <w:rPr>
          <w:sz w:val="18"/>
          <w:szCs w:val="18"/>
        </w:rPr>
      </w:pPr>
    </w:p>
    <w:p w14:paraId="4E4D6D12">
      <w:pPr>
        <w:rPr>
          <w:sz w:val="18"/>
          <w:szCs w:val="18"/>
        </w:rPr>
      </w:pPr>
    </w:p>
    <w:p w14:paraId="12A8E502">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73D21E38">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ascii="仿宋" w:hAnsi="仿宋" w:eastAsia="仿宋"/>
          <w:sz w:val="24"/>
          <w:szCs w:val="24"/>
        </w:rPr>
        <w:t xml:space="preserve"> </w:t>
      </w:r>
      <w:r>
        <w:rPr>
          <w:rFonts w:hint="eastAsia" w:ascii="仿宋" w:hAnsi="仿宋" w:eastAsia="仿宋"/>
          <w:sz w:val="24"/>
          <w:szCs w:val="24"/>
        </w:rPr>
        <w:t xml:space="preserve">年 </w:t>
      </w:r>
      <w:r>
        <w:rPr>
          <w:rFonts w:ascii="仿宋" w:hAnsi="仿宋" w:eastAsia="仿宋"/>
          <w:sz w:val="24"/>
          <w:szCs w:val="24"/>
        </w:rPr>
        <w:t xml:space="preserve"> </w:t>
      </w:r>
      <w:r>
        <w:rPr>
          <w:rFonts w:hint="eastAsia" w:ascii="仿宋" w:hAnsi="仿宋" w:eastAsia="仿宋"/>
          <w:sz w:val="24"/>
          <w:szCs w:val="24"/>
          <w:lang w:val="en-US" w:eastAsia="zh-CN"/>
        </w:rPr>
        <w:t>12</w:t>
      </w:r>
      <w:r>
        <w:rPr>
          <w:rFonts w:ascii="仿宋" w:hAnsi="仿宋" w:eastAsia="仿宋"/>
          <w:sz w:val="24"/>
          <w:szCs w:val="24"/>
        </w:rPr>
        <w:t xml:space="preserve"> </w:t>
      </w:r>
      <w:r>
        <w:rPr>
          <w:rFonts w:hint="eastAsia" w:ascii="仿宋" w:hAnsi="仿宋" w:eastAsia="仿宋"/>
          <w:sz w:val="24"/>
          <w:szCs w:val="24"/>
        </w:rPr>
        <w:t xml:space="preserve">月 </w:t>
      </w:r>
      <w:r>
        <w:rPr>
          <w:rFonts w:ascii="仿宋" w:hAnsi="仿宋" w:eastAsia="仿宋"/>
          <w:sz w:val="24"/>
          <w:szCs w:val="24"/>
        </w:rPr>
        <w:t xml:space="preserve"> </w:t>
      </w:r>
      <w:r>
        <w:rPr>
          <w:rFonts w:hint="eastAsia" w:ascii="仿宋" w:hAnsi="仿宋" w:eastAsia="仿宋"/>
          <w:sz w:val="24"/>
          <w:szCs w:val="24"/>
          <w:lang w:val="en-US" w:eastAsia="zh-CN"/>
        </w:rPr>
        <w:t>23</w:t>
      </w:r>
      <w:r>
        <w:rPr>
          <w:rFonts w:ascii="仿宋" w:hAnsi="仿宋" w:eastAsia="仿宋"/>
          <w:sz w:val="24"/>
          <w:szCs w:val="24"/>
        </w:rPr>
        <w:t xml:space="preserve"> </w:t>
      </w:r>
      <w:r>
        <w:rPr>
          <w:rFonts w:hint="eastAsia" w:ascii="仿宋" w:hAnsi="仿宋" w:eastAsia="仿宋"/>
          <w:sz w:val="24"/>
          <w:szCs w:val="24"/>
        </w:rPr>
        <w:t>日</w:t>
      </w:r>
    </w:p>
    <w:p w14:paraId="27456929">
      <w:pPr>
        <w:widowControl/>
        <w:jc w:val="left"/>
        <w:rPr>
          <w:rFonts w:ascii="仿宋" w:hAnsi="仿宋" w:eastAsia="仿宋"/>
          <w:sz w:val="30"/>
          <w:szCs w:val="30"/>
        </w:rPr>
      </w:pPr>
      <w:r>
        <w:rPr>
          <w:rFonts w:ascii="仿宋" w:hAnsi="仿宋" w:eastAsia="仿宋"/>
          <w:sz w:val="30"/>
          <w:szCs w:val="30"/>
        </w:rPr>
        <w:br w:type="page"/>
      </w:r>
    </w:p>
    <w:p w14:paraId="3C975114">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12"/>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5442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7091803A">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403BF890">
            <w:pPr>
              <w:tabs>
                <w:tab w:val="left" w:pos="6870"/>
              </w:tabs>
              <w:jc w:val="center"/>
              <w:rPr>
                <w:rFonts w:ascii="仿宋" w:hAnsi="仿宋" w:eastAsia="仿宋"/>
                <w:color w:val="FF0000"/>
              </w:rPr>
            </w:pPr>
            <w:r>
              <w:rPr>
                <w:rFonts w:hint="eastAsia" w:ascii="仿宋" w:hAnsi="仿宋" w:eastAsia="仿宋"/>
                <w:lang w:val="en-US" w:eastAsia="zh-CN"/>
              </w:rPr>
              <w:t>人工智能决策系统的伦理和责任问题</w:t>
            </w:r>
            <w:r>
              <w:rPr>
                <w:rFonts w:hint="eastAsia" w:ascii="仿宋" w:hAnsi="仿宋" w:eastAsia="仿宋"/>
              </w:rPr>
              <w:t xml:space="preserve"> </w:t>
            </w:r>
          </w:p>
        </w:tc>
      </w:tr>
      <w:tr w14:paraId="4009A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4466F639">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287D4948">
            <w:pPr>
              <w:tabs>
                <w:tab w:val="left" w:pos="6870"/>
              </w:tabs>
              <w:jc w:val="center"/>
              <w:rPr>
                <w:rFonts w:ascii="仿宋" w:hAnsi="仿宋" w:eastAsia="仿宋"/>
              </w:rPr>
            </w:pPr>
            <w:r>
              <w:rPr>
                <w:rFonts w:hint="eastAsia" w:ascii="仿宋" w:hAnsi="仿宋" w:eastAsia="仿宋"/>
                <w:lang w:eastAsia="zh-CN"/>
              </w:rPr>
              <w:t>杨劲涛</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25277293">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0903F856">
            <w:pPr>
              <w:tabs>
                <w:tab w:val="left" w:pos="6870"/>
              </w:tabs>
              <w:jc w:val="center"/>
              <w:rPr>
                <w:rFonts w:hint="default" w:ascii="仿宋" w:hAnsi="仿宋" w:eastAsia="仿宋"/>
                <w:lang w:val="en-US" w:eastAsia="zh-CN"/>
              </w:rPr>
            </w:pPr>
            <w:r>
              <w:rPr>
                <w:rFonts w:hint="eastAsia" w:ascii="仿宋" w:hAnsi="仿宋" w:eastAsia="仿宋"/>
                <w:lang w:val="en-US" w:eastAsia="zh-CN"/>
              </w:rPr>
              <w:t>B22040811</w:t>
            </w:r>
          </w:p>
        </w:tc>
        <w:tc>
          <w:tcPr>
            <w:tcW w:w="1134" w:type="dxa"/>
            <w:tcBorders>
              <w:top w:val="single" w:color="auto" w:sz="4" w:space="0"/>
              <w:left w:val="single" w:color="auto" w:sz="4" w:space="0"/>
              <w:bottom w:val="single" w:color="auto" w:sz="4" w:space="0"/>
              <w:right w:val="single" w:color="auto" w:sz="4" w:space="0"/>
            </w:tcBorders>
            <w:vAlign w:val="center"/>
          </w:tcPr>
          <w:p w14:paraId="73BE8D4E">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1BB39C43">
            <w:pPr>
              <w:tabs>
                <w:tab w:val="left" w:pos="6870"/>
              </w:tabs>
              <w:jc w:val="center"/>
              <w:rPr>
                <w:rFonts w:ascii="仿宋" w:hAnsi="仿宋" w:eastAsia="仿宋"/>
                <w:color w:val="FF0000"/>
              </w:rPr>
            </w:pPr>
            <w:r>
              <w:rPr>
                <w:rFonts w:hint="eastAsia" w:ascii="仿宋" w:hAnsi="仿宋" w:eastAsia="仿宋"/>
                <w:lang w:eastAsia="zh-CN"/>
              </w:rPr>
              <w:t>计算机科学与技术</w:t>
            </w:r>
            <w:r>
              <w:rPr>
                <w:rFonts w:hint="eastAsia" w:ascii="仿宋" w:hAnsi="仿宋" w:eastAsia="仿宋"/>
              </w:rPr>
              <w:t xml:space="preserve"> </w:t>
            </w:r>
          </w:p>
        </w:tc>
      </w:tr>
      <w:tr w14:paraId="0CB4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A6704C3">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D858F94">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1284A66A">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B4572C5">
            <w:pPr>
              <w:tabs>
                <w:tab w:val="left" w:pos="6870"/>
              </w:tabs>
              <w:jc w:val="center"/>
              <w:rPr>
                <w:rFonts w:ascii="楷体" w:hAnsi="楷体" w:eastAsia="楷体"/>
                <w:color w:val="000000"/>
              </w:rPr>
            </w:pPr>
            <w:r>
              <w:rPr>
                <w:rFonts w:hint="eastAsia" w:ascii="楷体" w:hAnsi="楷体" w:eastAsia="楷体"/>
                <w:color w:val="000000"/>
              </w:rPr>
              <w:t>评分</w:t>
            </w:r>
          </w:p>
        </w:tc>
      </w:tr>
      <w:tr w14:paraId="2734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FE72686">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78A4133">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25756A8">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27C09E7">
            <w:pPr>
              <w:tabs>
                <w:tab w:val="left" w:pos="6870"/>
              </w:tabs>
              <w:jc w:val="center"/>
              <w:rPr>
                <w:rFonts w:ascii="仿宋" w:hAnsi="仿宋" w:eastAsia="仿宋"/>
                <w:color w:val="000000"/>
              </w:rPr>
            </w:pPr>
            <w:r>
              <w:rPr>
                <w:rFonts w:ascii="仿宋" w:hAnsi="仿宋" w:eastAsia="仿宋"/>
                <w:color w:val="000000"/>
              </w:rPr>
              <w:t xml:space="preserve"> </w:t>
            </w:r>
          </w:p>
        </w:tc>
      </w:tr>
      <w:tr w14:paraId="518F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A867C46">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2FB8A7D">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6253AC2">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DD7F21E">
            <w:pPr>
              <w:tabs>
                <w:tab w:val="left" w:pos="6870"/>
              </w:tabs>
              <w:jc w:val="center"/>
              <w:rPr>
                <w:rFonts w:ascii="仿宋" w:hAnsi="仿宋" w:eastAsia="仿宋"/>
                <w:color w:val="000000"/>
              </w:rPr>
            </w:pPr>
            <w:r>
              <w:rPr>
                <w:rFonts w:ascii="仿宋" w:hAnsi="仿宋" w:eastAsia="仿宋"/>
                <w:color w:val="000000"/>
              </w:rPr>
              <w:t xml:space="preserve"> </w:t>
            </w:r>
          </w:p>
        </w:tc>
      </w:tr>
      <w:tr w14:paraId="2CAB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8B95F63">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B2D661F">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7E8B0F8">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DC20316">
            <w:pPr>
              <w:tabs>
                <w:tab w:val="left" w:pos="6870"/>
              </w:tabs>
              <w:jc w:val="center"/>
              <w:rPr>
                <w:rFonts w:ascii="仿宋" w:hAnsi="仿宋" w:eastAsia="仿宋"/>
                <w:color w:val="000000"/>
              </w:rPr>
            </w:pPr>
            <w:r>
              <w:rPr>
                <w:rFonts w:ascii="仿宋" w:hAnsi="仿宋" w:eastAsia="仿宋"/>
                <w:color w:val="000000"/>
              </w:rPr>
              <w:t xml:space="preserve"> </w:t>
            </w:r>
          </w:p>
        </w:tc>
      </w:tr>
      <w:tr w14:paraId="0EB3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A5AEE0C">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07D1B6B">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692CA40">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F949283">
            <w:pPr>
              <w:tabs>
                <w:tab w:val="left" w:pos="6870"/>
              </w:tabs>
              <w:jc w:val="center"/>
              <w:rPr>
                <w:rFonts w:ascii="仿宋" w:hAnsi="仿宋" w:eastAsia="仿宋"/>
                <w:color w:val="000000"/>
              </w:rPr>
            </w:pPr>
            <w:r>
              <w:rPr>
                <w:rFonts w:ascii="仿宋" w:hAnsi="仿宋" w:eastAsia="仿宋"/>
                <w:color w:val="000000"/>
              </w:rPr>
              <w:t xml:space="preserve"> </w:t>
            </w:r>
          </w:p>
        </w:tc>
      </w:tr>
      <w:tr w14:paraId="2D50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3AD1A9A">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5571276">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F8FCDF3">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4460B15">
            <w:pPr>
              <w:tabs>
                <w:tab w:val="left" w:pos="6870"/>
              </w:tabs>
              <w:jc w:val="center"/>
              <w:rPr>
                <w:rFonts w:ascii="仿宋" w:hAnsi="仿宋" w:eastAsia="仿宋"/>
                <w:color w:val="000000"/>
              </w:rPr>
            </w:pPr>
            <w:r>
              <w:rPr>
                <w:rFonts w:ascii="仿宋" w:hAnsi="仿宋" w:eastAsia="仿宋"/>
                <w:color w:val="000000"/>
              </w:rPr>
              <w:t xml:space="preserve"> </w:t>
            </w:r>
          </w:p>
        </w:tc>
      </w:tr>
      <w:tr w14:paraId="5EA3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D9185B1">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5D0CC7F4">
            <w:pPr>
              <w:tabs>
                <w:tab w:val="left" w:pos="6870"/>
              </w:tabs>
              <w:rPr>
                <w:rFonts w:ascii="仿宋" w:hAnsi="仿宋" w:eastAsia="仿宋"/>
                <w:color w:val="000000"/>
              </w:rPr>
            </w:pPr>
          </w:p>
        </w:tc>
      </w:tr>
      <w:tr w14:paraId="36FA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F055BCC">
            <w:pPr>
              <w:tabs>
                <w:tab w:val="left" w:pos="6870"/>
              </w:tabs>
              <w:jc w:val="center"/>
              <w:rPr>
                <w:rFonts w:ascii="黑体" w:hAnsi="黑体" w:eastAsia="黑体"/>
              </w:rPr>
            </w:pPr>
          </w:p>
          <w:p w14:paraId="0BDFE44D">
            <w:pPr>
              <w:tabs>
                <w:tab w:val="left" w:pos="6870"/>
              </w:tabs>
              <w:jc w:val="center"/>
              <w:rPr>
                <w:rFonts w:ascii="黑体" w:hAnsi="黑体" w:eastAsia="黑体"/>
              </w:rPr>
            </w:pPr>
          </w:p>
          <w:p w14:paraId="021575CB">
            <w:pPr>
              <w:tabs>
                <w:tab w:val="left" w:pos="6870"/>
              </w:tabs>
              <w:jc w:val="center"/>
              <w:rPr>
                <w:rFonts w:ascii="黑体" w:hAnsi="黑体" w:eastAsia="黑体"/>
              </w:rPr>
            </w:pPr>
          </w:p>
          <w:p w14:paraId="2A6F56E3">
            <w:pPr>
              <w:tabs>
                <w:tab w:val="left" w:pos="6870"/>
              </w:tabs>
              <w:jc w:val="center"/>
              <w:rPr>
                <w:rFonts w:ascii="黑体" w:hAnsi="黑体" w:eastAsia="黑体"/>
              </w:rPr>
            </w:pPr>
          </w:p>
          <w:p w14:paraId="53509228">
            <w:pPr>
              <w:tabs>
                <w:tab w:val="left" w:pos="6870"/>
              </w:tabs>
              <w:jc w:val="center"/>
              <w:rPr>
                <w:rFonts w:ascii="黑体" w:hAnsi="黑体" w:eastAsia="黑体"/>
              </w:rPr>
            </w:pPr>
          </w:p>
          <w:p w14:paraId="04B7E853">
            <w:pPr>
              <w:tabs>
                <w:tab w:val="left" w:pos="6870"/>
              </w:tabs>
              <w:jc w:val="center"/>
              <w:rPr>
                <w:rFonts w:ascii="黑体" w:hAnsi="黑体" w:eastAsia="黑体"/>
              </w:rPr>
            </w:pPr>
          </w:p>
          <w:p w14:paraId="02E3AF6C">
            <w:pPr>
              <w:tabs>
                <w:tab w:val="left" w:pos="6870"/>
              </w:tabs>
              <w:jc w:val="center"/>
              <w:rPr>
                <w:rFonts w:ascii="黑体" w:hAnsi="黑体" w:eastAsia="黑体"/>
              </w:rPr>
            </w:pPr>
            <w:r>
              <w:rPr>
                <w:rFonts w:hint="eastAsia" w:ascii="黑体" w:hAnsi="黑体" w:eastAsia="黑体"/>
              </w:rPr>
              <w:t>任课教师</w:t>
            </w:r>
          </w:p>
          <w:p w14:paraId="53E1B74F">
            <w:pPr>
              <w:tabs>
                <w:tab w:val="left" w:pos="6870"/>
              </w:tabs>
              <w:jc w:val="center"/>
              <w:rPr>
                <w:rFonts w:ascii="黑体" w:hAnsi="黑体" w:eastAsia="黑体"/>
              </w:rPr>
            </w:pPr>
            <w:r>
              <w:rPr>
                <w:rFonts w:hint="eastAsia" w:ascii="黑体" w:hAnsi="黑体" w:eastAsia="黑体"/>
              </w:rPr>
              <w:t>评阅意见</w:t>
            </w:r>
          </w:p>
          <w:p w14:paraId="42E0B5AA">
            <w:pPr>
              <w:rPr>
                <w:rFonts w:ascii="黑体" w:hAnsi="黑体" w:eastAsia="黑体"/>
              </w:rPr>
            </w:pPr>
          </w:p>
          <w:p w14:paraId="45C014EC">
            <w:pPr>
              <w:rPr>
                <w:rFonts w:ascii="黑体" w:hAnsi="黑体" w:eastAsia="黑体"/>
              </w:rPr>
            </w:pPr>
          </w:p>
          <w:p w14:paraId="53B7E5FA">
            <w:pPr>
              <w:rPr>
                <w:rFonts w:ascii="黑体" w:hAnsi="黑体" w:eastAsia="黑体"/>
              </w:rPr>
            </w:pPr>
          </w:p>
          <w:p w14:paraId="3B07CDB6">
            <w:pPr>
              <w:rPr>
                <w:rFonts w:ascii="黑体" w:hAnsi="黑体" w:eastAsia="黑体"/>
              </w:rPr>
            </w:pPr>
          </w:p>
          <w:p w14:paraId="2265C42A">
            <w:pPr>
              <w:rPr>
                <w:rFonts w:ascii="黑体" w:hAnsi="黑体" w:eastAsia="黑体"/>
              </w:rPr>
            </w:pPr>
          </w:p>
          <w:p w14:paraId="5656E73B">
            <w:pPr>
              <w:rPr>
                <w:rFonts w:ascii="黑体" w:hAnsi="黑体" w:eastAsia="黑体"/>
              </w:rPr>
            </w:pPr>
          </w:p>
          <w:p w14:paraId="4CF5ECEA">
            <w:pPr>
              <w:rPr>
                <w:rFonts w:ascii="黑体" w:hAnsi="黑体" w:eastAsia="黑体"/>
              </w:rPr>
            </w:pPr>
          </w:p>
          <w:p w14:paraId="2A864570">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7923F7B7">
            <w:pPr>
              <w:tabs>
                <w:tab w:val="left" w:pos="6870"/>
              </w:tabs>
              <w:jc w:val="center"/>
              <w:rPr>
                <w:rFonts w:ascii="仿宋" w:hAnsi="仿宋" w:eastAsia="仿宋"/>
                <w:color w:val="000000"/>
              </w:rPr>
            </w:pPr>
          </w:p>
          <w:p w14:paraId="68D37A17">
            <w:pPr>
              <w:tabs>
                <w:tab w:val="left" w:pos="6870"/>
              </w:tabs>
              <w:jc w:val="center"/>
              <w:rPr>
                <w:rFonts w:ascii="仿宋" w:hAnsi="仿宋" w:eastAsia="仿宋"/>
                <w:color w:val="000000"/>
              </w:rPr>
            </w:pPr>
          </w:p>
          <w:p w14:paraId="5C387282">
            <w:pPr>
              <w:tabs>
                <w:tab w:val="left" w:pos="6870"/>
              </w:tabs>
              <w:jc w:val="center"/>
              <w:rPr>
                <w:rFonts w:ascii="仿宋" w:hAnsi="仿宋" w:eastAsia="仿宋"/>
                <w:color w:val="000000"/>
              </w:rPr>
            </w:pPr>
          </w:p>
          <w:p w14:paraId="2D97F1B4">
            <w:pPr>
              <w:tabs>
                <w:tab w:val="left" w:pos="6870"/>
              </w:tabs>
              <w:jc w:val="center"/>
              <w:rPr>
                <w:rFonts w:ascii="仿宋" w:hAnsi="仿宋" w:eastAsia="仿宋"/>
                <w:color w:val="000000"/>
              </w:rPr>
            </w:pPr>
          </w:p>
          <w:p w14:paraId="5DD1CF2B">
            <w:pPr>
              <w:tabs>
                <w:tab w:val="left" w:pos="6870"/>
              </w:tabs>
              <w:jc w:val="center"/>
              <w:rPr>
                <w:rFonts w:ascii="仿宋" w:hAnsi="仿宋" w:eastAsia="仿宋"/>
                <w:color w:val="000000"/>
              </w:rPr>
            </w:pPr>
          </w:p>
          <w:p w14:paraId="62FBA012">
            <w:pPr>
              <w:tabs>
                <w:tab w:val="left" w:pos="6870"/>
              </w:tabs>
              <w:jc w:val="center"/>
              <w:rPr>
                <w:rFonts w:ascii="仿宋" w:hAnsi="仿宋" w:eastAsia="仿宋"/>
                <w:color w:val="000000"/>
              </w:rPr>
            </w:pPr>
          </w:p>
          <w:p w14:paraId="63D91F66">
            <w:pPr>
              <w:tabs>
                <w:tab w:val="left" w:pos="6870"/>
              </w:tabs>
              <w:jc w:val="center"/>
              <w:rPr>
                <w:rFonts w:ascii="仿宋" w:hAnsi="仿宋" w:eastAsia="仿宋"/>
                <w:color w:val="000000"/>
              </w:rPr>
            </w:pPr>
          </w:p>
          <w:p w14:paraId="25BA309E">
            <w:pPr>
              <w:tabs>
                <w:tab w:val="left" w:pos="6870"/>
              </w:tabs>
              <w:jc w:val="center"/>
              <w:rPr>
                <w:rFonts w:ascii="仿宋" w:hAnsi="仿宋" w:eastAsia="仿宋"/>
                <w:color w:val="000000"/>
              </w:rPr>
            </w:pPr>
          </w:p>
          <w:p w14:paraId="60687055">
            <w:pPr>
              <w:tabs>
                <w:tab w:val="left" w:pos="6870"/>
              </w:tabs>
              <w:jc w:val="center"/>
              <w:rPr>
                <w:rFonts w:ascii="仿宋" w:hAnsi="仿宋" w:eastAsia="仿宋"/>
                <w:color w:val="000000"/>
              </w:rPr>
            </w:pPr>
          </w:p>
          <w:p w14:paraId="591F1A09">
            <w:pPr>
              <w:tabs>
                <w:tab w:val="left" w:pos="6870"/>
              </w:tabs>
              <w:rPr>
                <w:rFonts w:ascii="仿宋" w:hAnsi="仿宋" w:eastAsia="仿宋"/>
                <w:color w:val="000000"/>
              </w:rPr>
            </w:pPr>
          </w:p>
          <w:p w14:paraId="0C2A1734">
            <w:pPr>
              <w:tabs>
                <w:tab w:val="left" w:pos="6870"/>
              </w:tabs>
              <w:rPr>
                <w:rFonts w:ascii="仿宋" w:hAnsi="仿宋" w:eastAsia="仿宋"/>
                <w:color w:val="000000"/>
              </w:rPr>
            </w:pPr>
          </w:p>
        </w:tc>
      </w:tr>
    </w:tbl>
    <w:p w14:paraId="6C013A8A"/>
    <w:p w14:paraId="6C66C93F">
      <w:pPr>
        <w:pStyle w:val="2"/>
        <w:keepNext/>
        <w:keepLines/>
        <w:pageBreakBefore w:val="0"/>
        <w:widowControl w:val="0"/>
        <w:kinsoku/>
        <w:wordWrap/>
        <w:overflowPunct/>
        <w:topLinePunct w:val="0"/>
        <w:autoSpaceDE/>
        <w:autoSpaceDN/>
        <w:bidi w:val="0"/>
        <w:adjustRightInd/>
        <w:snapToGrid/>
        <w:spacing w:before="0" w:after="200"/>
        <w:jc w:val="center"/>
        <w:textAlignment w:val="auto"/>
        <w:rPr>
          <w:rFonts w:hint="eastAsia" w:ascii="黑体" w:hAnsi="黑体" w:eastAsia="黑体" w:cs="黑体"/>
          <w:sz w:val="32"/>
          <w:szCs w:val="32"/>
          <w:lang w:val="en-US" w:eastAsia="zh-CN"/>
        </w:rPr>
      </w:pPr>
      <w:bookmarkStart w:id="0" w:name="_Toc1835427138"/>
      <w:bookmarkStart w:id="1" w:name="_Toc1217888676"/>
      <w:bookmarkStart w:id="2" w:name="_Toc598833296"/>
      <w:r>
        <w:rPr>
          <w:rFonts w:hint="eastAsia" w:ascii="黑体" w:hAnsi="黑体" w:eastAsia="黑体" w:cs="黑体"/>
          <w:sz w:val="32"/>
          <w:szCs w:val="32"/>
          <w:lang w:val="en-US" w:eastAsia="zh-CN"/>
        </w:rPr>
        <w:t>人工智能决策系统的伦理和责任问题</w:t>
      </w:r>
      <w:bookmarkEnd w:id="0"/>
      <w:bookmarkEnd w:id="1"/>
      <w:bookmarkEnd w:id="2"/>
    </w:p>
    <w:p w14:paraId="65C0D815">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杨劲涛</w:t>
      </w:r>
    </w:p>
    <w:p w14:paraId="50848778">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B22040811</w:t>
      </w:r>
    </w:p>
    <w:p w14:paraId="665D7AA3">
      <w:pPr>
        <w:keepNext w:val="0"/>
        <w:keepLines w:val="0"/>
        <w:pageBreakBefore w:val="0"/>
        <w:widowControl w:val="0"/>
        <w:kinsoku/>
        <w:wordWrap/>
        <w:overflowPunct/>
        <w:topLinePunct w:val="0"/>
        <w:autoSpaceDE/>
        <w:autoSpaceDN/>
        <w:bidi w:val="0"/>
        <w:adjustRightInd/>
        <w:snapToGrid/>
        <w:spacing w:after="48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计软网安学院，计算机科学与技术，南京邮电大学</w:t>
      </w:r>
    </w:p>
    <w:p w14:paraId="7290051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黑体" w:hAnsi="黑体" w:eastAsia="黑体" w:cs="黑体"/>
          <w:sz w:val="28"/>
          <w:szCs w:val="28"/>
        </w:rPr>
      </w:pPr>
      <w:r>
        <w:rPr>
          <w:rStyle w:val="14"/>
          <w:rFonts w:hint="eastAsia" w:ascii="黑体" w:hAnsi="黑体" w:eastAsia="黑体" w:cs="黑体"/>
          <w:sz w:val="28"/>
          <w:szCs w:val="28"/>
        </w:rPr>
        <w:t>摘要</w:t>
      </w:r>
    </w:p>
    <w:p w14:paraId="0072AEB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pPr>
      <w:r>
        <w:t>随着人工智能技术的快速发展，人工智能决策系统被广泛应用</w:t>
      </w:r>
      <w:r>
        <w:rPr>
          <w:rFonts w:hint="eastAsia"/>
          <w:lang w:eastAsia="zh-CN"/>
        </w:rPr>
        <w:t>各种领域</w:t>
      </w:r>
      <w:r>
        <w:t>，在提升决策效率的同时，也引发了一系列伦理与责任问题。人工智能决策系统并非价值中立，其运行过程</w:t>
      </w:r>
      <w:r>
        <w:rPr>
          <w:rFonts w:hint="eastAsia"/>
          <w:lang w:eastAsia="zh-CN"/>
        </w:rPr>
        <w:t>受到</w:t>
      </w:r>
      <w:r>
        <w:t>数据结构、算法设计</w:t>
      </w:r>
      <w:r>
        <w:rPr>
          <w:rFonts w:hint="eastAsia"/>
          <w:lang w:eastAsia="zh-CN"/>
        </w:rPr>
        <w:t>等方面</w:t>
      </w:r>
      <w:r>
        <w:t>的影响，可能带来算法偏见、决策不透明等风险。现有研究从伦理原则、法律规制和技术治理等角度对相关问题进行了探讨，但在工程实践层面仍存在不足。基于“工程与社会”的分析视角，本文系统梳理人工智能决策系统在现实应用中面临的主要伦理挑战，重点分析其责任归属困境的成因，并提出完善人工智能决策责任体系的对策建议。本文旨在为人工智能技术的负责任应用提供理论参考，并为信息工程领域的社会治理提供思路。</w:t>
      </w:r>
    </w:p>
    <w:p w14:paraId="034F5FD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Style w:val="14"/>
          <w:rFonts w:hint="eastAsia" w:ascii="黑体" w:hAnsi="黑体" w:eastAsia="黑体" w:cs="黑体"/>
        </w:rPr>
        <w:t>关键词</w:t>
      </w:r>
      <w:r>
        <w:t>：人工智能决策系统；算法伦理；责任归属；工程与社会</w:t>
      </w:r>
    </w:p>
    <w:p w14:paraId="378E16E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3987931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413002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2CA7AF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3F438D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EBDDCC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7455FF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5CD2ACB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BB58C5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43A8A84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1CEF387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5E386C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679FA4E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1D69BB8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46A30B9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6C30319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04E97D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3D913E0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FE7C1E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3932A19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C33C9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AE0430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F509CF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7E4896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FD872A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3EAB84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1C4A01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sdt>
      <w:sdtPr>
        <w:rPr>
          <w:rFonts w:hint="eastAsia" w:ascii="黑体" w:hAnsi="黑体" w:eastAsia="黑体" w:cs="黑体"/>
          <w:kern w:val="2"/>
          <w:sz w:val="32"/>
          <w:szCs w:val="32"/>
          <w:lang w:val="en-US" w:eastAsia="zh-CN" w:bidi="ar-SA"/>
        </w:rPr>
        <w:id w:val="567470194"/>
        <w15:color w:val="DBDBDB"/>
        <w:docPartObj>
          <w:docPartGallery w:val="Table of Contents"/>
          <w:docPartUnique/>
        </w:docPartObj>
      </w:sdtPr>
      <w:sdtEndPr>
        <w:rPr>
          <w:rFonts w:hint="eastAsia" w:asciiTheme="minorHAnsi" w:hAnsiTheme="minorHAnsi" w:eastAsiaTheme="minorEastAsia" w:cstheme="minorBidi"/>
          <w:kern w:val="0"/>
          <w:sz w:val="24"/>
          <w:szCs w:val="22"/>
          <w:lang w:val="en-US" w:eastAsia="zh-CN" w:bidi="ar"/>
        </w:rPr>
      </w:sdtEndPr>
      <w:sdtContent>
        <w:p w14:paraId="1F669D9C">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14:paraId="2E56E1A5">
          <w:pPr>
            <w:pStyle w:val="9"/>
            <w:tabs>
              <w:tab w:val="right" w:leader="dot" w:pos="8306"/>
            </w:tabs>
          </w:pPr>
          <w:r>
            <w:rPr>
              <w:rFonts w:asciiTheme="minorHAnsi" w:hAnsiTheme="minorHAnsi" w:eastAsiaTheme="minorEastAsia" w:cstheme="minorBidi"/>
              <w:kern w:val="0"/>
              <w:sz w:val="24"/>
              <w:szCs w:val="22"/>
              <w:lang w:val="en-US" w:eastAsia="zh-CN" w:bidi="ar"/>
            </w:rPr>
            <w:fldChar w:fldCharType="begin"/>
          </w:r>
          <w:r>
            <w:rPr>
              <w:rFonts w:asciiTheme="minorHAnsi" w:hAnsiTheme="minorHAnsi" w:eastAsiaTheme="minorEastAsia" w:cstheme="minorBidi"/>
              <w:kern w:val="0"/>
              <w:sz w:val="24"/>
              <w:szCs w:val="22"/>
              <w:lang w:val="en-US" w:eastAsia="zh-CN" w:bidi="ar"/>
            </w:rPr>
            <w:instrText xml:space="preserve">TOC \o "1-2" \h \u </w:instrText>
          </w:r>
          <w:r>
            <w:rPr>
              <w:rFonts w:asciiTheme="minorHAnsi" w:hAnsiTheme="minorHAnsi" w:eastAsiaTheme="minorEastAsia" w:cstheme="minorBidi"/>
              <w:kern w:val="0"/>
              <w:sz w:val="24"/>
              <w:szCs w:val="22"/>
              <w:lang w:val="en-US" w:eastAsia="zh-CN" w:bidi="ar"/>
            </w:rPr>
            <w:fldChar w:fldCharType="separate"/>
          </w: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_Toc598833296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szCs w:val="32"/>
              <w:lang w:val="en-US" w:eastAsia="zh-CN"/>
            </w:rPr>
            <w:t>人工智能决策系统的伦理和责任问题</w:t>
          </w:r>
          <w:r>
            <w:tab/>
          </w:r>
          <w:r>
            <w:fldChar w:fldCharType="begin"/>
          </w:r>
          <w:r>
            <w:instrText xml:space="preserve"> PAGEREF _Toc598833296 \h </w:instrText>
          </w:r>
          <w:r>
            <w:fldChar w:fldCharType="separate"/>
          </w:r>
          <w:r>
            <w:t>3</w:t>
          </w:r>
          <w:r>
            <w:fldChar w:fldCharType="end"/>
          </w:r>
          <w:r>
            <w:rPr>
              <w:rFonts w:asciiTheme="minorHAnsi" w:hAnsiTheme="minorHAnsi" w:eastAsiaTheme="minorEastAsia" w:cstheme="minorBidi"/>
              <w:kern w:val="0"/>
              <w:szCs w:val="22"/>
              <w:lang w:val="en-US" w:eastAsia="zh-CN" w:bidi="ar"/>
            </w:rPr>
            <w:fldChar w:fldCharType="end"/>
          </w:r>
        </w:p>
        <w:p w14:paraId="18FD0182">
          <w:pPr>
            <w:pStyle w:val="9"/>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_Toc754168699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bCs/>
              <w:szCs w:val="28"/>
              <w:lang w:eastAsia="zh-CN"/>
            </w:rPr>
            <w:t>一、 引言</w:t>
          </w:r>
          <w:r>
            <w:tab/>
          </w:r>
          <w:r>
            <w:fldChar w:fldCharType="begin"/>
          </w:r>
          <w:r>
            <w:instrText xml:space="preserve"> PAGEREF _Toc754168699 \h </w:instrText>
          </w:r>
          <w:r>
            <w:fldChar w:fldCharType="separate"/>
          </w:r>
          <w:r>
            <w:t>5</w:t>
          </w:r>
          <w:r>
            <w:fldChar w:fldCharType="end"/>
          </w:r>
          <w:r>
            <w:rPr>
              <w:rFonts w:asciiTheme="minorHAnsi" w:hAnsiTheme="minorHAnsi" w:eastAsiaTheme="minorEastAsia" w:cstheme="minorBidi"/>
              <w:kern w:val="0"/>
              <w:szCs w:val="22"/>
              <w:lang w:val="en-US" w:eastAsia="zh-CN" w:bidi="ar"/>
            </w:rPr>
            <w:fldChar w:fldCharType="end"/>
          </w:r>
        </w:p>
        <w:p w14:paraId="6B8B82FA">
          <w:pPr>
            <w:pStyle w:val="9"/>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_Toc180524611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bCs/>
              <w:szCs w:val="28"/>
              <w:lang w:eastAsia="zh-CN"/>
            </w:rPr>
            <w:t>二、 文献综述</w:t>
          </w:r>
          <w:r>
            <w:tab/>
          </w:r>
          <w:r>
            <w:fldChar w:fldCharType="begin"/>
          </w:r>
          <w:r>
            <w:instrText xml:space="preserve"> PAGEREF _Toc180524611 \h </w:instrText>
          </w:r>
          <w:r>
            <w:fldChar w:fldCharType="separate"/>
          </w:r>
          <w:r>
            <w:t>5</w:t>
          </w:r>
          <w:r>
            <w:fldChar w:fldCharType="end"/>
          </w:r>
          <w:r>
            <w:rPr>
              <w:rFonts w:asciiTheme="minorHAnsi" w:hAnsiTheme="minorHAnsi" w:eastAsiaTheme="minorEastAsia" w:cstheme="minorBidi"/>
              <w:kern w:val="0"/>
              <w:szCs w:val="22"/>
              <w:lang w:val="en-US" w:eastAsia="zh-CN" w:bidi="ar"/>
            </w:rPr>
            <w:fldChar w:fldCharType="end"/>
          </w:r>
        </w:p>
        <w:p w14:paraId="4885A919">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_Toc1037616188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（一） 人工智能决策系统的研究背景与概念界定</w:t>
          </w:r>
          <w:r>
            <w:tab/>
          </w:r>
          <w:r>
            <w:fldChar w:fldCharType="begin"/>
          </w:r>
          <w:r>
            <w:instrText xml:space="preserve"> PAGEREF _Toc1037616188 \h </w:instrText>
          </w:r>
          <w:r>
            <w:fldChar w:fldCharType="separate"/>
          </w:r>
          <w:r>
            <w:t>5</w:t>
          </w:r>
          <w:r>
            <w:fldChar w:fldCharType="end"/>
          </w:r>
          <w:r>
            <w:rPr>
              <w:rFonts w:asciiTheme="minorHAnsi" w:hAnsiTheme="minorHAnsi" w:eastAsiaTheme="minorEastAsia" w:cstheme="minorBidi"/>
              <w:kern w:val="0"/>
              <w:szCs w:val="22"/>
              <w:lang w:val="en-US" w:eastAsia="zh-CN" w:bidi="ar"/>
            </w:rPr>
            <w:fldChar w:fldCharType="end"/>
          </w:r>
        </w:p>
        <w:p w14:paraId="3AB37611">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_Toc1764152057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（二） 人工智能决策系统的伦理风险研究</w:t>
          </w:r>
          <w:r>
            <w:tab/>
          </w:r>
          <w:r>
            <w:fldChar w:fldCharType="begin"/>
          </w:r>
          <w:r>
            <w:instrText xml:space="preserve"> PAGEREF _Toc1764152057 \h </w:instrText>
          </w:r>
          <w:r>
            <w:fldChar w:fldCharType="separate"/>
          </w:r>
          <w:r>
            <w:t>6</w:t>
          </w:r>
          <w:r>
            <w:fldChar w:fldCharType="end"/>
          </w:r>
          <w:r>
            <w:rPr>
              <w:rFonts w:asciiTheme="minorHAnsi" w:hAnsiTheme="minorHAnsi" w:eastAsiaTheme="minorEastAsia" w:cstheme="minorBidi"/>
              <w:kern w:val="0"/>
              <w:szCs w:val="22"/>
              <w:lang w:val="en-US" w:eastAsia="zh-CN" w:bidi="ar"/>
            </w:rPr>
            <w:fldChar w:fldCharType="end"/>
          </w:r>
        </w:p>
        <w:p w14:paraId="398DD465">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_Toc843931609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（三） 人工智能决策责任归属问题的研究</w:t>
          </w:r>
          <w:r>
            <w:tab/>
          </w:r>
          <w:r>
            <w:fldChar w:fldCharType="begin"/>
          </w:r>
          <w:r>
            <w:instrText xml:space="preserve"> PAGEREF _Toc843931609 \h </w:instrText>
          </w:r>
          <w:r>
            <w:fldChar w:fldCharType="separate"/>
          </w:r>
          <w:r>
            <w:t>6</w:t>
          </w:r>
          <w:r>
            <w:fldChar w:fldCharType="end"/>
          </w:r>
          <w:r>
            <w:rPr>
              <w:rFonts w:asciiTheme="minorHAnsi" w:hAnsiTheme="minorHAnsi" w:eastAsiaTheme="minorEastAsia" w:cstheme="minorBidi"/>
              <w:kern w:val="0"/>
              <w:szCs w:val="22"/>
              <w:lang w:val="en-US" w:eastAsia="zh-CN" w:bidi="ar"/>
            </w:rPr>
            <w:fldChar w:fldCharType="end"/>
          </w:r>
        </w:p>
        <w:p w14:paraId="34658394">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_Toc1680576764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（四） 人工智能伦理治理与制度回应研究</w:t>
          </w:r>
          <w:r>
            <w:tab/>
          </w:r>
          <w:r>
            <w:fldChar w:fldCharType="begin"/>
          </w:r>
          <w:r>
            <w:instrText xml:space="preserve"> PAGEREF _Toc1680576764 \h </w:instrText>
          </w:r>
          <w:r>
            <w:fldChar w:fldCharType="separate"/>
          </w:r>
          <w:r>
            <w:t>7</w:t>
          </w:r>
          <w:r>
            <w:fldChar w:fldCharType="end"/>
          </w:r>
          <w:r>
            <w:rPr>
              <w:rFonts w:asciiTheme="minorHAnsi" w:hAnsiTheme="minorHAnsi" w:eastAsiaTheme="minorEastAsia" w:cstheme="minorBidi"/>
              <w:kern w:val="0"/>
              <w:szCs w:val="22"/>
              <w:lang w:val="en-US" w:eastAsia="zh-CN" w:bidi="ar"/>
            </w:rPr>
            <w:fldChar w:fldCharType="end"/>
          </w:r>
        </w:p>
        <w:p w14:paraId="3D6AB730">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_Toc2060831497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（五） 现有研究不足与发展趋势</w:t>
          </w:r>
          <w:r>
            <w:tab/>
          </w:r>
          <w:r>
            <w:fldChar w:fldCharType="begin"/>
          </w:r>
          <w:r>
            <w:instrText xml:space="preserve"> PAGEREF _Toc2060831497 \h </w:instrText>
          </w:r>
          <w:r>
            <w:fldChar w:fldCharType="separate"/>
          </w:r>
          <w:r>
            <w:t>7</w:t>
          </w:r>
          <w:r>
            <w:fldChar w:fldCharType="end"/>
          </w:r>
          <w:r>
            <w:rPr>
              <w:rFonts w:asciiTheme="minorHAnsi" w:hAnsiTheme="minorHAnsi" w:eastAsiaTheme="minorEastAsia" w:cstheme="minorBidi"/>
              <w:kern w:val="0"/>
              <w:szCs w:val="22"/>
              <w:lang w:val="en-US" w:eastAsia="zh-CN" w:bidi="ar"/>
            </w:rPr>
            <w:fldChar w:fldCharType="end"/>
          </w:r>
        </w:p>
        <w:p w14:paraId="1A0FF946">
          <w:pPr>
            <w:pStyle w:val="9"/>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_Toc44760983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bCs/>
              <w:szCs w:val="28"/>
              <w:lang w:eastAsia="zh-CN"/>
            </w:rPr>
            <w:t>三、 人工智能决策系统的伦理问题分析</w:t>
          </w:r>
          <w:r>
            <w:tab/>
          </w:r>
          <w:r>
            <w:fldChar w:fldCharType="begin"/>
          </w:r>
          <w:r>
            <w:instrText xml:space="preserve"> PAGEREF _Toc44760983 \h </w:instrText>
          </w:r>
          <w:r>
            <w:fldChar w:fldCharType="separate"/>
          </w:r>
          <w:r>
            <w:t>7</w:t>
          </w:r>
          <w:r>
            <w:fldChar w:fldCharType="end"/>
          </w:r>
          <w:r>
            <w:rPr>
              <w:rFonts w:asciiTheme="minorHAnsi" w:hAnsiTheme="minorHAnsi" w:eastAsiaTheme="minorEastAsia" w:cstheme="minorBidi"/>
              <w:kern w:val="0"/>
              <w:szCs w:val="22"/>
              <w:lang w:val="en-US" w:eastAsia="zh-CN" w:bidi="ar"/>
            </w:rPr>
            <w:fldChar w:fldCharType="end"/>
          </w:r>
        </w:p>
        <w:p w14:paraId="5278757E">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_Toc1698633133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（一） 算法偏见与决策公平性问题</w:t>
          </w:r>
          <w:r>
            <w:tab/>
          </w:r>
          <w:r>
            <w:fldChar w:fldCharType="begin"/>
          </w:r>
          <w:r>
            <w:instrText xml:space="preserve"> PAGEREF _Toc1698633133 \h </w:instrText>
          </w:r>
          <w:r>
            <w:fldChar w:fldCharType="separate"/>
          </w:r>
          <w:r>
            <w:t>7</w:t>
          </w:r>
          <w:r>
            <w:fldChar w:fldCharType="end"/>
          </w:r>
          <w:r>
            <w:rPr>
              <w:rFonts w:asciiTheme="minorHAnsi" w:hAnsiTheme="minorHAnsi" w:eastAsiaTheme="minorEastAsia" w:cstheme="minorBidi"/>
              <w:kern w:val="0"/>
              <w:szCs w:val="22"/>
              <w:lang w:val="en-US" w:eastAsia="zh-CN" w:bidi="ar"/>
            </w:rPr>
            <w:fldChar w:fldCharType="end"/>
          </w:r>
        </w:p>
        <w:p w14:paraId="6A84C9B8">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_Toc739325011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（二） 决策过程不透明与可解释性不足问题</w:t>
          </w:r>
          <w:r>
            <w:tab/>
          </w:r>
          <w:r>
            <w:fldChar w:fldCharType="begin"/>
          </w:r>
          <w:r>
            <w:instrText xml:space="preserve"> PAGEREF _Toc739325011 \h </w:instrText>
          </w:r>
          <w:r>
            <w:fldChar w:fldCharType="separate"/>
          </w:r>
          <w:r>
            <w:t>7</w:t>
          </w:r>
          <w:r>
            <w:fldChar w:fldCharType="end"/>
          </w:r>
          <w:r>
            <w:rPr>
              <w:rFonts w:asciiTheme="minorHAnsi" w:hAnsiTheme="minorHAnsi" w:eastAsiaTheme="minorEastAsia" w:cstheme="minorBidi"/>
              <w:kern w:val="0"/>
              <w:szCs w:val="22"/>
              <w:lang w:val="en-US" w:eastAsia="zh-CN" w:bidi="ar"/>
            </w:rPr>
            <w:fldChar w:fldCharType="end"/>
          </w:r>
        </w:p>
        <w:p w14:paraId="774657C8">
          <w:pPr>
            <w:pStyle w:val="10"/>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_Toc103657270 </w:instrText>
          </w:r>
          <w:r>
            <w:rPr>
              <w:rFonts w:asciiTheme="minorHAnsi" w:hAnsiTheme="minorHAnsi" w:eastAsiaTheme="minorEastAsia" w:cstheme="minorBidi"/>
              <w:kern w:val="0"/>
              <w:szCs w:val="22"/>
              <w:lang w:val="en-US" w:eastAsia="zh-CN" w:bidi="ar"/>
            </w:rPr>
            <w:fldChar w:fldCharType="separate"/>
          </w:r>
          <w:r>
            <w:rPr>
              <w:rFonts w:hint="eastAsia" w:asciiTheme="minorEastAsia" w:hAnsiTheme="minorEastAsia" w:eastAsiaTheme="minorEastAsia" w:cstheme="minorEastAsia"/>
              <w:bCs/>
              <w:szCs w:val="24"/>
              <w:lang w:eastAsia="zh-CN"/>
            </w:rPr>
            <w:t>（三） 人工智能决策责任主体模糊化问题</w:t>
          </w:r>
          <w:r>
            <w:tab/>
          </w:r>
          <w:r>
            <w:fldChar w:fldCharType="begin"/>
          </w:r>
          <w:r>
            <w:instrText xml:space="preserve"> PAGEREF _Toc103657270 \h </w:instrText>
          </w:r>
          <w:r>
            <w:fldChar w:fldCharType="separate"/>
          </w:r>
          <w:r>
            <w:t>8</w:t>
          </w:r>
          <w:r>
            <w:fldChar w:fldCharType="end"/>
          </w:r>
          <w:r>
            <w:rPr>
              <w:rFonts w:asciiTheme="minorHAnsi" w:hAnsiTheme="minorHAnsi" w:eastAsiaTheme="minorEastAsia" w:cstheme="minorBidi"/>
              <w:kern w:val="0"/>
              <w:szCs w:val="22"/>
              <w:lang w:val="en-US" w:eastAsia="zh-CN" w:bidi="ar"/>
            </w:rPr>
            <w:fldChar w:fldCharType="end"/>
          </w:r>
        </w:p>
        <w:p w14:paraId="7277E85B">
          <w:pPr>
            <w:pStyle w:val="9"/>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_Toc1779100438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bCs/>
              <w:szCs w:val="28"/>
              <w:lang w:eastAsia="zh-CN"/>
            </w:rPr>
            <w:t>四、 人工智能决策系统的责任困境</w:t>
          </w:r>
          <w:r>
            <w:tab/>
          </w:r>
          <w:r>
            <w:fldChar w:fldCharType="begin"/>
          </w:r>
          <w:r>
            <w:instrText xml:space="preserve"> PAGEREF _Toc1779100438 \h </w:instrText>
          </w:r>
          <w:r>
            <w:fldChar w:fldCharType="separate"/>
          </w:r>
          <w:r>
            <w:t>8</w:t>
          </w:r>
          <w:r>
            <w:fldChar w:fldCharType="end"/>
          </w:r>
          <w:r>
            <w:rPr>
              <w:rFonts w:asciiTheme="minorHAnsi" w:hAnsiTheme="minorHAnsi" w:eastAsiaTheme="minorEastAsia" w:cstheme="minorBidi"/>
              <w:kern w:val="0"/>
              <w:szCs w:val="22"/>
              <w:lang w:val="en-US" w:eastAsia="zh-CN" w:bidi="ar"/>
            </w:rPr>
            <w:fldChar w:fldCharType="end"/>
          </w:r>
        </w:p>
        <w:p w14:paraId="4C80F13A">
          <w:pPr>
            <w:pStyle w:val="9"/>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_Toc296095469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bCs/>
              <w:szCs w:val="28"/>
              <w:lang w:eastAsia="zh-CN"/>
            </w:rPr>
            <w:t>五、 结语</w:t>
          </w:r>
          <w:r>
            <w:tab/>
          </w:r>
          <w:r>
            <w:fldChar w:fldCharType="begin"/>
          </w:r>
          <w:r>
            <w:instrText xml:space="preserve"> PAGEREF _Toc296095469 \h </w:instrText>
          </w:r>
          <w:r>
            <w:fldChar w:fldCharType="separate"/>
          </w:r>
          <w:r>
            <w:t>9</w:t>
          </w:r>
          <w:r>
            <w:fldChar w:fldCharType="end"/>
          </w:r>
          <w:r>
            <w:rPr>
              <w:rFonts w:asciiTheme="minorHAnsi" w:hAnsiTheme="minorHAnsi" w:eastAsiaTheme="minorEastAsia" w:cstheme="minorBidi"/>
              <w:kern w:val="0"/>
              <w:szCs w:val="22"/>
              <w:lang w:val="en-US" w:eastAsia="zh-CN" w:bidi="ar"/>
            </w:rPr>
            <w:fldChar w:fldCharType="end"/>
          </w:r>
        </w:p>
        <w:p w14:paraId="66BF4B1A">
          <w:pPr>
            <w:pStyle w:val="9"/>
            <w:tabs>
              <w:tab w:val="right" w:leader="dot" w:pos="8306"/>
            </w:tabs>
          </w:pPr>
          <w:r>
            <w:rPr>
              <w:rFonts w:asciiTheme="minorHAnsi" w:hAnsiTheme="minorHAnsi" w:eastAsiaTheme="minorEastAsia" w:cstheme="minorBidi"/>
              <w:kern w:val="0"/>
              <w:szCs w:val="22"/>
              <w:lang w:val="en-US" w:eastAsia="zh-CN" w:bidi="ar"/>
            </w:rPr>
            <w:fldChar w:fldCharType="begin"/>
          </w:r>
          <w:r>
            <w:rPr>
              <w:rFonts w:asciiTheme="minorHAnsi" w:hAnsiTheme="minorHAnsi" w:eastAsiaTheme="minorEastAsia" w:cstheme="minorBidi"/>
              <w:kern w:val="0"/>
              <w:szCs w:val="22"/>
              <w:lang w:val="en-US" w:eastAsia="zh-CN" w:bidi="ar"/>
            </w:rPr>
            <w:instrText xml:space="preserve"> HYPERLINK \l _Toc607382635 </w:instrText>
          </w:r>
          <w:r>
            <w:rPr>
              <w:rFonts w:asciiTheme="minorHAnsi" w:hAnsiTheme="minorHAnsi" w:eastAsiaTheme="minorEastAsia" w:cstheme="minorBidi"/>
              <w:kern w:val="0"/>
              <w:szCs w:val="22"/>
              <w:lang w:val="en-US" w:eastAsia="zh-CN" w:bidi="ar"/>
            </w:rPr>
            <w:fldChar w:fldCharType="separate"/>
          </w:r>
          <w:r>
            <w:rPr>
              <w:rFonts w:hint="eastAsia" w:ascii="黑体" w:hAnsi="黑体" w:eastAsia="黑体" w:cs="黑体"/>
              <w:bCs/>
              <w:kern w:val="2"/>
              <w:szCs w:val="32"/>
              <w:lang w:val="en-US" w:eastAsia="zh-CN" w:bidi="ar-SA"/>
            </w:rPr>
            <w:t>参考文献</w:t>
          </w:r>
          <w:r>
            <w:tab/>
          </w:r>
          <w:r>
            <w:fldChar w:fldCharType="begin"/>
          </w:r>
          <w:r>
            <w:instrText xml:space="preserve"> PAGEREF _Toc607382635 \h </w:instrText>
          </w:r>
          <w:r>
            <w:fldChar w:fldCharType="separate"/>
          </w:r>
          <w:r>
            <w:t>10</w:t>
          </w:r>
          <w:r>
            <w:fldChar w:fldCharType="end"/>
          </w:r>
          <w:r>
            <w:rPr>
              <w:rFonts w:asciiTheme="minorHAnsi" w:hAnsiTheme="minorHAnsi" w:eastAsiaTheme="minorEastAsia" w:cstheme="minorBidi"/>
              <w:kern w:val="0"/>
              <w:szCs w:val="22"/>
              <w:lang w:val="en-US" w:eastAsia="zh-CN" w:bidi="ar"/>
            </w:rPr>
            <w:fldChar w:fldCharType="end"/>
          </w:r>
        </w:p>
        <w:p w14:paraId="15CA64C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heme="minorHAnsi" w:hAnsiTheme="minorHAnsi" w:eastAsiaTheme="minorEastAsia" w:cstheme="minorBidi"/>
              <w:kern w:val="0"/>
              <w:sz w:val="24"/>
              <w:szCs w:val="22"/>
              <w:lang w:val="en-US" w:eastAsia="zh-CN" w:bidi="ar"/>
            </w:rPr>
          </w:pPr>
          <w:r>
            <w:rPr>
              <w:rFonts w:asciiTheme="minorHAnsi" w:hAnsiTheme="minorHAnsi" w:eastAsiaTheme="minorEastAsia" w:cstheme="minorBidi"/>
              <w:kern w:val="0"/>
              <w:szCs w:val="22"/>
              <w:lang w:val="en-US" w:eastAsia="zh-CN" w:bidi="ar"/>
            </w:rPr>
            <w:fldChar w:fldCharType="end"/>
          </w:r>
        </w:p>
      </w:sdtContent>
    </w:sdt>
    <w:p w14:paraId="1478A33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asciiTheme="minorHAnsi" w:hAnsiTheme="minorHAnsi" w:eastAsiaTheme="minorEastAsia" w:cstheme="minorBidi"/>
          <w:kern w:val="0"/>
          <w:sz w:val="24"/>
          <w:szCs w:val="22"/>
          <w:lang w:val="en-US" w:eastAsia="zh-CN" w:bidi="ar"/>
        </w:rPr>
      </w:pPr>
    </w:p>
    <w:p w14:paraId="2366A58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594007D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AF1C7C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EA9B0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BA51E4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6824E03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7B0910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3754734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42FF873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6C97F4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2D66BB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D0B05D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49F9390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165010A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23FAF2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40ED3A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BB1113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331AA2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B70C9A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7254BA2E">
      <w:pPr>
        <w:keepNext w:val="0"/>
        <w:keepLines w:val="0"/>
        <w:pageBreakBefore w:val="0"/>
        <w:widowControl w:val="0"/>
        <w:numPr>
          <w:ilvl w:val="0"/>
          <w:numId w:val="1"/>
        </w:numPr>
        <w:kinsoku/>
        <w:wordWrap/>
        <w:overflowPunct/>
        <w:topLinePunct w:val="0"/>
        <w:autoSpaceDE/>
        <w:autoSpaceDN/>
        <w:bidi w:val="0"/>
        <w:adjustRightInd/>
        <w:snapToGrid/>
        <w:spacing w:before="200" w:line="300" w:lineRule="auto"/>
        <w:ind w:left="0" w:leftChars="0" w:firstLine="0" w:firstLineChars="0"/>
        <w:jc w:val="left"/>
        <w:textAlignment w:val="auto"/>
        <w:outlineLvl w:val="0"/>
        <w:rPr>
          <w:rFonts w:hint="eastAsia" w:ascii="黑体" w:hAnsi="黑体" w:eastAsia="黑体" w:cs="黑体"/>
          <w:b/>
          <w:bCs/>
          <w:sz w:val="28"/>
          <w:szCs w:val="28"/>
          <w:lang w:eastAsia="zh-CN"/>
        </w:rPr>
      </w:pPr>
      <w:bookmarkStart w:id="3" w:name="_Toc1188065470"/>
      <w:bookmarkStart w:id="4" w:name="_Toc750079327"/>
      <w:bookmarkStart w:id="5" w:name="_Toc754168699"/>
      <w:r>
        <w:rPr>
          <w:rFonts w:hint="eastAsia" w:ascii="黑体" w:hAnsi="黑体" w:eastAsia="黑体" w:cs="黑体"/>
          <w:b/>
          <w:bCs/>
          <w:sz w:val="28"/>
          <w:szCs w:val="28"/>
          <w:lang w:eastAsia="zh-CN"/>
        </w:rPr>
        <w:t>引言</w:t>
      </w:r>
      <w:bookmarkEnd w:id="3"/>
      <w:bookmarkEnd w:id="4"/>
      <w:bookmarkEnd w:id="5"/>
    </w:p>
    <w:p w14:paraId="33EB21E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pPr>
      <w:r>
        <w:t>近年来，随着人工智能、大数据与算法技术的快速发展，人工智能决策系统在社会运行中的应用日益广泛。从金融领域的信用评估与风险控制，到医疗领域的辅助诊断，再到公共治理中的智能监控与社会管理，人工智能决策系统正在</w:t>
      </w:r>
      <w:r>
        <w:rPr>
          <w:rFonts w:hint="eastAsia"/>
          <w:lang w:eastAsia="zh-CN"/>
        </w:rPr>
        <w:t>深刻影响</w:t>
      </w:r>
      <w:r>
        <w:t>社会生产和日常生活。相较于传统信息技术系统，这类系统不仅在信息处理效率方面具有显著优势，而且在部分情境下已经具备替代人类决策的能力。这一技术变革在提升社会运行效率的同时，也对</w:t>
      </w:r>
      <w:r>
        <w:rPr>
          <w:rFonts w:hint="eastAsia"/>
          <w:lang w:eastAsia="zh-CN"/>
        </w:rPr>
        <w:t>原</w:t>
      </w:r>
      <w:r>
        <w:t>有的伦理规范与责任体系提出了新的挑战。</w:t>
      </w:r>
    </w:p>
    <w:p w14:paraId="7E78CAB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pPr>
      <w:r>
        <w:t>在工程实践中，人工智能决策系统通常被视为一种中立技术工具。然而，越来越多的研究与现实案例表明，人工智能并非价值中立，其运行过程和决策结果往往深受数据结构、算法设计</w:t>
      </w:r>
      <w:r>
        <w:rPr>
          <w:rFonts w:hint="eastAsia"/>
          <w:lang w:eastAsia="zh-CN"/>
        </w:rPr>
        <w:t>等方面</w:t>
      </w:r>
      <w:r>
        <w:t>的影响。当人工智能系统被用于涉及个体权利、资源分配和公共利益的重要决策时，其潜在的伦理风险便尤为突出。</w:t>
      </w:r>
    </w:p>
    <w:p w14:paraId="00D283B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pPr>
      <w:r>
        <w:t>现有研究围绕人工智能伦理和责任问题展开了较为丰富的探讨，主要集中在算法公平性、透明性、隐私保护以及责任归属等方面。然而，现有研究仍存在一定局限：一是部分研究偏重理论层面的规范讨论，缺乏对具体决策场景的深入分析；二是工程技术研究与社会伦理研究之间尚未形成充分融合，导致伦理治理建议在工程实践中的可操作性不足；三是在责任划分方面，如何在复杂的人机协作环境中构建清晰、可执行的责任体系，仍有待进一步探讨。</w:t>
      </w:r>
    </w:p>
    <w:p w14:paraId="057D860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pPr>
      <w:r>
        <w:t>基于上述背景，本文以人工智能决策系统为研究对象，围绕其在实际应用中所引发的伦理风险与责任问题展开分析。本文的研究重点在于：首先，系统梳理人工智能决策系统在社会应用中面临的主要伦理挑战；其次，结合工程与社会的分析框架，探讨人工智能决策责任模糊化的成因；最后，在综合已有研究成果的基础上，提出具有工程实践意义的伦理治理与责任</w:t>
      </w:r>
      <w:r>
        <w:rPr>
          <w:rFonts w:hint="eastAsia"/>
          <w:lang w:eastAsia="zh-CN"/>
        </w:rPr>
        <w:t>分配的建议</w:t>
      </w:r>
      <w:r>
        <w:t>。</w:t>
      </w:r>
    </w:p>
    <w:p w14:paraId="3DE63386">
      <w:pPr>
        <w:keepNext w:val="0"/>
        <w:keepLines w:val="0"/>
        <w:pageBreakBefore w:val="0"/>
        <w:widowControl w:val="0"/>
        <w:numPr>
          <w:ilvl w:val="0"/>
          <w:numId w:val="1"/>
        </w:numPr>
        <w:kinsoku/>
        <w:wordWrap/>
        <w:overflowPunct/>
        <w:topLinePunct w:val="0"/>
        <w:autoSpaceDE/>
        <w:autoSpaceDN/>
        <w:bidi w:val="0"/>
        <w:adjustRightInd/>
        <w:snapToGrid/>
        <w:spacing w:before="200" w:line="300" w:lineRule="auto"/>
        <w:ind w:left="0" w:leftChars="0" w:firstLine="0" w:firstLineChars="0"/>
        <w:jc w:val="left"/>
        <w:textAlignment w:val="auto"/>
        <w:outlineLvl w:val="0"/>
        <w:rPr>
          <w:rFonts w:hint="eastAsia" w:ascii="黑体" w:hAnsi="黑体" w:eastAsia="黑体" w:cs="黑体"/>
          <w:b/>
          <w:bCs/>
          <w:sz w:val="28"/>
          <w:szCs w:val="28"/>
          <w:lang w:eastAsia="zh-CN"/>
        </w:rPr>
      </w:pPr>
      <w:bookmarkStart w:id="6" w:name="_Toc436530841"/>
      <w:bookmarkStart w:id="7" w:name="_Toc60238509"/>
      <w:bookmarkStart w:id="8" w:name="_Toc180524611"/>
      <w:r>
        <w:rPr>
          <w:rFonts w:hint="eastAsia" w:ascii="黑体" w:hAnsi="黑体" w:eastAsia="黑体" w:cs="黑体"/>
          <w:b/>
          <w:bCs/>
          <w:sz w:val="28"/>
          <w:szCs w:val="28"/>
          <w:lang w:eastAsia="zh-CN"/>
        </w:rPr>
        <w:t>文献综述</w:t>
      </w:r>
      <w:bookmarkEnd w:id="6"/>
      <w:bookmarkEnd w:id="7"/>
      <w:bookmarkEnd w:id="8"/>
    </w:p>
    <w:p w14:paraId="1E4B7745">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9" w:name="_Toc1300361046"/>
      <w:bookmarkStart w:id="10" w:name="_Toc1717871610"/>
      <w:bookmarkStart w:id="11" w:name="_Toc1037616188"/>
      <w:r>
        <w:rPr>
          <w:rFonts w:hint="eastAsia" w:asciiTheme="minorEastAsia" w:hAnsiTheme="minorEastAsia" w:eastAsiaTheme="minorEastAsia" w:cstheme="minorEastAsia"/>
          <w:b/>
          <w:bCs/>
          <w:sz w:val="24"/>
          <w:szCs w:val="24"/>
          <w:lang w:eastAsia="zh-CN"/>
        </w:rPr>
        <w:t>人工智能决策系统的研究背景与概念界定</w:t>
      </w:r>
      <w:bookmarkEnd w:id="9"/>
      <w:bookmarkEnd w:id="10"/>
      <w:bookmarkEnd w:id="11"/>
    </w:p>
    <w:p w14:paraId="1B1E755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随着大数据、机器学习和深度学习技术的快速发展，人工智能决策系统被广泛应用于金融风控、医疗诊断、司法辅助、公共治理和人力资源管理等领域。与传统信息系统不同，人工智能决策系统不再仅仅作为辅助工具存在，而是在部分场景中直接参与甚至主导决策过程，从而对个体权利、社会公平以及公共秩序产生深远影响。国内外学界普遍认为，这种技术变迁正在重塑“工程—社会”的关系结构，使技术问题不可避免地转化为社会问题与伦理问题。</w:t>
      </w:r>
    </w:p>
    <w:p w14:paraId="00F0064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现有研究通常将人工智能决策系统界定为：基于算法模型与数据训练，对现实情境进行预测、分类或判断，并在一定程度上替代人类作出决策的技术系统。有学者指出，这类系统的核心特征包括高度依赖数据、决策过程不透明以及结果具有显著社会后果，这些特征也正是引发伦理争议与责任困境的关键根源。</w:t>
      </w:r>
    </w:p>
    <w:p w14:paraId="3DA8F389">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12" w:name="_Toc765642676"/>
      <w:bookmarkStart w:id="13" w:name="_Toc1383823556"/>
      <w:bookmarkStart w:id="14" w:name="_Toc1764152057"/>
      <w:r>
        <w:rPr>
          <w:rFonts w:hint="eastAsia" w:asciiTheme="minorEastAsia" w:hAnsiTheme="minorEastAsia" w:eastAsiaTheme="minorEastAsia" w:cstheme="minorEastAsia"/>
          <w:b/>
          <w:bCs/>
          <w:sz w:val="24"/>
          <w:szCs w:val="24"/>
          <w:lang w:eastAsia="zh-CN"/>
        </w:rPr>
        <w:t>人工智能决策系统的伦理风险研究</w:t>
      </w:r>
      <w:bookmarkEnd w:id="12"/>
      <w:bookmarkEnd w:id="13"/>
      <w:bookmarkEnd w:id="14"/>
    </w:p>
    <w:p w14:paraId="381AC99C">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0" w:leftChars="0" w:firstLine="0" w:firstLineChars="0"/>
        <w:jc w:val="left"/>
        <w:textAlignment w:val="auto"/>
        <w:outlineLvl w:val="2"/>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算法偏见与公平性问题</w:t>
      </w:r>
    </w:p>
    <w:p w14:paraId="3AA74D4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大量研究表明，人工智能决策系统并非价值中立，其输出结果往往受到训练数据和算法设计的深刻影响。国内学者普遍认为，数据本身所包含的历史偏见、结构性不平等以及隐性歧视，会在算法运算过程中被放大，从而导致对特定群体的不公正对待。例如，在招聘筛选、信用评估和司法量刑等场景中，人工智能系统可能对性别、年龄、地区或社会阶层产生隐性歧视。</w:t>
      </w:r>
    </w:p>
    <w:p w14:paraId="3C64D32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国外研究进一步指出，算法偏见并非单纯的技术缺陷，而是一种“社会偏见的技术化表现”。如果缺乏伦理约束与制度干预，人工智能决策系统可能会以“技术客观性”为名，掩盖不公正决策的社会根源，从而削弱公众对公平正义的判断能力。</w:t>
      </w:r>
    </w:p>
    <w:p w14:paraId="7882D9C5">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jc w:val="left"/>
        <w:textAlignment w:val="auto"/>
        <w:outlineLvl w:val="2"/>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决策不透明与可解释性问题</w:t>
      </w:r>
    </w:p>
    <w:p w14:paraId="1490622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黑箱算法”问题是人工智能伦理研究中的核心议题之一。部分学者认为，深度学习模型在提高预测准确率的同时，也显著降低了决策过程的可解释性。这种不透明性使得决策对象难以理解系统为何作出某一判断，从而削弱了个体的知情权与申诉权。</w:t>
      </w:r>
    </w:p>
    <w:p w14:paraId="7FC6989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国内研究多从法律与伦理角度批判算法黑箱现象，认为缺乏解释性的决策系统难以满足现代社会对正当程序的要求。国外学界则提出“可解释人工智能”（XAI）的概念，试图通过技术手段提升算法透明度，但也有研究指出，可解释性与决策效率之间可能存在内在张力，单纯依靠技术改进难以彻底解决伦理困境。</w:t>
      </w:r>
    </w:p>
    <w:p w14:paraId="50B274F3">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15" w:name="_Toc1879550099"/>
      <w:bookmarkStart w:id="16" w:name="_Toc207997153"/>
      <w:bookmarkStart w:id="17" w:name="_Toc843931609"/>
      <w:r>
        <w:rPr>
          <w:rFonts w:hint="eastAsia" w:asciiTheme="minorEastAsia" w:hAnsiTheme="minorEastAsia" w:eastAsiaTheme="minorEastAsia" w:cstheme="minorEastAsia"/>
          <w:b/>
          <w:bCs/>
          <w:sz w:val="24"/>
          <w:szCs w:val="24"/>
          <w:lang w:eastAsia="zh-CN"/>
        </w:rPr>
        <w:t>人工智能决策责任归属问题的研究</w:t>
      </w:r>
      <w:bookmarkEnd w:id="15"/>
      <w:bookmarkEnd w:id="16"/>
      <w:bookmarkEnd w:id="17"/>
    </w:p>
    <w:p w14:paraId="26AC7727">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left"/>
        <w:textAlignment w:val="auto"/>
        <w:outlineLvl w:val="2"/>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责任主体模糊化问题</w:t>
      </w:r>
    </w:p>
    <w:p w14:paraId="5944E2E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当人工智能决策系统造成损害时，责任应由谁承担，是当前研究争论最为集中的问题之一。国内学者普遍认为，人工智能的引入打破了传统责任体系中“行为—结果—主体”的清晰对应关系。由于算法模型具有一定的自主学习能力，开发者、使用者和管理者之间的责任边界变得模糊。</w:t>
      </w:r>
    </w:p>
    <w:p w14:paraId="323360E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部分研究主张，应坚持“人类最终负责原则”，即无论系统自动化程度多高，责任都应由人类主体承担，以避免出现责任真空。也有学者提出，应根据具体应用场景区分开发责任、部署责任和使用责任，构建分层次的责任体系。</w:t>
      </w:r>
    </w:p>
    <w:p w14:paraId="24435476">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left"/>
        <w:textAlignment w:val="auto"/>
        <w:outlineLvl w:val="2"/>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国外关于算法问责的研究进展</w:t>
      </w:r>
    </w:p>
    <w:p w14:paraId="3B7C760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国外研究更强调制度化的算法问责机制。有学者指出，人工智能决策系统必须嵌入可追责框架，包括责任记录、决策审计和事后追溯机制，以确保技术应用不脱离社会控制。相关研究还强调，企业和公共机构在引入人工智能系统时，应承担更高程度的审慎义务，而不能以技术复杂性为由规避责任。</w:t>
      </w:r>
    </w:p>
    <w:p w14:paraId="581BD4E0">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18" w:name="_Toc304654900"/>
      <w:bookmarkStart w:id="19" w:name="_Toc949211740"/>
      <w:bookmarkStart w:id="20" w:name="_Toc1680576764"/>
      <w:r>
        <w:rPr>
          <w:rFonts w:hint="eastAsia" w:asciiTheme="minorEastAsia" w:hAnsiTheme="minorEastAsia" w:eastAsiaTheme="minorEastAsia" w:cstheme="minorEastAsia"/>
          <w:b/>
          <w:bCs/>
          <w:sz w:val="24"/>
          <w:szCs w:val="24"/>
          <w:lang w:eastAsia="zh-CN"/>
        </w:rPr>
        <w:t>人工智能伦理治理与制度回应研究</w:t>
      </w:r>
      <w:bookmarkEnd w:id="18"/>
      <w:bookmarkEnd w:id="19"/>
      <w:bookmarkEnd w:id="20"/>
    </w:p>
    <w:p w14:paraId="7328080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在应对人工智能决策系统伦理与责任问题方面，国内研究多从宏观治理层面提出建议，如建立人工智能伦理原则、完善相关法律法规、加强行业自律等。部分学者强调，应将伦理要求前置到工程设计阶段，通过“伦理嵌入式设计”减少技术风险。</w:t>
      </w:r>
    </w:p>
    <w:p w14:paraId="03306AE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国外研究则更加强调多主体协同治理，认为政府、企业、技术人员和公众应共同参与人工智能治理过程。同时，一些研究指出，仅依靠原则性规范难以应对复杂现实问题，亟需将伦理治理转化为可操作的制度与技术标准。</w:t>
      </w:r>
    </w:p>
    <w:p w14:paraId="7F4CFCB1">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21" w:name="_Toc1225928259"/>
      <w:bookmarkStart w:id="22" w:name="_Toc124517807"/>
      <w:bookmarkStart w:id="23" w:name="_Toc2060831497"/>
      <w:r>
        <w:rPr>
          <w:rFonts w:hint="eastAsia" w:asciiTheme="minorEastAsia" w:hAnsiTheme="minorEastAsia" w:eastAsiaTheme="minorEastAsia" w:cstheme="minorEastAsia"/>
          <w:b/>
          <w:bCs/>
          <w:sz w:val="24"/>
          <w:szCs w:val="24"/>
          <w:lang w:eastAsia="zh-CN"/>
        </w:rPr>
        <w:t>现有研究不足与发展趋势</w:t>
      </w:r>
      <w:bookmarkEnd w:id="21"/>
      <w:bookmarkEnd w:id="22"/>
      <w:bookmarkEnd w:id="23"/>
    </w:p>
    <w:p w14:paraId="14EC5A5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综合来看，现有研究为理解人工智能决策系统的伦理和责任问题提供了重要理论基础，但仍存在一定不足。首先，国内研究多停留在规范性讨论层面，缺乏对具体应用场景的深入案例分析。其次，不同学科之间的研究成果尚未充分融合，工程技术研究与社会伦理研究之间仍存在割裂现象。再次，现有责任讨论在实践操作层面仍面临诸多挑战，制度设计与技术现实之间存在张力。</w:t>
      </w:r>
    </w:p>
    <w:p w14:paraId="4D7DB1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未来研究有必要在工程实践与社会治理之间建立更紧密的联系，通过案例研究和跨学科方法，探索更加可行的人工智能伦理与责任治理路径。</w:t>
      </w:r>
    </w:p>
    <w:p w14:paraId="56E3A6DA">
      <w:pPr>
        <w:keepNext w:val="0"/>
        <w:keepLines w:val="0"/>
        <w:pageBreakBefore w:val="0"/>
        <w:widowControl w:val="0"/>
        <w:numPr>
          <w:ilvl w:val="0"/>
          <w:numId w:val="1"/>
        </w:numPr>
        <w:kinsoku/>
        <w:wordWrap/>
        <w:overflowPunct/>
        <w:topLinePunct w:val="0"/>
        <w:autoSpaceDE/>
        <w:autoSpaceDN/>
        <w:bidi w:val="0"/>
        <w:adjustRightInd/>
        <w:snapToGrid/>
        <w:spacing w:before="200" w:line="300" w:lineRule="auto"/>
        <w:ind w:left="0" w:leftChars="0" w:firstLine="0" w:firstLineChars="0"/>
        <w:jc w:val="left"/>
        <w:textAlignment w:val="auto"/>
        <w:outlineLvl w:val="0"/>
        <w:rPr>
          <w:rFonts w:hint="eastAsia" w:ascii="黑体" w:hAnsi="黑体" w:eastAsia="黑体" w:cs="黑体"/>
          <w:b/>
          <w:bCs/>
          <w:sz w:val="28"/>
          <w:szCs w:val="28"/>
          <w:lang w:eastAsia="zh-CN"/>
        </w:rPr>
      </w:pPr>
      <w:bookmarkStart w:id="24" w:name="_Toc393440100"/>
      <w:bookmarkStart w:id="25" w:name="_Toc233000373"/>
      <w:bookmarkStart w:id="26" w:name="_Toc44760983"/>
      <w:r>
        <w:rPr>
          <w:rFonts w:hint="eastAsia" w:ascii="黑体" w:hAnsi="黑体" w:eastAsia="黑体" w:cs="黑体"/>
          <w:b/>
          <w:bCs/>
          <w:sz w:val="28"/>
          <w:szCs w:val="28"/>
          <w:lang w:eastAsia="zh-CN"/>
        </w:rPr>
        <w:t>人工智能决策系统的伦理问题分析</w:t>
      </w:r>
      <w:bookmarkEnd w:id="24"/>
      <w:bookmarkEnd w:id="25"/>
      <w:bookmarkEnd w:id="26"/>
    </w:p>
    <w:p w14:paraId="6A84D117">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27" w:name="_Toc412412521"/>
      <w:bookmarkStart w:id="28" w:name="_Toc2079909342"/>
      <w:bookmarkStart w:id="29" w:name="_Toc1698633133"/>
      <w:r>
        <w:rPr>
          <w:rFonts w:hint="eastAsia" w:asciiTheme="minorEastAsia" w:hAnsiTheme="minorEastAsia" w:eastAsiaTheme="minorEastAsia" w:cstheme="minorEastAsia"/>
          <w:b/>
          <w:bCs/>
          <w:sz w:val="24"/>
          <w:szCs w:val="24"/>
          <w:lang w:eastAsia="zh-CN"/>
        </w:rPr>
        <w:t>算法偏见与决策公平性问题</w:t>
      </w:r>
      <w:bookmarkEnd w:id="27"/>
      <w:bookmarkEnd w:id="28"/>
      <w:bookmarkEnd w:id="29"/>
    </w:p>
    <w:p w14:paraId="31AC234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人工智能决策系统在运行过程中高度依赖历史数据和算法模型，其决策结果在很大程度上反映了既有社会结构和数据分布特征。因此，当训练数据本身存在偏差或不完整时，算法在学习过程中可能会固化甚至放大这些偏差，从而对特定群体造成不公平影响。相关研究表明，在招聘筛选、信贷评估和司法辅助等领域，人工智能系统可能在性别、年龄、地区或社会经济背景等方面表现出隐性歧视。</w:t>
      </w:r>
    </w:p>
    <w:p w14:paraId="48DB8E7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从工程角度看，算法偏见并非一定源于开发者的主观恶意，而往往是数据选择、特征建模和目标函数设定等技术环节综合作用的结果。然而，在实际应用中，算法偏见所造成的后果却具有明显的社会属性，直接影响个体的机会分配与社会资源获取。由于人工智能决策常被赋予“科学”“客观”的技术权威，其不公平结果反而更容易被忽视或合理化，从而削弱社会对不公正现象的敏感度。</w:t>
      </w:r>
    </w:p>
    <w:p w14:paraId="4D86F4D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在“工程与社会”的视角下，算法偏见问题揭示了技术理性与社会价值之间的张力。单纯依赖技术优化难以彻底消除偏见风险，若缺乏伦理约束和制度干预，人工智能决策系统可能在无意中加剧社会不平等，进而对社会公正产生深远影响。</w:t>
      </w:r>
    </w:p>
    <w:p w14:paraId="0090A302">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30" w:name="_Toc1800617744"/>
      <w:bookmarkStart w:id="31" w:name="_Toc1758666116"/>
      <w:bookmarkStart w:id="32" w:name="_Toc739325011"/>
      <w:r>
        <w:rPr>
          <w:rFonts w:hint="eastAsia" w:asciiTheme="minorEastAsia" w:hAnsiTheme="minorEastAsia" w:eastAsiaTheme="minorEastAsia" w:cstheme="minorEastAsia"/>
          <w:b/>
          <w:bCs/>
          <w:sz w:val="24"/>
          <w:szCs w:val="24"/>
          <w:lang w:eastAsia="zh-CN"/>
        </w:rPr>
        <w:t>决策过程不透明与可解释性不足问题</w:t>
      </w:r>
      <w:bookmarkEnd w:id="30"/>
      <w:bookmarkEnd w:id="31"/>
      <w:bookmarkEnd w:id="32"/>
    </w:p>
    <w:p w14:paraId="22E5E2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人工智能决策系统，尤其是基于深度学习的模型，往往具有高度复杂的内部结构，其决策逻辑难以被直观理解。这种“黑箱化”特征使得系统在作出关键判断时，相关主体难以清楚地说明决策依据和推理过程，从而引发一系列伦理和社会问题。</w:t>
      </w:r>
    </w:p>
    <w:p w14:paraId="5778E1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在涉及公共利益或个体权利的重要决策场景中，决策过程的不透明性可能损害当事人的知情权和申诉权。例如，当个人因算法评估结果而被拒绝贷款、录用或医疗资源时，如果无法获知具体原因，其合法权益便难以得到有效保障。此外，不透明的决策机制也增加了错误决策长期存在的风险，使系统缺陷难以及时被发现和纠正。</w:t>
      </w:r>
    </w:p>
    <w:p w14:paraId="23DF843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尽管“可解释人工智能”被视为解决该问题的重要技术方向，但现有研究指出，可解释性往往需要在准确性、效率和复杂度之间进行权衡。在实际工程应用中，企业和机构可能更倾向于追求性能指标，而忽视解释性要求。因此，决策不透明问题不仅是技术难题，更是工程实践中价值取向选择的结果，反映了效率优先与伦理保障之间的冲突。</w:t>
      </w:r>
    </w:p>
    <w:p w14:paraId="13BC0D25">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0" w:leftChars="0" w:firstLine="0" w:firstLineChars="0"/>
        <w:jc w:val="left"/>
        <w:textAlignment w:val="auto"/>
        <w:outlineLvl w:val="1"/>
        <w:rPr>
          <w:rFonts w:hint="eastAsia" w:asciiTheme="minorEastAsia" w:hAnsiTheme="minorEastAsia" w:eastAsiaTheme="minorEastAsia" w:cstheme="minorEastAsia"/>
          <w:b/>
          <w:bCs/>
          <w:sz w:val="24"/>
          <w:szCs w:val="24"/>
          <w:lang w:eastAsia="zh-CN"/>
        </w:rPr>
      </w:pPr>
      <w:bookmarkStart w:id="33" w:name="_Toc1137013359"/>
      <w:bookmarkStart w:id="34" w:name="_Toc1848013088"/>
      <w:bookmarkStart w:id="35" w:name="_Toc103657270"/>
      <w:r>
        <w:rPr>
          <w:rFonts w:hint="eastAsia" w:asciiTheme="minorEastAsia" w:hAnsiTheme="minorEastAsia" w:eastAsiaTheme="minorEastAsia" w:cstheme="minorEastAsia"/>
          <w:b/>
          <w:bCs/>
          <w:sz w:val="24"/>
          <w:szCs w:val="24"/>
          <w:lang w:eastAsia="zh-CN"/>
        </w:rPr>
        <w:t>人工智能决策责任主体模糊化问题</w:t>
      </w:r>
      <w:bookmarkEnd w:id="33"/>
      <w:bookmarkEnd w:id="34"/>
      <w:bookmarkEnd w:id="35"/>
    </w:p>
    <w:p w14:paraId="0A21D62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人工智能决策系统的广泛应用，使传统责任认定机制面临新的挑战。在经典责任框架中，行为主体、行为过程和行为后果之间通常具有较为清晰的对应关系。然而，在人工智能决策场景下，算法模型的自主性和复杂性打破了这种线性关系，使责任归属变得模糊。一方面，人工智能系统的决策结果是开发者、数据提供者、系统部署者和使用者共同作用的产物，任何单一主体都难以完全控制系统行为；另一方面，当系统发生错误或造成损害时，各参与主体往往倾向于将责任归因于技术本身，从而形成“责任转移”甚至“责任真空”的现象。这种模糊化趋势不仅削弱了责任追究的可行性，也可能降低相关主体在工程设计和使用过程中的风险意识。</w:t>
      </w:r>
    </w:p>
    <w:p w14:paraId="712C2F1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从社会治理角度看，责任主体不清会削弱公众对人工智能系统的信任，进而影响技术的社会接受度。如果缺乏明确的责任机制，人工智能决策系统一旦发生重大失误，可能引发更广泛的社会争议和制度风险。</w:t>
      </w:r>
    </w:p>
    <w:p w14:paraId="2F993610">
      <w:pPr>
        <w:keepNext w:val="0"/>
        <w:keepLines w:val="0"/>
        <w:pageBreakBefore w:val="0"/>
        <w:widowControl w:val="0"/>
        <w:numPr>
          <w:ilvl w:val="0"/>
          <w:numId w:val="1"/>
        </w:numPr>
        <w:kinsoku/>
        <w:wordWrap/>
        <w:overflowPunct/>
        <w:topLinePunct w:val="0"/>
        <w:autoSpaceDE/>
        <w:autoSpaceDN/>
        <w:bidi w:val="0"/>
        <w:adjustRightInd/>
        <w:snapToGrid/>
        <w:spacing w:before="200" w:line="300" w:lineRule="auto"/>
        <w:ind w:left="0" w:leftChars="0" w:firstLine="0" w:firstLineChars="0"/>
        <w:jc w:val="left"/>
        <w:textAlignment w:val="auto"/>
        <w:outlineLvl w:val="0"/>
        <w:rPr>
          <w:rFonts w:hint="eastAsia" w:ascii="黑体" w:hAnsi="黑体" w:eastAsia="黑体" w:cs="黑体"/>
          <w:b/>
          <w:bCs/>
          <w:sz w:val="28"/>
          <w:szCs w:val="28"/>
          <w:lang w:eastAsia="zh-CN"/>
        </w:rPr>
      </w:pPr>
      <w:bookmarkStart w:id="36" w:name="_Toc665722478"/>
      <w:bookmarkStart w:id="37" w:name="_Toc1590741279"/>
      <w:bookmarkStart w:id="38" w:name="_Toc1779100438"/>
      <w:r>
        <w:rPr>
          <w:rFonts w:hint="eastAsia" w:ascii="黑体" w:hAnsi="黑体" w:eastAsia="黑体" w:cs="黑体"/>
          <w:b/>
          <w:bCs/>
          <w:sz w:val="28"/>
          <w:szCs w:val="28"/>
          <w:lang w:eastAsia="zh-CN"/>
        </w:rPr>
        <w:t>人工智能决策系统的责任困境</w:t>
      </w:r>
      <w:bookmarkEnd w:id="36"/>
      <w:bookmarkEnd w:id="37"/>
      <w:bookmarkEnd w:id="38"/>
    </w:p>
    <w:p w14:paraId="445AEE9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在人工智能决策系统的实际应用中，责任问题之所以凸显，根本原因在于传统责任认定逻辑与智能技术运行机制之间存在结构性不匹配。传统工程系统通常遵循“人—工具—结果”的线性责任模式，即工具本身不承担责任，最终责任可清晰追溯至具体行为主体。然而，人工智能决策系统通过算法模型和数据训练形成复杂的决策机制，其运行结果往往并非由单一主体直接控制，而是多方因素共同作用的结果。</w:t>
      </w:r>
    </w:p>
    <w:p w14:paraId="06FA992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从工程流程角度看，人工智能决策系统通常经历数据采集、模型设计、系统部署和实际应用等多个环节，不同阶段分别由不同主体负责。例如，数据可能由第三方机构提供，算法模型由工程师开发，系统由企业或政府部门部署，而具体决策结果则在运行过程中自动生成。这种高度分工的技术生产模式，使责任在不同主体之间被不断分散，从而增加了责任认定的难度。</w:t>
      </w:r>
    </w:p>
    <w:p w14:paraId="1115C404">
      <w:pPr>
        <w:keepNext w:val="0"/>
        <w:keepLines w:val="0"/>
        <w:pageBreakBefore w:val="0"/>
        <w:widowControl w:val="0"/>
        <w:numPr>
          <w:ilvl w:val="0"/>
          <w:numId w:val="1"/>
        </w:numPr>
        <w:kinsoku/>
        <w:wordWrap/>
        <w:overflowPunct/>
        <w:topLinePunct w:val="0"/>
        <w:autoSpaceDE/>
        <w:autoSpaceDN/>
        <w:bidi w:val="0"/>
        <w:adjustRightInd/>
        <w:snapToGrid/>
        <w:spacing w:before="200" w:line="300" w:lineRule="auto"/>
        <w:ind w:left="0" w:leftChars="0" w:firstLine="0" w:firstLineChars="0"/>
        <w:jc w:val="left"/>
        <w:textAlignment w:val="auto"/>
        <w:outlineLvl w:val="0"/>
        <w:rPr>
          <w:rFonts w:hint="eastAsia" w:ascii="黑体" w:hAnsi="黑体" w:eastAsia="黑体" w:cs="黑体"/>
          <w:b/>
          <w:bCs/>
          <w:sz w:val="28"/>
          <w:szCs w:val="28"/>
          <w:lang w:eastAsia="zh-CN"/>
        </w:rPr>
      </w:pPr>
      <w:bookmarkStart w:id="39" w:name="_Toc296095469"/>
      <w:r>
        <w:rPr>
          <w:rFonts w:hint="eastAsia" w:ascii="黑体" w:hAnsi="黑体" w:eastAsia="黑体" w:cs="黑体"/>
          <w:b/>
          <w:bCs/>
          <w:sz w:val="28"/>
          <w:szCs w:val="28"/>
          <w:lang w:eastAsia="zh-CN"/>
        </w:rPr>
        <w:t>结语</w:t>
      </w:r>
      <w:bookmarkEnd w:id="39"/>
    </w:p>
    <w:p w14:paraId="2FD0510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人工智能决策系统作为信息工程领域的重要应用，在提升决策效率、优化资源配置和推动社会治理现代化方面发挥了显著作用。然而，随着技术应用的深入，其伦理问题与责任困境也愈发突出。本文从“工程与社会”的分析视角出发，系统梳理了人工智能决策系统在实际应用中面临的主要伦理风险，分析了责任归属在多主体、多环节和系统自主性背景下的复杂性。</w:t>
      </w:r>
    </w:p>
    <w:p w14:paraId="2D24540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基于上述分析，本文认为，完善人工智能决策系统的伦理治理与责任体系需采取综合性策略：在工程层面，应将伦理设计前置于系统开发全过程，通过数据优化、算法可解释性提升和风险评估机制嵌入技术流程；在制度层面，应建立明确的责任划分框架和问责机制，强化监管和公众监督。</w:t>
      </w:r>
    </w:p>
    <w:p w14:paraId="204376C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r>
        <w:rPr>
          <w:rFonts w:hint="eastAsia"/>
          <w:lang w:eastAsia="zh-CN"/>
        </w:rPr>
        <w:t>总体而言，人工智能决策系统的伦理与责任问题不仅关系到技术的可持续发展，也关系到社会公正与制度信任。通过理论分析与实践指引的结合，可以为人工智能技术的负责任应用提供更加系统、可操作的路径，从而促进信息工程与社会治理的协同发展。</w:t>
      </w:r>
    </w:p>
    <w:p w14:paraId="6CB1C79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1A27602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7B01687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705FF14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0A29A75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2976FD7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4C3A72E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6EA3960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17BDC7E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351EBAA1">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6733CE7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5E8AD95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7F5B3A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530F12E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5845B74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2E221FD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15DC62CC">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jc w:val="left"/>
        <w:textAlignment w:val="auto"/>
        <w:rPr>
          <w:rFonts w:hint="eastAsia"/>
          <w:lang w:eastAsia="zh-CN"/>
        </w:rPr>
      </w:pPr>
    </w:p>
    <w:p w14:paraId="743BC597">
      <w:pPr>
        <w:jc w:val="center"/>
        <w:outlineLvl w:val="0"/>
        <w:rPr>
          <w:rFonts w:hint="eastAsia" w:ascii="黑体" w:hAnsi="黑体" w:eastAsia="黑体" w:cs="黑体"/>
          <w:b/>
          <w:bCs/>
          <w:kern w:val="2"/>
          <w:sz w:val="32"/>
          <w:szCs w:val="32"/>
          <w:lang w:val="en-US" w:eastAsia="zh-CN" w:bidi="ar-SA"/>
        </w:rPr>
      </w:pPr>
      <w:bookmarkStart w:id="40" w:name="_Toc607382635"/>
      <w:r>
        <w:rPr>
          <w:rFonts w:hint="eastAsia" w:ascii="黑体" w:hAnsi="黑体" w:eastAsia="黑体" w:cs="黑体"/>
          <w:b/>
          <w:bCs/>
          <w:kern w:val="2"/>
          <w:sz w:val="32"/>
          <w:szCs w:val="32"/>
          <w:lang w:val="en-US" w:eastAsia="zh-CN" w:bidi="ar-SA"/>
        </w:rPr>
        <w:t>参考文献</w:t>
      </w:r>
      <w:bookmarkEnd w:id="40"/>
    </w:p>
    <w:p w14:paraId="0A1B8853">
      <w:pPr>
        <w:keepNext w:val="0"/>
        <w:keepLines w:val="0"/>
        <w:pageBreakBefore w:val="0"/>
        <w:widowControl/>
        <w:kinsoku/>
        <w:wordWrap/>
        <w:overflowPunct/>
        <w:topLinePunct w:val="0"/>
        <w:autoSpaceDE/>
        <w:autoSpaceDN/>
        <w:bidi w:val="0"/>
        <w:adjustRightInd/>
        <w:snapToGrid/>
        <w:ind w:left="479" w:leftChars="228" w:firstLine="0" w:firstLineChars="0"/>
        <w:jc w:val="left"/>
        <w:textAlignment w:val="auto"/>
        <w:rPr>
          <w:rFonts w:hint="default" w:ascii="Times New Roman" w:hAnsi="Times New Roman" w:eastAsia="宋体" w:cs="Times New Roman"/>
          <w:sz w:val="24"/>
          <w:szCs w:val="24"/>
          <w:lang w:eastAsia="zh-CN"/>
        </w:rPr>
      </w:pPr>
      <w:r>
        <w:rPr>
          <w:rFonts w:hint="eastAsia" w:ascii="宋体" w:hAnsi="宋体" w:eastAsia="宋体" w:cs="宋体"/>
          <w:sz w:val="24"/>
          <w:szCs w:val="24"/>
          <w:lang w:eastAsia="zh-CN"/>
        </w:rPr>
        <w:t xml:space="preserve">[1] </w:t>
      </w:r>
      <w:r>
        <w:rPr>
          <w:rFonts w:hint="default" w:ascii="Times New Roman" w:hAnsi="Times New Roman" w:eastAsia="宋体" w:cs="Times New Roman"/>
          <w:sz w:val="24"/>
          <w:szCs w:val="24"/>
          <w:lang w:eastAsia="zh-CN"/>
        </w:rPr>
        <w:t>Lima G, Grgić-Hlača N, Jeong J K, Cha M. The Conflict Between Explainable and Accountable Decision-Making Algorithms[J]. arXiv, 2022. :contentReference[oaicite:0]{index=0}</w:t>
      </w:r>
    </w:p>
    <w:p w14:paraId="484DCFA0">
      <w:pPr>
        <w:keepNext w:val="0"/>
        <w:keepLines w:val="0"/>
        <w:pageBreakBefore w:val="0"/>
        <w:widowControl/>
        <w:kinsoku/>
        <w:wordWrap/>
        <w:overflowPunct/>
        <w:topLinePunct w:val="0"/>
        <w:autoSpaceDE/>
        <w:autoSpaceDN/>
        <w:bidi w:val="0"/>
        <w:adjustRightInd/>
        <w:snapToGrid/>
        <w:ind w:left="479" w:leftChars="228" w:firstLine="0" w:firstLineChars="0"/>
        <w:jc w:val="left"/>
        <w:textAlignment w:val="auto"/>
        <w:rPr>
          <w:rFonts w:hint="eastAsia" w:asciiTheme="minorEastAsia" w:hAnsiTheme="minorEastAsia" w:eastAsiaTheme="minorEastAsia" w:cstheme="minorEastAsia"/>
          <w:b w:val="0"/>
          <w:bCs w:val="0"/>
          <w:sz w:val="24"/>
          <w:szCs w:val="24"/>
          <w:lang w:eastAsia="zh-CN"/>
        </w:rPr>
      </w:pPr>
      <w:r>
        <w:rPr>
          <w:rFonts w:hint="eastAsia" w:ascii="宋体" w:hAnsi="宋体" w:eastAsia="宋体" w:cs="宋体"/>
          <w:b w:val="0"/>
          <w:bCs w:val="0"/>
          <w:sz w:val="24"/>
          <w:szCs w:val="24"/>
          <w:lang w:eastAsia="zh-CN"/>
        </w:rPr>
        <w:t xml:space="preserve">[2] </w:t>
      </w:r>
      <w:r>
        <w:rPr>
          <w:rFonts w:hint="eastAsia" w:ascii="Times New Roman" w:hAnsi="Times New Roman" w:eastAsia="宋体" w:cs="Times New Roman"/>
          <w:b w:val="0"/>
          <w:bCs w:val="0"/>
          <w:sz w:val="24"/>
          <w:szCs w:val="24"/>
          <w:lang w:eastAsia="zh-CN"/>
        </w:rPr>
        <w:t>Guan H J, Dong L Y, Zhao A W. Ethical Risk Factors and Mechanisms in Artificial Intelligence Decision Making[J]. Behavioural Sciences (Basel), 2022, 12(9):343. :contentReference[oaicite:1]{index=1}</w:t>
      </w:r>
    </w:p>
    <w:p w14:paraId="57A69A7F">
      <w:pPr>
        <w:numPr>
          <w:ilvl w:val="0"/>
          <w:numId w:val="0"/>
        </w:numPr>
        <w:ind w:left="420" w:leftChars="0"/>
        <w:jc w:val="left"/>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[3] 吴文峻, 黄铁军, 龚克. 中国人工智能的伦理原则及其治理技术发展[J]. 工程（英文）, 2020, 6(3):302–309. :contentReference[oaicite:2]{index=2}</w:t>
      </w:r>
    </w:p>
    <w:p w14:paraId="15068D8E">
      <w:pPr>
        <w:numPr>
          <w:ilvl w:val="0"/>
          <w:numId w:val="0"/>
        </w:numPr>
        <w:ind w:left="420" w:leftChars="0"/>
        <w:jc w:val="left"/>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[4] 刘露, 杨晓雷, 高文. 我国人工智能伦理监管需求分析及对策研究[J]. 中国工程科学, 2021, 23(3):106–112. :contentReference[oaicite:3]{index=3}</w:t>
      </w:r>
    </w:p>
    <w:p w14:paraId="66FC6C50">
      <w:pPr>
        <w:numPr>
          <w:ilvl w:val="0"/>
          <w:numId w:val="0"/>
        </w:numPr>
        <w:ind w:left="420" w:leftChars="0"/>
        <w:jc w:val="left"/>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[5] 孙羽佳, 郭雪俐, 苏凇, 唐红红. 人工智能伦理问题与治理对策综述研究[J]. 经济管理, 2025, (5):见文献综述. :contentReference[oaicite:4]{index=4}</w:t>
      </w:r>
    </w:p>
    <w:p w14:paraId="7FE42EA7">
      <w:pPr>
        <w:numPr>
          <w:ilvl w:val="0"/>
          <w:numId w:val="0"/>
        </w:numPr>
        <w:ind w:left="420" w:leftChars="0"/>
        <w:jc w:val="left"/>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[6] 中央网络安全和信息化委员会办公室. 人工智能伦理研究的意义及重点[N]. 网络传播, 2020-04-17. :contentReference[oaicite:5]{index=5}</w:t>
      </w:r>
    </w:p>
    <w:p w14:paraId="1E2EA60D">
      <w:pPr>
        <w:numPr>
          <w:ilvl w:val="0"/>
          <w:numId w:val="0"/>
        </w:numPr>
        <w:ind w:left="420" w:leftChars="0"/>
        <w:jc w:val="left"/>
        <w:rPr>
          <w:rFonts w:hint="default" w:ascii="Times New Roman" w:hAnsi="Times New Roman" w:cs="Times New Roman" w:eastAsiaTheme="minorEastAsia"/>
          <w:b/>
          <w:bCs/>
          <w:sz w:val="24"/>
          <w:szCs w:val="24"/>
          <w:lang w:eastAsia="zh-CN"/>
        </w:rPr>
      </w:pPr>
      <w:r>
        <w:rPr>
          <w:rFonts w:hint="eastAsia" w:ascii="宋体" w:hAnsi="宋体" w:eastAsia="宋体" w:cs="宋体"/>
          <w:b w:val="0"/>
          <w:bCs w:val="0"/>
          <w:sz w:val="24"/>
          <w:szCs w:val="24"/>
          <w:lang w:eastAsia="zh-CN"/>
        </w:rPr>
        <w:t>[7]</w:t>
      </w:r>
      <w:r>
        <w:rPr>
          <w:rFonts w:hint="eastAsia" w:ascii="宋体" w:hAnsi="宋体" w:eastAsia="宋体" w:cs="宋体"/>
          <w:b/>
          <w:bCs/>
          <w:sz w:val="24"/>
          <w:szCs w:val="24"/>
          <w:lang w:val="en-US" w:eastAsia="zh-CN"/>
        </w:rPr>
        <w:t xml:space="preserve"> </w:t>
      </w:r>
      <w:r>
        <w:rPr>
          <w:rFonts w:hint="default" w:ascii="Times New Roman" w:hAnsi="Times New Roman" w:cs="Times New Roman" w:eastAsiaTheme="minorEastAsia"/>
          <w:b w:val="0"/>
          <w:bCs w:val="0"/>
          <w:sz w:val="24"/>
          <w:szCs w:val="24"/>
          <w:lang w:eastAsia="zh-CN"/>
        </w:rPr>
        <w:t>Dignum V. Responsibility and Artificial Intelligence[C]// The Oxford Handbook of Ethics of AI. Oxford: Oxford University Press, 2020:214–231. :contentReference[oaicite:6]{index=6}</w:t>
      </w:r>
    </w:p>
    <w:p w14:paraId="16E52B54">
      <w:pPr>
        <w:numPr>
          <w:ilvl w:val="0"/>
          <w:numId w:val="0"/>
        </w:numPr>
        <w:ind w:left="420" w:leftChars="0"/>
        <w:jc w:val="left"/>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val="0"/>
          <w:bCs w:val="0"/>
          <w:sz w:val="24"/>
          <w:szCs w:val="24"/>
          <w:lang w:eastAsia="zh-CN"/>
        </w:rPr>
        <w:t xml:space="preserve">[8] </w:t>
      </w:r>
      <w:r>
        <w:rPr>
          <w:rFonts w:hint="default" w:ascii="Times New Roman" w:hAnsi="Times New Roman" w:cs="Times New Roman" w:eastAsiaTheme="minorEastAsia"/>
          <w:b w:val="0"/>
          <w:bCs w:val="0"/>
          <w:sz w:val="24"/>
          <w:szCs w:val="24"/>
          <w:lang w:eastAsia="zh-CN"/>
        </w:rPr>
        <w:t>Saraiva L. Moral Agency and Responsibility in AI Systems[J]. International Journal of Philosophy, 2025. :contentReference[oaicite:7]{index=7}</w:t>
      </w:r>
    </w:p>
    <w:p w14:paraId="17859E79">
      <w:pPr>
        <w:numPr>
          <w:ilvl w:val="0"/>
          <w:numId w:val="0"/>
        </w:numPr>
        <w:ind w:left="420" w:leftChars="0"/>
        <w:jc w:val="left"/>
        <w:rPr>
          <w:rFonts w:hint="default" w:ascii="Times New Roman" w:hAnsi="Times New Roman" w:cs="Times New Roman" w:eastAsia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 xml:space="preserve">[9] </w:t>
      </w:r>
      <w:r>
        <w:rPr>
          <w:rFonts w:hint="eastAsia" w:asciiTheme="minorEastAsia" w:hAnsiTheme="minorEastAsia" w:eastAsiaTheme="minorEastAsia" w:cstheme="minorEastAsia"/>
          <w:b/>
          <w:bCs/>
          <w:sz w:val="24"/>
          <w:szCs w:val="24"/>
          <w:lang w:eastAsia="zh-CN"/>
        </w:rPr>
        <w:t>Lo Bu</w:t>
      </w:r>
      <w:r>
        <w:rPr>
          <w:rFonts w:hint="default" w:ascii="Times New Roman" w:hAnsi="Times New Roman" w:cs="Times New Roman" w:eastAsiaTheme="minorEastAsia"/>
          <w:b w:val="0"/>
          <w:bCs w:val="0"/>
          <w:sz w:val="24"/>
          <w:szCs w:val="24"/>
          <w:lang w:eastAsia="zh-CN"/>
        </w:rPr>
        <w:t>e S, Prével A, Caspar E A, Salatino A. Influence of AI Behavior on Human Moral Decisions, Agency, and Responsibility[J]. Scientific Reports, 2025. :contentReference[oaicite:8]{index=8}</w:t>
      </w:r>
    </w:p>
    <w:p w14:paraId="43C320DD">
      <w:pPr>
        <w:numPr>
          <w:ilvl w:val="0"/>
          <w:numId w:val="0"/>
        </w:numPr>
        <w:ind w:left="420" w:leftChars="0"/>
        <w:jc w:val="left"/>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lang w:eastAsia="zh-CN"/>
        </w:rPr>
        <w:t>[10] 人工智能伦理问题建议书及其对我国科技伦理治理的启示[J]. 发展权研究, 2025(1). :contentReference[oaicite:9]{index=9}</w:t>
      </w:r>
    </w:p>
    <w:p w14:paraId="4742591F">
      <w:pPr>
        <w:numPr>
          <w:ilvl w:val="0"/>
          <w:numId w:val="0"/>
        </w:numPr>
        <w:jc w:val="left"/>
        <w:rPr>
          <w:rFonts w:hint="eastAsia" w:asciiTheme="minorEastAsia" w:hAnsiTheme="minorEastAsia" w:eastAsiaTheme="minorEastAsia" w:cstheme="minorEastAsia"/>
          <w:b/>
          <w:bCs/>
          <w:sz w:val="24"/>
          <w:szCs w:val="24"/>
          <w:lang w:eastAsia="zh-CN"/>
        </w:rPr>
        <w:sectPr>
          <w:footerReference r:id="rId3" w:type="default"/>
          <w:pgSz w:w="11906" w:h="16838"/>
          <w:pgMar w:top="1440" w:right="1800" w:bottom="1440" w:left="1800" w:header="851" w:footer="992" w:gutter="0"/>
          <w:pgNumType w:fmt="decimal"/>
          <w:cols w:space="425" w:num="1"/>
          <w:docGrid w:type="lines" w:linePitch="312" w:charSpace="0"/>
        </w:sectPr>
      </w:pPr>
    </w:p>
    <w:p w14:paraId="1B7955C7">
      <w:pPr>
        <w:numPr>
          <w:ilvl w:val="0"/>
          <w:numId w:val="0"/>
        </w:numPr>
        <w:ind w:left="420" w:leftChars="0"/>
        <w:jc w:val="left"/>
        <w:rPr>
          <w:rFonts w:hint="eastAsia"/>
          <w:lang w:eastAsia="zh-CN"/>
        </w:rPr>
      </w:pPr>
      <w:r>
        <w:drawing>
          <wp:inline distT="0" distB="0" distL="114300" distR="114300">
            <wp:extent cx="5086350" cy="68103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086350" cy="6810375"/>
                    </a:xfrm>
                    <a:prstGeom prst="rect">
                      <a:avLst/>
                    </a:prstGeom>
                    <a:noFill/>
                    <a:ln>
                      <a:noFill/>
                    </a:ln>
                  </pic:spPr>
                </pic:pic>
              </a:graphicData>
            </a:graphic>
          </wp:inline>
        </w:drawing>
      </w:r>
      <w:bookmarkStart w:id="41" w:name="_GoBack"/>
      <w:bookmarkEnd w:id="41"/>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B129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8C89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8C89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D5F63"/>
    <w:multiLevelType w:val="singleLevel"/>
    <w:tmpl w:val="BBFD5F63"/>
    <w:lvl w:ilvl="0" w:tentative="0">
      <w:start w:val="1"/>
      <w:numFmt w:val="decimal"/>
      <w:lvlText w:val="%1."/>
      <w:lvlJc w:val="left"/>
      <w:pPr>
        <w:ind w:left="425" w:hanging="425"/>
      </w:pPr>
      <w:rPr>
        <w:rFonts w:hint="default"/>
      </w:rPr>
    </w:lvl>
  </w:abstractNum>
  <w:abstractNum w:abstractNumId="1">
    <w:nsid w:val="FFFB8E17"/>
    <w:multiLevelType w:val="singleLevel"/>
    <w:tmpl w:val="FFFB8E17"/>
    <w:lvl w:ilvl="0" w:tentative="0">
      <w:start w:val="1"/>
      <w:numFmt w:val="chineseCounting"/>
      <w:suff w:val="nothing"/>
      <w:lvlText w:val="（%1）"/>
      <w:lvlJc w:val="left"/>
      <w:pPr>
        <w:ind w:left="0" w:firstLine="420"/>
      </w:pPr>
      <w:rPr>
        <w:rFonts w:hint="eastAsia"/>
      </w:rPr>
    </w:lvl>
  </w:abstractNum>
  <w:abstractNum w:abstractNumId="2">
    <w:nsid w:val="5FFE84BC"/>
    <w:multiLevelType w:val="singleLevel"/>
    <w:tmpl w:val="5FFE84BC"/>
    <w:lvl w:ilvl="0" w:tentative="0">
      <w:start w:val="1"/>
      <w:numFmt w:val="chineseCounting"/>
      <w:suff w:val="nothing"/>
      <w:lvlText w:val="（%1）"/>
      <w:lvlJc w:val="left"/>
      <w:pPr>
        <w:ind w:left="0" w:firstLine="420"/>
      </w:pPr>
      <w:rPr>
        <w:rFonts w:hint="eastAsia"/>
      </w:rPr>
    </w:lvl>
  </w:abstractNum>
  <w:abstractNum w:abstractNumId="3">
    <w:nsid w:val="7EFB66C4"/>
    <w:multiLevelType w:val="singleLevel"/>
    <w:tmpl w:val="7EFB66C4"/>
    <w:lvl w:ilvl="0" w:tentative="0">
      <w:start w:val="1"/>
      <w:numFmt w:val="decimal"/>
      <w:lvlText w:val="%1."/>
      <w:lvlJc w:val="left"/>
      <w:pPr>
        <w:ind w:left="425" w:hanging="425"/>
      </w:pPr>
      <w:rPr>
        <w:rFonts w:hint="default"/>
      </w:rPr>
    </w:lvl>
  </w:abstractNum>
  <w:abstractNum w:abstractNumId="4">
    <w:nsid w:val="7FAC0420"/>
    <w:multiLevelType w:val="singleLevel"/>
    <w:tmpl w:val="7FAC0420"/>
    <w:lvl w:ilvl="0" w:tentative="0">
      <w:start w:val="1"/>
      <w:numFmt w:val="chineseCounting"/>
      <w:suff w:val="nothing"/>
      <w:lvlText w:val="%1、"/>
      <w:lvlJc w:val="left"/>
      <w:pPr>
        <w:ind w:left="0" w:firstLine="420"/>
      </w:pPr>
      <w:rPr>
        <w:rFonts w:hint="eastAsia"/>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0B7848A"/>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7F6069"/>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AD76159"/>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7DF1E8"/>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BD30A0"/>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4FF82387"/>
    <w:rsid w:val="4FFFFD4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1DEE"/>
    <w:rsid w:val="5BDF636A"/>
    <w:rsid w:val="5BE10978"/>
    <w:rsid w:val="5BE12024"/>
    <w:rsid w:val="5BEF5A46"/>
    <w:rsid w:val="5BF56CB9"/>
    <w:rsid w:val="5BFC7A94"/>
    <w:rsid w:val="5C2364B8"/>
    <w:rsid w:val="5C4D301C"/>
    <w:rsid w:val="5C655F73"/>
    <w:rsid w:val="5C6F7658"/>
    <w:rsid w:val="5CA81EF5"/>
    <w:rsid w:val="5CDA5642"/>
    <w:rsid w:val="5CE74C11"/>
    <w:rsid w:val="5CEF4B99"/>
    <w:rsid w:val="5D1822EE"/>
    <w:rsid w:val="5D3D164C"/>
    <w:rsid w:val="5D3F11BE"/>
    <w:rsid w:val="5D9F3646"/>
    <w:rsid w:val="5D9F51B4"/>
    <w:rsid w:val="5DA06E03"/>
    <w:rsid w:val="5DB63D14"/>
    <w:rsid w:val="5DBA2BF4"/>
    <w:rsid w:val="5DBF561F"/>
    <w:rsid w:val="5DEFF8C3"/>
    <w:rsid w:val="5E220830"/>
    <w:rsid w:val="5ECE56D2"/>
    <w:rsid w:val="5ED3116B"/>
    <w:rsid w:val="5F683814"/>
    <w:rsid w:val="5F7433F3"/>
    <w:rsid w:val="5F7F741A"/>
    <w:rsid w:val="5F9263BA"/>
    <w:rsid w:val="5FAB5496"/>
    <w:rsid w:val="5FAE689A"/>
    <w:rsid w:val="5FDA4180"/>
    <w:rsid w:val="5FE67486"/>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7D1FF7"/>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7F6FAEF"/>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5FCAD7"/>
    <w:rsid w:val="6FAF0345"/>
    <w:rsid w:val="6FF95ED8"/>
    <w:rsid w:val="6FFE60E4"/>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3FA808"/>
    <w:rsid w:val="725B35F4"/>
    <w:rsid w:val="7272193A"/>
    <w:rsid w:val="72BF57B8"/>
    <w:rsid w:val="730C63AE"/>
    <w:rsid w:val="73375123"/>
    <w:rsid w:val="73452CB6"/>
    <w:rsid w:val="73A7327C"/>
    <w:rsid w:val="73A73B45"/>
    <w:rsid w:val="73E84BF5"/>
    <w:rsid w:val="73EE3CE3"/>
    <w:rsid w:val="73FF7713"/>
    <w:rsid w:val="741E2EDB"/>
    <w:rsid w:val="7463055A"/>
    <w:rsid w:val="746D5BA1"/>
    <w:rsid w:val="749931EB"/>
    <w:rsid w:val="74CC6DE2"/>
    <w:rsid w:val="74D465C0"/>
    <w:rsid w:val="74F76505"/>
    <w:rsid w:val="75852A9A"/>
    <w:rsid w:val="75992F1A"/>
    <w:rsid w:val="75B77870"/>
    <w:rsid w:val="75F90E62"/>
    <w:rsid w:val="75FB52C0"/>
    <w:rsid w:val="76B03BBC"/>
    <w:rsid w:val="76D76374"/>
    <w:rsid w:val="76FCC829"/>
    <w:rsid w:val="771320CA"/>
    <w:rsid w:val="77330AA0"/>
    <w:rsid w:val="773A2B71"/>
    <w:rsid w:val="7752328F"/>
    <w:rsid w:val="778140BE"/>
    <w:rsid w:val="77975DE6"/>
    <w:rsid w:val="779B6429"/>
    <w:rsid w:val="779F4E6A"/>
    <w:rsid w:val="77A63939"/>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BDD8CE6"/>
    <w:rsid w:val="7C151E55"/>
    <w:rsid w:val="7C3542EB"/>
    <w:rsid w:val="7C8E6B80"/>
    <w:rsid w:val="7C942D51"/>
    <w:rsid w:val="7CBEAA8E"/>
    <w:rsid w:val="7CC96591"/>
    <w:rsid w:val="7CF61E83"/>
    <w:rsid w:val="7DC765C9"/>
    <w:rsid w:val="7DCF9E66"/>
    <w:rsid w:val="7DCFDF59"/>
    <w:rsid w:val="7E1221A9"/>
    <w:rsid w:val="7E6B54E8"/>
    <w:rsid w:val="7E8429A8"/>
    <w:rsid w:val="7E8766A1"/>
    <w:rsid w:val="7EAD02B8"/>
    <w:rsid w:val="7ED46789"/>
    <w:rsid w:val="7EF558F0"/>
    <w:rsid w:val="7F0B16A9"/>
    <w:rsid w:val="7F1B558F"/>
    <w:rsid w:val="7F2A7FB0"/>
    <w:rsid w:val="7F5D389C"/>
    <w:rsid w:val="7F683742"/>
    <w:rsid w:val="7F6E2E78"/>
    <w:rsid w:val="7F76B285"/>
    <w:rsid w:val="7F991937"/>
    <w:rsid w:val="7FC997C4"/>
    <w:rsid w:val="9BB72F9A"/>
    <w:rsid w:val="9F47F863"/>
    <w:rsid w:val="B7BCD244"/>
    <w:rsid w:val="B7DB5F67"/>
    <w:rsid w:val="BFEBF7A0"/>
    <w:rsid w:val="BFFB7F74"/>
    <w:rsid w:val="BFFFCA9A"/>
    <w:rsid w:val="D316A307"/>
    <w:rsid w:val="F1EF96A1"/>
    <w:rsid w:val="F3FEA848"/>
    <w:rsid w:val="F5AD7114"/>
    <w:rsid w:val="F656760F"/>
    <w:rsid w:val="F6AFF747"/>
    <w:rsid w:val="F9F78E0D"/>
    <w:rsid w:val="F9FF428D"/>
    <w:rsid w:val="FA9FDA1A"/>
    <w:rsid w:val="FBEFB22B"/>
    <w:rsid w:val="FBF29D5D"/>
    <w:rsid w:val="FFEFBC0F"/>
    <w:rsid w:val="FFFE8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2025-06-05T06:08:00Z</dcterms:created>
  <dc:creator>陈灿君</dc:creator>
  <cp:lastModifiedBy>杨劲涛</cp:lastModifiedBy>
  <dcterms:modified xsi:type="dcterms:W3CDTF">2025-12-28T15:25:54Z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