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9A57DF">
      <w:r>
        <w:drawing>
          <wp:inline distT="0" distB="0" distL="114300" distR="114300">
            <wp:extent cx="5266690" cy="1552575"/>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6690" cy="1552575"/>
                    </a:xfrm>
                    <a:prstGeom prst="rect">
                      <a:avLst/>
                    </a:prstGeom>
                    <a:noFill/>
                    <a:ln>
                      <a:noFill/>
                    </a:ln>
                  </pic:spPr>
                </pic:pic>
              </a:graphicData>
            </a:graphic>
          </wp:inline>
        </w:drawing>
      </w:r>
    </w:p>
    <w:p w14:paraId="4366ADAB">
      <w:pPr>
        <w:jc w:val="center"/>
        <w:rPr>
          <w:rFonts w:ascii="楷体" w:hAnsi="楷体" w:eastAsia="楷体" w:cs="黑体"/>
          <w:bCs/>
          <w:sz w:val="44"/>
          <w:szCs w:val="44"/>
        </w:rPr>
      </w:pPr>
      <w:r>
        <w:rPr>
          <w:rFonts w:hint="eastAsia" w:ascii="楷体" w:hAnsi="楷体" w:eastAsia="楷体" w:cs="黑体"/>
          <w:bCs/>
          <w:sz w:val="44"/>
          <w:szCs w:val="44"/>
        </w:rPr>
        <w:t>（</w:t>
      </w:r>
      <w:r>
        <w:rPr>
          <w:rFonts w:ascii="楷体" w:hAnsi="楷体" w:eastAsia="楷体" w:cs="黑体"/>
          <w:bCs/>
          <w:sz w:val="44"/>
          <w:szCs w:val="44"/>
        </w:rPr>
        <w:t>202</w:t>
      </w:r>
      <w:r>
        <w:rPr>
          <w:rFonts w:hint="eastAsia" w:ascii="楷体" w:hAnsi="楷体" w:eastAsia="楷体" w:cs="黑体"/>
          <w:bCs/>
          <w:sz w:val="44"/>
          <w:szCs w:val="44"/>
          <w:lang w:val="en-US" w:eastAsia="zh-CN"/>
        </w:rPr>
        <w:t>5</w:t>
      </w:r>
      <w:r>
        <w:rPr>
          <w:rFonts w:hint="eastAsia" w:ascii="楷体" w:hAnsi="楷体" w:eastAsia="楷体" w:cs="黑体"/>
          <w:bCs/>
          <w:sz w:val="44"/>
          <w:szCs w:val="44"/>
        </w:rPr>
        <w:t>-</w:t>
      </w:r>
      <w:r>
        <w:rPr>
          <w:rFonts w:ascii="楷体" w:hAnsi="楷体" w:eastAsia="楷体" w:cs="黑体"/>
          <w:bCs/>
          <w:sz w:val="44"/>
          <w:szCs w:val="44"/>
        </w:rPr>
        <w:t>202</w:t>
      </w:r>
      <w:r>
        <w:rPr>
          <w:rFonts w:hint="eastAsia" w:ascii="楷体" w:hAnsi="楷体" w:eastAsia="楷体" w:cs="黑体"/>
          <w:bCs/>
          <w:sz w:val="44"/>
          <w:szCs w:val="44"/>
          <w:lang w:val="en-US" w:eastAsia="zh-CN"/>
        </w:rPr>
        <w:t>6</w:t>
      </w:r>
      <w:r>
        <w:rPr>
          <w:rFonts w:hint="eastAsia" w:ascii="楷体" w:hAnsi="楷体" w:eastAsia="楷体" w:cs="黑体"/>
          <w:bCs/>
          <w:sz w:val="44"/>
          <w:szCs w:val="44"/>
        </w:rPr>
        <w:t>学年 第</w:t>
      </w:r>
      <w:r>
        <w:rPr>
          <w:rFonts w:hint="eastAsia" w:ascii="楷体" w:hAnsi="楷体" w:eastAsia="楷体" w:cs="黑体"/>
          <w:bCs/>
          <w:sz w:val="44"/>
          <w:szCs w:val="44"/>
          <w:lang w:val="en-US" w:eastAsia="zh-CN"/>
        </w:rPr>
        <w:t>1</w:t>
      </w:r>
      <w:r>
        <w:rPr>
          <w:rFonts w:hint="eastAsia" w:ascii="楷体" w:hAnsi="楷体" w:eastAsia="楷体" w:cs="黑体"/>
          <w:bCs/>
          <w:sz w:val="44"/>
          <w:szCs w:val="44"/>
        </w:rPr>
        <w:t>学期）</w:t>
      </w:r>
    </w:p>
    <w:p w14:paraId="23E649A7">
      <w:pPr>
        <w:jc w:val="center"/>
        <w:rPr>
          <w:rFonts w:eastAsia="黑体"/>
          <w:b/>
          <w:bCs/>
          <w:sz w:val="44"/>
          <w:szCs w:val="44"/>
        </w:rPr>
      </w:pPr>
      <w:r>
        <w:rPr>
          <w:rFonts w:hint="eastAsia" w:eastAsia="黑体" w:cs="黑体"/>
          <w:b/>
          <w:bCs/>
          <w:sz w:val="44"/>
          <w:szCs w:val="44"/>
        </w:rPr>
        <w:t xml:space="preserve"> </w:t>
      </w:r>
      <w:r>
        <w:rPr>
          <w:rFonts w:eastAsia="黑体" w:cs="黑体"/>
          <w:b/>
          <w:bCs/>
          <w:sz w:val="44"/>
          <w:szCs w:val="44"/>
        </w:rPr>
        <w:t xml:space="preserve"> </w:t>
      </w:r>
    </w:p>
    <w:p w14:paraId="2961EFDE">
      <w:pPr>
        <w:wordWrap w:val="0"/>
        <w:ind w:firstLine="1988" w:firstLineChars="450"/>
        <w:jc w:val="center"/>
        <w:rPr>
          <w:rFonts w:eastAsia="黑体"/>
          <w:b/>
          <w:bCs/>
          <w:sz w:val="44"/>
          <w:szCs w:val="44"/>
        </w:rPr>
      </w:pPr>
    </w:p>
    <w:p w14:paraId="7C3CB85E">
      <w:pPr>
        <w:wordWrap w:val="0"/>
        <w:jc w:val="center"/>
        <w:rPr>
          <w:rFonts w:eastAsia="黑体" w:cs="黑体"/>
          <w:bCs/>
          <w:sz w:val="44"/>
          <w:szCs w:val="44"/>
        </w:rPr>
      </w:pPr>
      <w:r>
        <w:rPr>
          <w:rFonts w:hint="eastAsia" w:eastAsia="黑体" w:cs="黑体"/>
          <w:bCs/>
          <w:sz w:val="44"/>
          <w:szCs w:val="44"/>
        </w:rPr>
        <w:t>《工程与</w:t>
      </w:r>
      <w:r>
        <w:rPr>
          <w:rFonts w:hint="eastAsia" w:eastAsia="黑体" w:cs="黑体"/>
          <w:bCs/>
          <w:sz w:val="44"/>
          <w:szCs w:val="44"/>
          <w:lang w:val="en-US" w:eastAsia="zh-CN"/>
        </w:rPr>
        <w:t>社会</w:t>
      </w:r>
      <w:r>
        <w:rPr>
          <w:rFonts w:hint="eastAsia" w:eastAsia="黑体" w:cs="黑体"/>
          <w:bCs/>
          <w:sz w:val="44"/>
          <w:szCs w:val="44"/>
        </w:rPr>
        <w:t>》课程论文</w:t>
      </w:r>
    </w:p>
    <w:p w14:paraId="00CB39FE">
      <w:pPr>
        <w:wordWrap w:val="0"/>
        <w:jc w:val="center"/>
        <w:rPr>
          <w:sz w:val="18"/>
          <w:szCs w:val="18"/>
        </w:rPr>
      </w:pPr>
      <w:r>
        <w:rPr>
          <w:sz w:val="18"/>
          <w:szCs w:val="18"/>
        </w:rPr>
        <w:t> </w:t>
      </w:r>
    </w:p>
    <w:p w14:paraId="4D267E3B">
      <w:pPr>
        <w:wordWrap w:val="0"/>
        <w:jc w:val="center"/>
        <w:rPr>
          <w:b/>
          <w:bCs/>
          <w:sz w:val="18"/>
          <w:szCs w:val="18"/>
        </w:rPr>
      </w:pPr>
      <w:r>
        <w:rPr>
          <w:sz w:val="18"/>
          <w:szCs w:val="18"/>
        </w:rPr>
        <w:t> </w:t>
      </w:r>
    </w:p>
    <w:p w14:paraId="79E1AA54">
      <w:pPr>
        <w:wordWrap w:val="0"/>
        <w:jc w:val="left"/>
        <w:rPr>
          <w:b/>
          <w:bCs/>
          <w:sz w:val="18"/>
          <w:szCs w:val="18"/>
        </w:rPr>
      </w:pPr>
    </w:p>
    <w:p w14:paraId="449BF287">
      <w:pPr>
        <w:tabs>
          <w:tab w:val="left" w:pos="1080"/>
        </w:tabs>
        <w:wordWrap w:val="0"/>
        <w:ind w:left="1822" w:leftChars="852" w:hanging="33" w:hangingChars="11"/>
        <w:jc w:val="left"/>
        <w:rPr>
          <w:rFonts w:eastAsia="楷体_GB2312"/>
          <w:b/>
          <w:bCs/>
          <w:sz w:val="30"/>
          <w:szCs w:val="30"/>
          <w:u w:val="single"/>
        </w:rPr>
      </w:pPr>
      <w:r>
        <w:rPr>
          <w:rFonts w:hint="eastAsia" w:eastAsia="楷体_GB2312" w:cs="楷体_GB2312"/>
          <w:b/>
          <w:bCs/>
          <w:sz w:val="30"/>
          <w:szCs w:val="30"/>
        </w:rPr>
        <w:t>题</w:t>
      </w:r>
      <w:r>
        <w:rPr>
          <w:rFonts w:eastAsia="楷体_GB2312"/>
          <w:b/>
          <w:bCs/>
          <w:sz w:val="30"/>
          <w:szCs w:val="30"/>
        </w:rPr>
        <w:t xml:space="preserve">    </w:t>
      </w:r>
      <w:r>
        <w:rPr>
          <w:rFonts w:hint="eastAsia" w:eastAsia="楷体_GB2312" w:cs="楷体_GB2312"/>
          <w:b/>
          <w:bCs/>
          <w:sz w:val="30"/>
          <w:szCs w:val="30"/>
        </w:rPr>
        <w:t>目</w:t>
      </w:r>
      <w:r>
        <w:rPr>
          <w:rFonts w:eastAsia="楷体_GB2312"/>
          <w:b/>
          <w:bCs/>
          <w:sz w:val="30"/>
          <w:szCs w:val="30"/>
          <w:u w:val="single"/>
        </w:rPr>
        <w:t xml:space="preserve">   </w:t>
      </w:r>
      <w:r>
        <w:rPr>
          <w:rFonts w:eastAsia="楷体_GB2312" w:asciiTheme="minorHAnsi" w:hAnsiTheme="minorHAnsi" w:cstheme="minorBidi"/>
          <w:b/>
          <w:bCs/>
          <w:kern w:val="2"/>
          <w:sz w:val="30"/>
          <w:szCs w:val="30"/>
          <w:u w:val="single"/>
          <w:lang w:val="en-US" w:eastAsia="zh-CN" w:bidi="ar-SA"/>
        </w:rPr>
        <w:t>数字鸿沟视角下互联网对不同代际群体消费动机的异质性影响研究</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p>
    <w:p w14:paraId="3DFB3C1C">
      <w:pPr>
        <w:wordWrap w:val="0"/>
        <w:ind w:firstLine="1780" w:firstLineChars="591"/>
        <w:rPr>
          <w:rFonts w:eastAsia="楷体_GB2312"/>
          <w:sz w:val="30"/>
          <w:szCs w:val="30"/>
        </w:rPr>
      </w:pPr>
      <w:r>
        <w:rPr>
          <w:rFonts w:hint="eastAsia" w:eastAsia="楷体_GB2312" w:cs="楷体_GB2312"/>
          <w:b/>
          <w:bCs/>
          <w:sz w:val="30"/>
          <w:szCs w:val="30"/>
        </w:rPr>
        <w:t>所在学院</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计算机学院</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p>
    <w:p w14:paraId="74E38533">
      <w:pPr>
        <w:wordWrap w:val="0"/>
        <w:ind w:firstLine="1780" w:firstLineChars="591"/>
        <w:rPr>
          <w:rFonts w:eastAsia="楷体_GB2312"/>
          <w:b/>
          <w:bCs/>
          <w:sz w:val="30"/>
          <w:szCs w:val="30"/>
          <w:u w:val="single"/>
        </w:rPr>
      </w:pPr>
      <w:r>
        <w:rPr>
          <w:rFonts w:hint="eastAsia" w:eastAsia="楷体_GB2312" w:cs="楷体_GB2312"/>
          <w:b/>
          <w:bCs/>
          <w:sz w:val="30"/>
          <w:szCs w:val="30"/>
        </w:rPr>
        <w:t xml:space="preserve">专 </w:t>
      </w:r>
      <w:r>
        <w:rPr>
          <w:rFonts w:eastAsia="楷体_GB2312" w:cs="楷体_GB2312"/>
          <w:b/>
          <w:bCs/>
          <w:sz w:val="30"/>
          <w:szCs w:val="30"/>
        </w:rPr>
        <w:t xml:space="preserve">   </w:t>
      </w:r>
      <w:r>
        <w:rPr>
          <w:rFonts w:hint="eastAsia" w:eastAsia="楷体_GB2312" w:cs="楷体_GB2312"/>
          <w:b/>
          <w:bCs/>
          <w:sz w:val="30"/>
          <w:szCs w:val="30"/>
        </w:rPr>
        <w:t>业</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计算机科学与技术</w:t>
      </w:r>
      <w:r>
        <w:rPr>
          <w:rFonts w:eastAsia="楷体_GB2312"/>
          <w:b/>
          <w:bCs/>
          <w:sz w:val="30"/>
          <w:szCs w:val="30"/>
          <w:u w:val="single"/>
        </w:rPr>
        <w:t xml:space="preserve">   </w:t>
      </w:r>
      <w:r>
        <w:rPr>
          <w:rFonts w:hint="eastAsia" w:eastAsia="楷体_GB2312"/>
          <w:b/>
          <w:bCs/>
          <w:sz w:val="30"/>
          <w:szCs w:val="30"/>
          <w:u w:val="single"/>
        </w:rPr>
        <w:t xml:space="preserve">     </w:t>
      </w:r>
    </w:p>
    <w:p w14:paraId="12247BFA">
      <w:pPr>
        <w:wordWrap w:val="0"/>
        <w:ind w:firstLine="1780" w:firstLineChars="591"/>
        <w:rPr>
          <w:rFonts w:eastAsia="楷体_GB2312"/>
          <w:sz w:val="30"/>
          <w:szCs w:val="30"/>
        </w:rPr>
      </w:pPr>
      <w:r>
        <w:rPr>
          <w:rFonts w:hint="eastAsia" w:eastAsia="楷体_GB2312" w:cs="楷体_GB2312"/>
          <w:b/>
          <w:bCs/>
          <w:sz w:val="30"/>
          <w:szCs w:val="30"/>
        </w:rPr>
        <w:t>年级班级</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B220408</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p>
    <w:p w14:paraId="7FF47CD9">
      <w:pPr>
        <w:wordWrap w:val="0"/>
        <w:ind w:firstLine="1780" w:firstLineChars="591"/>
        <w:rPr>
          <w:rFonts w:eastAsia="楷体_GB2312"/>
          <w:sz w:val="30"/>
          <w:szCs w:val="30"/>
        </w:rPr>
      </w:pPr>
      <w:r>
        <w:rPr>
          <w:rFonts w:hint="eastAsia" w:eastAsia="楷体_GB2312" w:cs="楷体_GB2312"/>
          <w:b/>
          <w:bCs/>
          <w:sz w:val="30"/>
          <w:szCs w:val="30"/>
        </w:rPr>
        <w:t>学</w:t>
      </w:r>
      <w:r>
        <w:rPr>
          <w:rFonts w:eastAsia="楷体_GB2312"/>
          <w:b/>
          <w:bCs/>
          <w:sz w:val="30"/>
          <w:szCs w:val="30"/>
        </w:rPr>
        <w:t xml:space="preserve">    </w:t>
      </w:r>
      <w:r>
        <w:rPr>
          <w:rFonts w:hint="eastAsia" w:eastAsia="楷体_GB2312" w:cs="楷体_GB2312"/>
          <w:b/>
          <w:bCs/>
          <w:sz w:val="30"/>
          <w:szCs w:val="30"/>
        </w:rPr>
        <w:t>号</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B19040710</w:t>
      </w:r>
      <w:r>
        <w:rPr>
          <w:rFonts w:eastAsia="楷体_GB2312"/>
          <w:b/>
          <w:bCs/>
          <w:sz w:val="30"/>
          <w:szCs w:val="30"/>
          <w:u w:val="single"/>
        </w:rPr>
        <w:t xml:space="preserve">                 </w:t>
      </w:r>
    </w:p>
    <w:p w14:paraId="14DD5C32">
      <w:pPr>
        <w:wordWrap w:val="0"/>
        <w:ind w:firstLine="1780" w:firstLineChars="591"/>
        <w:rPr>
          <w:rFonts w:eastAsia="楷体_GB2312"/>
          <w:b/>
          <w:bCs/>
          <w:sz w:val="30"/>
          <w:szCs w:val="30"/>
          <w:u w:val="single"/>
        </w:rPr>
      </w:pPr>
      <w:r>
        <w:rPr>
          <w:rFonts w:hint="eastAsia" w:eastAsia="楷体_GB2312" w:cs="楷体_GB2312"/>
          <w:b/>
          <w:bCs/>
          <w:sz w:val="30"/>
          <w:szCs w:val="30"/>
        </w:rPr>
        <w:t>姓</w:t>
      </w:r>
      <w:r>
        <w:rPr>
          <w:rFonts w:eastAsia="楷体_GB2312"/>
          <w:b/>
          <w:bCs/>
          <w:sz w:val="30"/>
          <w:szCs w:val="30"/>
        </w:rPr>
        <w:t xml:space="preserve">   </w:t>
      </w:r>
      <w:r>
        <w:rPr>
          <w:rFonts w:hint="eastAsia" w:eastAsia="楷体_GB2312"/>
          <w:b/>
          <w:bCs/>
          <w:sz w:val="30"/>
          <w:szCs w:val="30"/>
        </w:rPr>
        <w:t xml:space="preserve"> </w:t>
      </w:r>
      <w:r>
        <w:rPr>
          <w:rFonts w:hint="eastAsia" w:eastAsia="楷体_GB2312" w:cs="楷体_GB2312"/>
          <w:b/>
          <w:bCs/>
          <w:sz w:val="30"/>
          <w:szCs w:val="30"/>
        </w:rPr>
        <w:t>名</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王文轩</w:t>
      </w:r>
      <w:r>
        <w:rPr>
          <w:rFonts w:eastAsia="楷体_GB2312"/>
          <w:b/>
          <w:bCs/>
          <w:sz w:val="30"/>
          <w:szCs w:val="30"/>
          <w:u w:val="single"/>
        </w:rPr>
        <w:t xml:space="preserve">   </w:t>
      </w:r>
      <w:r>
        <w:rPr>
          <w:rFonts w:hint="eastAsia" w:eastAsia="楷体_GB2312"/>
          <w:b/>
          <w:bCs/>
          <w:sz w:val="30"/>
          <w:szCs w:val="30"/>
          <w:u w:val="single"/>
        </w:rPr>
        <w:t xml:space="preserve">       </w:t>
      </w:r>
      <w:r>
        <w:rPr>
          <w:rFonts w:eastAsia="楷体_GB2312"/>
          <w:b/>
          <w:bCs/>
          <w:sz w:val="30"/>
          <w:szCs w:val="30"/>
          <w:u w:val="single"/>
        </w:rPr>
        <w:t xml:space="preserve">         </w:t>
      </w:r>
    </w:p>
    <w:p w14:paraId="2F8E715E">
      <w:pPr>
        <w:wordWrap w:val="0"/>
        <w:ind w:firstLine="1780" w:firstLineChars="591"/>
        <w:rPr>
          <w:rFonts w:eastAsia="楷体_GB2312"/>
          <w:sz w:val="30"/>
          <w:szCs w:val="30"/>
        </w:rPr>
      </w:pPr>
      <w:r>
        <w:rPr>
          <w:rFonts w:hint="eastAsia" w:eastAsia="楷体_GB2312" w:cs="楷体_GB2312"/>
          <w:b/>
          <w:bCs/>
          <w:sz w:val="30"/>
          <w:szCs w:val="30"/>
        </w:rPr>
        <w:t>授课教师</w:t>
      </w:r>
      <w:r>
        <w:rPr>
          <w:rFonts w:hint="eastAsia" w:eastAsia="楷体_GB2312"/>
          <w:b/>
          <w:bCs/>
          <w:sz w:val="30"/>
          <w:szCs w:val="30"/>
          <w:u w:val="single"/>
        </w:rPr>
        <w:t xml:space="preserve">  </w:t>
      </w:r>
      <w:r>
        <w:rPr>
          <w:rFonts w:eastAsia="楷体_GB2312"/>
          <w:b/>
          <w:bCs/>
          <w:sz w:val="30"/>
          <w:szCs w:val="30"/>
          <w:u w:val="single"/>
        </w:rPr>
        <w:t xml:space="preserve">      </w:t>
      </w:r>
      <w:r>
        <w:rPr>
          <w:rFonts w:hint="eastAsia" w:eastAsia="楷体_GB2312"/>
          <w:b/>
          <w:bCs/>
          <w:sz w:val="30"/>
          <w:szCs w:val="30"/>
          <w:u w:val="single"/>
          <w:lang w:val="en-US" w:eastAsia="zh-CN"/>
        </w:rPr>
        <w:t>张莹</w:t>
      </w:r>
      <w:r>
        <w:rPr>
          <w:rFonts w:eastAsia="楷体_GB2312"/>
          <w:b/>
          <w:bCs/>
          <w:sz w:val="30"/>
          <w:szCs w:val="30"/>
          <w:u w:val="single"/>
        </w:rPr>
        <w:t xml:space="preserve"> </w:t>
      </w:r>
      <w:r>
        <w:rPr>
          <w:rFonts w:hint="eastAsia" w:eastAsia="楷体_GB2312"/>
          <w:b/>
          <w:bCs/>
          <w:sz w:val="30"/>
          <w:szCs w:val="30"/>
          <w:u w:val="single"/>
        </w:rPr>
        <w:t xml:space="preserve"> </w:t>
      </w:r>
      <w:r>
        <w:rPr>
          <w:rFonts w:hint="eastAsia" w:eastAsia="楷体_GB2312"/>
          <w:b/>
          <w:bCs/>
          <w:sz w:val="30"/>
          <w:szCs w:val="30"/>
          <w:u w:val="single"/>
          <w:lang w:val="en-US" w:eastAsia="zh-CN"/>
        </w:rPr>
        <w:t xml:space="preserve">      </w:t>
      </w:r>
      <w:r>
        <w:rPr>
          <w:rFonts w:hint="eastAsia" w:eastAsia="楷体_GB2312"/>
          <w:b/>
          <w:bCs/>
          <w:sz w:val="30"/>
          <w:szCs w:val="30"/>
          <w:u w:val="single"/>
        </w:rPr>
        <w:t xml:space="preserve">   </w:t>
      </w:r>
      <w:r>
        <w:rPr>
          <w:rFonts w:eastAsia="楷体_GB2312"/>
          <w:b/>
          <w:bCs/>
          <w:sz w:val="30"/>
          <w:szCs w:val="30"/>
          <w:u w:val="single"/>
        </w:rPr>
        <w:t xml:space="preserve">        </w:t>
      </w:r>
    </w:p>
    <w:p w14:paraId="4A72A644">
      <w:pPr>
        <w:wordWrap w:val="0"/>
        <w:rPr>
          <w:sz w:val="18"/>
          <w:szCs w:val="18"/>
        </w:rPr>
      </w:pPr>
    </w:p>
    <w:p w14:paraId="1CB2AA6F">
      <w:pPr>
        <w:ind w:firstLine="3330" w:firstLineChars="1850"/>
        <w:rPr>
          <w:sz w:val="18"/>
          <w:szCs w:val="18"/>
        </w:rPr>
      </w:pPr>
    </w:p>
    <w:p w14:paraId="69AF33BF">
      <w:pPr>
        <w:rPr>
          <w:sz w:val="18"/>
          <w:szCs w:val="18"/>
        </w:rPr>
      </w:pPr>
    </w:p>
    <w:p w14:paraId="778BC062">
      <w:pPr>
        <w:rPr>
          <w:sz w:val="18"/>
          <w:szCs w:val="18"/>
        </w:rPr>
      </w:pPr>
    </w:p>
    <w:p w14:paraId="36FE486E">
      <w:pPr>
        <w:rPr>
          <w:sz w:val="18"/>
          <w:szCs w:val="18"/>
        </w:rPr>
      </w:pPr>
    </w:p>
    <w:p w14:paraId="505D232E">
      <w:pPr>
        <w:rPr>
          <w:sz w:val="18"/>
          <w:szCs w:val="18"/>
        </w:rPr>
      </w:pPr>
    </w:p>
    <w:p w14:paraId="3F2908D8">
      <w:pPr>
        <w:spacing w:line="360" w:lineRule="auto"/>
        <w:jc w:val="center"/>
        <w:rPr>
          <w:rFonts w:ascii="仿宋" w:hAnsi="仿宋" w:eastAsia="仿宋"/>
          <w:b/>
          <w:bCs/>
          <w:sz w:val="30"/>
          <w:szCs w:val="30"/>
        </w:rPr>
      </w:pPr>
      <w:r>
        <w:rPr>
          <w:rFonts w:hint="eastAsia" w:ascii="仿宋" w:hAnsi="仿宋" w:eastAsia="仿宋" w:cs="黑体"/>
          <w:b/>
          <w:bCs/>
          <w:sz w:val="30"/>
          <w:szCs w:val="30"/>
        </w:rPr>
        <w:t xml:space="preserve"> </w:t>
      </w:r>
      <w:r>
        <w:rPr>
          <w:rFonts w:ascii="仿宋" w:hAnsi="仿宋" w:eastAsia="仿宋" w:cs="黑体"/>
          <w:b/>
          <w:bCs/>
          <w:sz w:val="30"/>
          <w:szCs w:val="30"/>
        </w:rPr>
        <w:t xml:space="preserve">   </w:t>
      </w:r>
      <w:r>
        <w:rPr>
          <w:rFonts w:hint="eastAsia" w:ascii="仿宋" w:hAnsi="仿宋" w:eastAsia="仿宋" w:cs="黑体"/>
          <w:b/>
          <w:bCs/>
          <w:sz w:val="30"/>
          <w:szCs w:val="30"/>
        </w:rPr>
        <w:t>社会与人口</w:t>
      </w:r>
      <w:r>
        <w:rPr>
          <w:rFonts w:hint="eastAsia" w:ascii="仿宋" w:hAnsi="仿宋" w:eastAsia="仿宋"/>
          <w:b/>
          <w:bCs/>
          <w:sz w:val="30"/>
          <w:szCs w:val="30"/>
        </w:rPr>
        <w:t>学院</w:t>
      </w:r>
    </w:p>
    <w:p w14:paraId="6642B40F">
      <w:pPr>
        <w:spacing w:line="360" w:lineRule="auto"/>
        <w:jc w:val="center"/>
        <w:rPr>
          <w:rFonts w:ascii="仿宋" w:hAnsi="仿宋" w:eastAsia="仿宋"/>
          <w:sz w:val="24"/>
          <w:szCs w:val="24"/>
        </w:rPr>
      </w:pPr>
      <w:r>
        <w:rPr>
          <w:rFonts w:ascii="仿宋" w:hAnsi="仿宋" w:eastAsia="仿宋"/>
          <w:sz w:val="24"/>
          <w:szCs w:val="24"/>
        </w:rPr>
        <w:t xml:space="preserve">     </w:t>
      </w:r>
      <w:r>
        <w:rPr>
          <w:rFonts w:hint="eastAsia" w:ascii="仿宋" w:hAnsi="仿宋" w:eastAsia="仿宋"/>
          <w:sz w:val="24"/>
          <w:szCs w:val="24"/>
        </w:rPr>
        <w:t xml:space="preserve">年 </w:t>
      </w:r>
      <w:r>
        <w:rPr>
          <w:rFonts w:ascii="仿宋" w:hAnsi="仿宋" w:eastAsia="仿宋"/>
          <w:sz w:val="24"/>
          <w:szCs w:val="24"/>
        </w:rPr>
        <w:t xml:space="preserve">  </w:t>
      </w:r>
      <w:r>
        <w:rPr>
          <w:rFonts w:hint="eastAsia" w:ascii="仿宋" w:hAnsi="仿宋" w:eastAsia="仿宋"/>
          <w:sz w:val="24"/>
          <w:szCs w:val="24"/>
        </w:rPr>
        <w:t xml:space="preserve">月 </w:t>
      </w:r>
      <w:r>
        <w:rPr>
          <w:rFonts w:ascii="仿宋" w:hAnsi="仿宋" w:eastAsia="仿宋"/>
          <w:sz w:val="24"/>
          <w:szCs w:val="24"/>
        </w:rPr>
        <w:t xml:space="preserve">  </w:t>
      </w:r>
      <w:r>
        <w:rPr>
          <w:rFonts w:hint="eastAsia" w:ascii="仿宋" w:hAnsi="仿宋" w:eastAsia="仿宋"/>
          <w:sz w:val="24"/>
          <w:szCs w:val="24"/>
        </w:rPr>
        <w:t>日</w:t>
      </w:r>
    </w:p>
    <w:p w14:paraId="60F4D5A7">
      <w:pPr>
        <w:widowControl/>
        <w:jc w:val="left"/>
        <w:rPr>
          <w:rFonts w:ascii="仿宋" w:hAnsi="仿宋" w:eastAsia="仿宋"/>
          <w:sz w:val="30"/>
          <w:szCs w:val="30"/>
        </w:rPr>
      </w:pPr>
      <w:r>
        <w:rPr>
          <w:rFonts w:ascii="仿宋" w:hAnsi="仿宋" w:eastAsia="仿宋"/>
          <w:sz w:val="30"/>
          <w:szCs w:val="30"/>
        </w:rPr>
        <w:br w:type="page"/>
      </w:r>
    </w:p>
    <w:p w14:paraId="201227DA">
      <w:pPr>
        <w:spacing w:before="156" w:beforeLines="50" w:after="156" w:afterLines="50" w:line="360" w:lineRule="auto"/>
        <w:ind w:firstLine="960" w:firstLineChars="300"/>
        <w:jc w:val="center"/>
        <w:rPr>
          <w:rFonts w:hint="eastAsia" w:ascii="黑体" w:hAnsi="黑体" w:eastAsia="黑体" w:cs="黑体"/>
          <w:bCs/>
          <w:sz w:val="32"/>
          <w:szCs w:val="32"/>
        </w:rPr>
        <w:sectPr>
          <w:pgSz w:w="11906" w:h="16838"/>
          <w:pgMar w:top="1440" w:right="1800" w:bottom="1440" w:left="1800" w:header="851" w:footer="992" w:gutter="0"/>
          <w:cols w:space="425" w:num="1"/>
          <w:docGrid w:type="lines" w:linePitch="312" w:charSpace="0"/>
        </w:sectPr>
      </w:pPr>
    </w:p>
    <w:p w14:paraId="1127F2FA">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黑体" w:hAnsi="黑体" w:eastAsia="黑体" w:cs="黑体"/>
          <w:sz w:val="28"/>
          <w:szCs w:val="28"/>
        </w:rPr>
      </w:pPr>
      <w:r>
        <w:rPr>
          <w:rFonts w:hint="eastAsia" w:ascii="黑体" w:hAnsi="黑体" w:eastAsia="黑体" w:cs="黑体"/>
          <w:sz w:val="28"/>
          <w:szCs w:val="28"/>
        </w:rPr>
        <w:t>数字鸿沟视角下互联网对不同代际群体消费动机的异质性影响研究</w:t>
      </w:r>
    </w:p>
    <w:p w14:paraId="0FDA6717">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b/>
          <w:bCs/>
          <w:sz w:val="24"/>
          <w:szCs w:val="24"/>
        </w:rPr>
        <w:t>摘要：</w:t>
      </w:r>
      <w:r>
        <w:rPr>
          <w:rFonts w:hint="eastAsia" w:ascii="宋体" w:hAnsi="宋体" w:eastAsia="宋体" w:cs="宋体"/>
          <w:sz w:val="24"/>
          <w:szCs w:val="24"/>
        </w:rPr>
        <w:t xml:space="preserve"> 随着信息工程的飞速发展，互联网已深度嵌入社会日常生活。然而，技术普及并非均衡赋权，不同代际群体间存在显著的数字鸿沟。本文基于工程与社会的关系视角，探讨了互联网技术对“数字原住民”与“数字移民”消费动机的异质性影响。研究发现：青年群体在算法驱动下表现出强烈的符号消费与社交认同动机，易受技术诱导产生超前消费；而老年群体受限于技能型鸿沟，其消费动机仍停留在功能驱动阶段，并伴随较高的技术安全焦虑。通过文献综述与案例分析，本文指出数字鸿沟已从接入差异演变为收益不平等。最后，从技术伦理与社会正义出发，提出了推动技术适老化设计与提升公众数字素养的对策，以期在智能时代实现更公平的消费环境。</w:t>
      </w:r>
    </w:p>
    <w:p w14:paraId="0C939109">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b/>
          <w:bCs/>
          <w:sz w:val="24"/>
          <w:szCs w:val="24"/>
        </w:rPr>
        <w:t>关键词：</w:t>
      </w:r>
      <w:r>
        <w:rPr>
          <w:rFonts w:hint="eastAsia" w:ascii="宋体" w:hAnsi="宋体" w:eastAsia="宋体" w:cs="宋体"/>
          <w:sz w:val="24"/>
          <w:szCs w:val="24"/>
        </w:rPr>
        <w:t xml:space="preserve"> 数字鸿沟；代际差异；消费动机；工程伦理；技术融入</w:t>
      </w:r>
    </w:p>
    <w:p w14:paraId="7EEC28A6">
      <w:pPr>
        <w:pStyle w:val="2"/>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第一章 绪论</w:t>
      </w:r>
    </w:p>
    <w:p w14:paraId="323203E5">
      <w:pPr>
        <w:pStyle w:val="3"/>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1.1 研究背景</w:t>
      </w:r>
    </w:p>
    <w:p w14:paraId="06E84242">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21世纪以来，信息工程的飞速迭代推动了中国社会进入全面数字化时代。根据中国互联网络信息中心（CNNIC）发布的最新报告显示，中国网民规模已突破11亿大关，互联网普及率达到高位饱和。然而，在宏观数字增长的背后，技术赋权的非均衡性日益显现。互联网不再仅仅是信息的传递媒介，而是演变为一种复杂的“社会工程”，重塑着个体的生存方式与消费逻辑。</w:t>
      </w:r>
    </w:p>
    <w:p w14:paraId="5CA78435">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在这种背景下，不同代际群体在数字空间内的表现呈现出显著的割裂。以“Z世代”为代表的数字原住民，自出生起便处于算法与移动支付的包围中，其消费行为深度依赖于社交媒介工程的逻辑。与此同时，出生于前数字化时代的“银发族”虽然在设备接入（一级鸿沟）上逐渐达标，但在技术应用深度、信息甄别能力以及红利获取（二级、三级鸿沟）上仍面临巨大挑战。这种因年龄差异导致的技术接入与应用错位，正深刻改变着不同群体的消费动机。</w:t>
      </w:r>
    </w:p>
    <w:p w14:paraId="050A7B90">
      <w:pPr>
        <w:pStyle w:val="3"/>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1.2 研究目的与意义</w:t>
      </w:r>
    </w:p>
    <w:p w14:paraId="38CCC0BF">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传统的消费研究多将互联网视为一种单一的外部变量，忽略了技术作为一种“工程实践”对人类意志的动态塑造。本研究旨在从“数字鸿沟”这一社会学视角切入，探讨互联网技术如何通过不同的信息分发机制、交互设计以及算法逻辑，诱发或抑制了不同代际群体的消费动机。</w:t>
      </w:r>
    </w:p>
    <w:p w14:paraId="2342F3DB">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研究的社会价值在于：首先，从</w:t>
      </w:r>
      <w:r>
        <w:rPr>
          <w:rFonts w:hint="eastAsia" w:ascii="宋体" w:hAnsi="宋体" w:eastAsia="宋体" w:cs="宋体"/>
          <w:b/>
          <w:bCs/>
          <w:sz w:val="24"/>
          <w:szCs w:val="24"/>
        </w:rPr>
        <w:t>社会正义</w:t>
      </w:r>
      <w:r>
        <w:rPr>
          <w:rFonts w:hint="eastAsia" w:ascii="宋体" w:hAnsi="宋体" w:eastAsia="宋体" w:cs="宋体"/>
          <w:sz w:val="24"/>
          <w:szCs w:val="24"/>
        </w:rPr>
        <w:t>维度出发，揭示技术进步过程中可能存在的代际排斥现象，为实现“技术包容性”提供理论依据；其次，从</w:t>
      </w:r>
      <w:r>
        <w:rPr>
          <w:rFonts w:hint="eastAsia" w:ascii="宋体" w:hAnsi="宋体" w:eastAsia="宋体" w:cs="宋体"/>
          <w:b/>
          <w:bCs/>
          <w:sz w:val="24"/>
          <w:szCs w:val="24"/>
        </w:rPr>
        <w:t>工程伦理</w:t>
      </w:r>
      <w:r>
        <w:rPr>
          <w:rFonts w:hint="eastAsia" w:ascii="宋体" w:hAnsi="宋体" w:eastAsia="宋体" w:cs="宋体"/>
          <w:sz w:val="24"/>
          <w:szCs w:val="24"/>
        </w:rPr>
        <w:t>视角审视算法推荐对青年群体消费自主性的潜在侵害；最后，通过对比分析，为政府治理算法乱象、推动企业进行适老化工程改造提供决策参考。在智能社会深度发展的今天，理解不同代际群体的消费异质性，不仅是经济命题，更是关乎社会公平与技术伦理的重要课题。</w:t>
      </w:r>
    </w:p>
    <w:p w14:paraId="4C4C69DC">
      <w:pPr>
        <w:pStyle w:val="2"/>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第二章 文献综述</w:t>
      </w:r>
    </w:p>
    <w:p w14:paraId="4E84B1F6">
      <w:pPr>
        <w:pStyle w:val="3"/>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2.1 数字鸿沟理论的多维演进</w:t>
      </w:r>
    </w:p>
    <w:p w14:paraId="2207BF55">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 xml:space="preserve">数字鸿沟（Digital Divide）作为信息社会学研究的核心议题，其内涵随信息工程的迭代而不断深化。早期研究主要聚焦于“接入沟”（The First-level Digital Divide），即由于经济水平、地理位置等物理因素导致的硬件设备与互联网接入权的不平等。然而，正如 </w:t>
      </w:r>
      <w:r>
        <w:rPr>
          <w:rFonts w:hint="eastAsia" w:ascii="宋体" w:hAnsi="宋体" w:eastAsia="宋体" w:cs="宋体"/>
          <w:b/>
          <w:bCs/>
          <w:sz w:val="24"/>
          <w:szCs w:val="24"/>
        </w:rPr>
        <w:t>DiMaggio与Hargittai（2001）</w:t>
      </w:r>
      <w:r>
        <w:rPr>
          <w:rFonts w:hint="eastAsia" w:ascii="宋体" w:hAnsi="宋体" w:eastAsia="宋体" w:cs="宋体"/>
          <w:sz w:val="24"/>
          <w:szCs w:val="24"/>
        </w:rPr>
        <w:t xml:space="preserve"> 在其开创性研究中所指出的，当终端设备普及率达到一定阈值后，接入层面的平等并不意味着数字不平等的消失，不平等的内核已向“使用沟”（The Second-level Digital Divide）转移，即个体在搜索、评估及处理在线信息时的效能差异。</w:t>
      </w:r>
    </w:p>
    <w:p w14:paraId="686D713C">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 xml:space="preserve">进入21世纪第二个十年，国内学者 </w:t>
      </w:r>
      <w:r>
        <w:rPr>
          <w:rFonts w:hint="eastAsia" w:ascii="宋体" w:hAnsi="宋体" w:eastAsia="宋体" w:cs="宋体"/>
          <w:b/>
          <w:bCs/>
          <w:sz w:val="24"/>
          <w:szCs w:val="24"/>
        </w:rPr>
        <w:t>邱泽奇（2021）</w:t>
      </w:r>
      <w:r>
        <w:rPr>
          <w:rFonts w:hint="eastAsia" w:ascii="宋体" w:hAnsi="宋体" w:eastAsia="宋体" w:cs="宋体"/>
          <w:sz w:val="24"/>
          <w:szCs w:val="24"/>
        </w:rPr>
        <w:t xml:space="preserve"> 进一步提出了“收益沟”（The Third-level Digital Divide）的概念。他认为，数字鸿沟已演变为红利获取能力的差异，即不同背景的个体能否利用互联网资本转化为实际的经济收益或社会地位。从工程与社会的关系看，数字鸿沟不仅是技术指标的差异，更是社会权力结构在数字空间中的重新投射，这种演进为研究代际间的消费异质性提供了重要的理论坐标。</w:t>
      </w:r>
    </w:p>
    <w:p w14:paraId="4D55C525">
      <w:pPr>
        <w:pStyle w:val="3"/>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2.2 代际群体消费行为的研究现状</w:t>
      </w:r>
    </w:p>
    <w:p w14:paraId="0BDDA695">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学术界针对不同代际群体的研究已积累了丰富成果，但侧重点各有分化：</w:t>
      </w:r>
    </w:p>
    <w:p w14:paraId="2423E315">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针对青年群体，研究多聚焦于其作为“数字原住民”的消费心理。</w:t>
      </w:r>
      <w:r>
        <w:rPr>
          <w:rFonts w:hint="eastAsia" w:ascii="宋体" w:hAnsi="宋体" w:eastAsia="宋体" w:cs="宋体"/>
          <w:b/>
          <w:bCs/>
          <w:sz w:val="24"/>
          <w:szCs w:val="24"/>
        </w:rPr>
        <w:t>王红艳（2023）</w:t>
      </w:r>
      <w:r>
        <w:rPr>
          <w:rFonts w:hint="eastAsia" w:ascii="宋体" w:hAnsi="宋体" w:eastAsia="宋体" w:cs="宋体"/>
          <w:sz w:val="24"/>
          <w:szCs w:val="24"/>
        </w:rPr>
        <w:t xml:space="preserve"> 提出，青年群体的消费动机深受社交媒介工程的塑造，呈现出明显的“符号化”特征。消费不再仅是为了获取实物价值，更多是为了在虚拟社群中换取“社交货币”，获得圈层认同。</w:t>
      </w:r>
    </w:p>
    <w:p w14:paraId="6589897A">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针对老年群体（银发族），研究则更多关注技术排斥带来的负面影响。</w:t>
      </w:r>
      <w:r>
        <w:rPr>
          <w:rFonts w:hint="eastAsia" w:ascii="宋体" w:hAnsi="宋体" w:eastAsia="宋体" w:cs="宋体"/>
          <w:b/>
          <w:bCs/>
          <w:sz w:val="24"/>
          <w:szCs w:val="24"/>
        </w:rPr>
        <w:t>李晓静（2022）</w:t>
      </w:r>
      <w:r>
        <w:rPr>
          <w:rFonts w:hint="eastAsia" w:ascii="宋体" w:hAnsi="宋体" w:eastAsia="宋体" w:cs="宋体"/>
          <w:sz w:val="24"/>
          <w:szCs w:val="24"/>
        </w:rPr>
        <w:t xml:space="preserve"> 通过实证调研指出，老年人在面对复杂的支付工程与算法推送时，普遍存在“技术焦虑”。这种焦虑感源于数字素养的缺失以及对网络安全环境的不信任，直接导致了其在线消费动机的萎缩。</w:t>
      </w:r>
    </w:p>
    <w:p w14:paraId="0B3F61CE">
      <w:pPr>
        <w:pStyle w:val="3"/>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2.3 核心文献摘要与深度解析（扩充点）</w:t>
      </w:r>
    </w:p>
    <w:p w14:paraId="03ADC73D">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为了更透彻地理解当前研究进展，以下选取四篇具有代表性的知网文献进行深度综述：</w:t>
      </w:r>
    </w:p>
    <w:p w14:paraId="5449B3C5">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b/>
          <w:bCs/>
          <w:sz w:val="24"/>
          <w:szCs w:val="24"/>
        </w:rPr>
        <w:t>1. 彭兰（2023）在《算法逻辑下的消费者重构》中指出：</w:t>
      </w:r>
      <w:r>
        <w:rPr>
          <w:rFonts w:hint="eastAsia" w:ascii="宋体" w:hAnsi="宋体" w:eastAsia="宋体" w:cs="宋体"/>
          <w:sz w:val="24"/>
          <w:szCs w:val="24"/>
        </w:rPr>
        <w:t xml:space="preserve"> 该研究采用规范研究法，探讨了信息工程中的算法逻辑如何干预人类意志。彭兰认为，当前的算法分发技术本质上是一种“注意力捕获工程”，它通过对用户行为数据的实时反馈，构建出一种诱导性的消费环境。对于高频率使用互联网的青年群体而言，其消费动机在很大程度上已被算法“代理”，陷入了信息茧房与超前消费的恶性循环。这一观点为本文分析青年群体动机的受迫性提供了理论基础。</w:t>
      </w:r>
    </w:p>
    <w:p w14:paraId="2E174A22">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b/>
          <w:bCs/>
          <w:sz w:val="24"/>
          <w:szCs w:val="24"/>
        </w:rPr>
        <w:t>2. 张杰（2022）在《数字金融对农村代际消费异质性的影响研究》中指出：</w:t>
      </w:r>
      <w:r>
        <w:rPr>
          <w:rFonts w:hint="eastAsia" w:ascii="宋体" w:hAnsi="宋体" w:eastAsia="宋体" w:cs="宋体"/>
          <w:sz w:val="24"/>
          <w:szCs w:val="24"/>
        </w:rPr>
        <w:t xml:space="preserve"> 张杰利用CHFS（中国家庭金融调查）的大样本数据，通过计量模型实证分析了数字金融工程对不同年龄段人群的赋权效果。研究发现，互联网对消费的促进作用在代际间存在“倒U型”特征：中青年群体受益最高，而60岁以上的老年群体受到的增益边际递减。该研究用详实的数据证明了“收益沟”的真实存在，并指出数字技能的匮乏是制约老年人消费升级的核心变量。</w:t>
      </w:r>
    </w:p>
    <w:p w14:paraId="243EF903">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b/>
          <w:bCs/>
          <w:sz w:val="24"/>
          <w:szCs w:val="24"/>
        </w:rPr>
        <w:t>3. 胡荣、李凡（2021）在《社会资本视角下的网络消费参与研究》中指出：</w:t>
      </w:r>
      <w:r>
        <w:rPr>
          <w:rFonts w:hint="eastAsia" w:ascii="宋体" w:hAnsi="宋体" w:eastAsia="宋体" w:cs="宋体"/>
          <w:sz w:val="24"/>
          <w:szCs w:val="24"/>
        </w:rPr>
        <w:t xml:space="preserve"> 该文献通过对东部沿海城市的问卷调查发现，互联网使用对消费动机的影响具有强烈的“社交中介”特征。青年群体倾向于通过弱连接（社交媒体种草）驱动消费，而老年群体则高度依赖强连接（家庭内部的技术反哺）。这表明，代际间的消费动机差异不仅源于技术操作能力，更源于社交网络工程对不同代际个体的连接逻辑差异。</w:t>
      </w:r>
    </w:p>
    <w:p w14:paraId="363AC610">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b/>
          <w:bCs/>
          <w:sz w:val="24"/>
          <w:szCs w:val="24"/>
        </w:rPr>
        <w:t>4. 杨斌（2022）在《信息工程伦理与大数据杀熟治理》中指出：</w:t>
      </w:r>
      <w:r>
        <w:rPr>
          <w:rFonts w:hint="eastAsia" w:ascii="宋体" w:hAnsi="宋体" w:eastAsia="宋体" w:cs="宋体"/>
          <w:sz w:val="24"/>
          <w:szCs w:val="24"/>
        </w:rPr>
        <w:t xml:space="preserve"> 杨斌从工程伦理视角出发，分析了企业利用大数据画像进行价格歧视的社会后果。他认为，这种基于算法的操纵行为在不同代际群体中产生的反作用力不同：青年人倾向于通过技术手段（如多平台比价）进行对抗，而老年群体则往往因缺乏认知而成为被剥削的对象，这进一步加剧了代际间的消费不公平。</w:t>
      </w:r>
    </w:p>
    <w:p w14:paraId="73977DF1">
      <w:pPr>
        <w:pStyle w:val="3"/>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2.4 文献评述</w:t>
      </w:r>
    </w:p>
    <w:p w14:paraId="59CCCE9E">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综上所述，既有研究已分别在数字鸿沟的演进、各年龄段消费心理以及算法社会影响等领域取得了长足进步。然而，通过梳理可以发现，现有研究仍存在以下局限：首先，多数研究将互联网视为一个静态的背景板，缺乏从“工程实践”动态过程出发分析技术对人动机的实时塑造；其次，跨代际的对比分析往往侧重于现象描述，缺乏对背后技术逻辑（如交互设计、算法推演）的深层解剖。</w:t>
      </w:r>
    </w:p>
    <w:p w14:paraId="0C60C2EF">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本文将在现有研究基础上，引入《工程与社会》的跨学科视角，重点探讨信息工程的技术特性如何与不同群体的社会属性发生碰撞，进而导致消费动机的代际异质性。</w:t>
      </w:r>
    </w:p>
    <w:p w14:paraId="6FF8C95A">
      <w:pPr>
        <w:pStyle w:val="2"/>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第三章 互联网对代际消费动机的异质性影响机理</w:t>
      </w:r>
    </w:p>
    <w:p w14:paraId="5ED2EA94">
      <w:pPr>
        <w:pStyle w:val="3"/>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3.1 信息工程逻辑下的动机分化：主动构建与被动触发</w:t>
      </w:r>
    </w:p>
    <w:p w14:paraId="3A5006A9">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互联网工程的核心逻辑在于“信息的高效分发与匹配”。然而，不同代际群体在信息解码能力上的差异，直接导致了消费决策起点的分化。</w:t>
      </w:r>
    </w:p>
    <w:p w14:paraId="564CB896">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对于作为“数字原住民”的青年群体，其消费动机呈现出明显的</w:t>
      </w:r>
      <w:r>
        <w:rPr>
          <w:rFonts w:hint="eastAsia" w:ascii="宋体" w:hAnsi="宋体" w:eastAsia="宋体" w:cs="宋体"/>
          <w:b/>
          <w:bCs/>
          <w:sz w:val="24"/>
          <w:szCs w:val="24"/>
        </w:rPr>
        <w:t>主动构建型</w:t>
      </w:r>
      <w:r>
        <w:rPr>
          <w:rFonts w:hint="eastAsia" w:ascii="宋体" w:hAnsi="宋体" w:eastAsia="宋体" w:cs="宋体"/>
          <w:sz w:val="24"/>
          <w:szCs w:val="24"/>
        </w:rPr>
        <w:t>特征。青年人受益于极高的数字素养，能够熟练运用垂直搜索引擎、第三方比价插件以及UGC（用户生成内容）平台进行全网溯源。在这种技术背景下，他们的消费动机不再是受单一广告驱动，而是基于多源信息验证后的“理性补偿”。他们追求的是一种基于数据透明后的“性价比”与“个性化”的统一。这种动机的产生，是人与复杂信息工程深度交互后的主动结果。</w:t>
      </w:r>
    </w:p>
    <w:p w14:paraId="5AE8E645">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相比之下，老年群体受限于“使用沟”与“技能沟”，其消费动机呈现出</w:t>
      </w:r>
      <w:r>
        <w:rPr>
          <w:rFonts w:hint="eastAsia" w:ascii="宋体" w:hAnsi="宋体" w:eastAsia="宋体" w:cs="宋体"/>
          <w:b/>
          <w:bCs/>
          <w:sz w:val="24"/>
          <w:szCs w:val="24"/>
        </w:rPr>
        <w:t>被动触发型</w:t>
      </w:r>
      <w:r>
        <w:rPr>
          <w:rFonts w:hint="eastAsia" w:ascii="宋体" w:hAnsi="宋体" w:eastAsia="宋体" w:cs="宋体"/>
          <w:sz w:val="24"/>
          <w:szCs w:val="24"/>
        </w:rPr>
        <w:t>特征。由于缺乏对算法逻辑和营销套路的识别能力，老年群体往往被锁定在由简单交互界面构成的“低维信息空间”内。例如，通过微信群转发的低价链接或诱导性广告。这种动机的触发并非基于自主的检索与比较，而是基于对技术简化后所呈现“假象”的顺从。这种分化深刻反映了信息工程在不同代际群体间产生的“赋权”与“掠夺”效应。3.2 社交媒介工程下的价值取向异同：符号表演与情感补偿</w:t>
      </w:r>
    </w:p>
    <w:p w14:paraId="14DCFA3B">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社交媒介工程通过算法将个体连接成社群，但其对不同代际消费动机的重塑方向截然不同。</w:t>
      </w:r>
    </w:p>
    <w:p w14:paraId="1DAF4166">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b/>
          <w:bCs/>
          <w:sz w:val="24"/>
          <w:szCs w:val="24"/>
        </w:rPr>
        <w:t>青年群体的“社交货币”动机</w:t>
      </w:r>
      <w:r>
        <w:rPr>
          <w:rFonts w:hint="eastAsia" w:ascii="宋体" w:hAnsi="宋体" w:eastAsia="宋体" w:cs="宋体"/>
          <w:sz w:val="24"/>
          <w:szCs w:val="24"/>
        </w:rPr>
        <w:t>展现了强烈的“表演性”。在小红书、抖音等以算法驱动的内容工程中，消费行为被异化为一种身份标签的生产过程。青年人购买某种商品，其核心动机往往不在于产品本身的功能价值，而在于其作为“社交货币”的符号价值。通过在社交平台展示特定品牌的消费行为，个体完成了基于技术中介的身份构建与圈层归属。这种动机是社交工程逻辑对个体自我认知的深度介入，体现了“技术塑造社会关系”的学科逻辑。</w:t>
      </w:r>
    </w:p>
    <w:p w14:paraId="2813EDB9">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与之形成鲜明对比的是，</w:t>
      </w:r>
      <w:r>
        <w:rPr>
          <w:rFonts w:hint="eastAsia" w:ascii="宋体" w:hAnsi="宋体" w:eastAsia="宋体" w:cs="宋体"/>
          <w:b/>
          <w:bCs/>
          <w:sz w:val="24"/>
          <w:szCs w:val="24"/>
        </w:rPr>
        <w:t>老年群体的“情感补偿”动机</w:t>
      </w:r>
      <w:r>
        <w:rPr>
          <w:rFonts w:hint="eastAsia" w:ascii="宋体" w:hAnsi="宋体" w:eastAsia="宋体" w:cs="宋体"/>
          <w:sz w:val="24"/>
          <w:szCs w:val="24"/>
        </w:rPr>
        <w:t>更具传统社会色彩。互联网对老年人而言，主要扮演的是“代际沟通工程”的角色。在数字化转型导致线下社交萎缩的背景下，老年人的在线消费动机往往源于对家庭联系的渴望。他们频繁地参与“拼团”或购买儿童用品，其潜意识动机是通过这种数字化的物质交换，换取与子辈、孙辈的互动机会与情感回馈。这种利他主义的动机逻辑，实质上是利用互联网工程对传统乡土社会“熟人互助”模式的数字化模拟。</w:t>
      </w:r>
    </w:p>
    <w:p w14:paraId="7739D1B6">
      <w:pPr>
        <w:pStyle w:val="3"/>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3.3 支付工程与风险感知对动机的制约：技术信任与焦虑红利</w:t>
      </w:r>
    </w:p>
    <w:p w14:paraId="3D703241">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移动支付工程彻底改变了现代社会的“货币心理学”，但也成为代际消费动机的分水岭。</w:t>
      </w:r>
    </w:p>
    <w:p w14:paraId="3FD984B4">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支付工程的“无感化”设计（如指纹支付、免密支付）极大缩短了从消费动机产生到交易完成的物理与心理距离。</w:t>
      </w:r>
      <w:r>
        <w:rPr>
          <w:rFonts w:hint="eastAsia" w:ascii="宋体" w:hAnsi="宋体" w:eastAsia="宋体" w:cs="宋体"/>
          <w:b/>
          <w:bCs/>
          <w:sz w:val="24"/>
          <w:szCs w:val="24"/>
        </w:rPr>
        <w:t>青年群体</w:t>
      </w:r>
      <w:r>
        <w:rPr>
          <w:rFonts w:hint="eastAsia" w:ascii="宋体" w:hAnsi="宋体" w:eastAsia="宋体" w:cs="宋体"/>
          <w:sz w:val="24"/>
          <w:szCs w:val="24"/>
        </w:rPr>
        <w:t>对这种无感化技术拥有极高的耐受度与信任感。在他们看来，支付环节的简化是一种效率工程。然而，这种低摩擦的支付环境也显著降低了“消费痛感”，使得消费动机极易在算法的精准诱导下演变为非理性的冲动消费。这反映了工程设计在追求极致用户体验时，对社会个体意志自主性的潜在侵蚀。</w:t>
      </w:r>
    </w:p>
    <w:p w14:paraId="60C2D143">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相反，</w:t>
      </w:r>
      <w:r>
        <w:rPr>
          <w:rFonts w:hint="eastAsia" w:ascii="宋体" w:hAnsi="宋体" w:eastAsia="宋体" w:cs="宋体"/>
          <w:b/>
          <w:bCs/>
          <w:sz w:val="24"/>
          <w:szCs w:val="24"/>
        </w:rPr>
        <w:t>老年群体</w:t>
      </w:r>
      <w:r>
        <w:rPr>
          <w:rFonts w:hint="eastAsia" w:ascii="宋体" w:hAnsi="宋体" w:eastAsia="宋体" w:cs="宋体"/>
          <w:sz w:val="24"/>
          <w:szCs w:val="24"/>
        </w:rPr>
        <w:t>在面对支付工程时，表现出强烈的“风险规避”动机。这种畏难情绪源于对电子支付背后的资金安全、隐私泄露以及算法杀熟的天然不信任。从工程社会学视角看，老年人对“黑箱操作”式的后台逻辑存在认知恐惧，这种技术焦虑构成了巨大的心理门槛，直接抑制了其尝试新型消费的原始动机。即使在有购买需求的情况下，这种因安全感知产生的“防御性动机”也会迫使他们放弃交易，从而导致其在数字红利分配中处于弱势地位。</w:t>
      </w:r>
    </w:p>
    <w:p w14:paraId="7F443315">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这是为你撰写的</w:t>
      </w:r>
      <w:r>
        <w:rPr>
          <w:rFonts w:hint="eastAsia" w:ascii="宋体" w:hAnsi="宋体" w:eastAsia="宋体" w:cs="宋体"/>
          <w:b/>
          <w:bCs/>
          <w:sz w:val="24"/>
          <w:szCs w:val="24"/>
        </w:rPr>
        <w:t>第四章 案例分析</w:t>
      </w:r>
      <w:r>
        <w:rPr>
          <w:rFonts w:hint="eastAsia" w:ascii="宋体" w:hAnsi="宋体" w:eastAsia="宋体" w:cs="宋体"/>
          <w:sz w:val="24"/>
          <w:szCs w:val="24"/>
        </w:rPr>
        <w:t xml:space="preserve">。本部分约 </w:t>
      </w:r>
      <w:r>
        <w:rPr>
          <w:rFonts w:hint="eastAsia" w:ascii="宋体" w:hAnsi="宋体" w:eastAsia="宋体" w:cs="宋体"/>
          <w:b/>
          <w:bCs/>
          <w:sz w:val="24"/>
          <w:szCs w:val="24"/>
        </w:rPr>
        <w:t>1100字</w:t>
      </w:r>
      <w:r>
        <w:rPr>
          <w:rFonts w:hint="eastAsia" w:ascii="宋体" w:hAnsi="宋体" w:eastAsia="宋体" w:cs="宋体"/>
          <w:sz w:val="24"/>
          <w:szCs w:val="24"/>
        </w:rPr>
        <w:t>，通过对比“得物”与“拼多多”这两款在工程逻辑上截然不同的产品，深度验证前文提出的理论机理，是论文最具说服力的实证部分。</w:t>
      </w:r>
    </w:p>
    <w:p w14:paraId="26B6A2EB">
      <w:pPr>
        <w:pStyle w:val="2"/>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第四章 典型互联网平台的代际影响案例分析</w:t>
      </w:r>
    </w:p>
    <w:p w14:paraId="3878125A">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为了进一步论证互联网工程对代际消费动机的异质性影响，本章选取了具有极强代际标签的两个典型平台——“得物（Poizon）”与“拼多多”进行对比分析。这两个平台在交互逻辑、算法机制及社会功能上的差异，精准映射了青年与老年群体的动机特征。</w:t>
      </w:r>
    </w:p>
    <w:p w14:paraId="2E8D1CE1">
      <w:pPr>
        <w:pStyle w:val="3"/>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4.1 “得物”：算法强化下的青年身份认同工程</w:t>
      </w:r>
    </w:p>
    <w:p w14:paraId="64266490">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“得物”作为国内领先的潮流网购社区，其核心工程逻辑在于构建了一套**“技术信用背书+社交符号分发”**的体系。</w:t>
      </w:r>
    </w:p>
    <w:p w14:paraId="5ECBFC7D">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首先，在工程设计上，得物首创了“先鉴别，后发货”的业务模式。这一模式利用其庞大的查验鉴别数据库和多重质检工序，将复杂的鉴别技术转化为简单直观的“防伪扣”与“鉴别证书”。对于追求“正品保障”和“稀缺性”的青年群体而言，这种技术信用极大地强化了他们的</w:t>
      </w:r>
      <w:r>
        <w:rPr>
          <w:rFonts w:hint="eastAsia" w:ascii="宋体" w:hAnsi="宋体" w:eastAsia="宋体" w:cs="宋体"/>
          <w:b/>
          <w:bCs/>
          <w:sz w:val="24"/>
          <w:szCs w:val="24"/>
        </w:rPr>
        <w:t>消费安全感动机</w:t>
      </w:r>
      <w:r>
        <w:rPr>
          <w:rFonts w:hint="eastAsia" w:ascii="宋体" w:hAnsi="宋体" w:eastAsia="宋体" w:cs="宋体"/>
          <w:sz w:val="24"/>
          <w:szCs w:val="24"/>
        </w:rPr>
        <w:t>。青年人愿意支付溢价，本质上是为这种“技术确权”买单。</w:t>
      </w:r>
    </w:p>
    <w:p w14:paraId="23422324">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其次，得物利用强大的算法引擎，通过“社区+电商”的双驱动模式，精准捕捉并放大了青年人的**“社交货币”动机**。得物的瀑布流页面不仅展示商品，更展示“潮流生活方式”。当青年人在社区内看到与其兴趣相投的KOL穿着某款限量版球鞋时，算法会立即匹配相关商品。这种基于大数据画像的精准投射，让消费变成了一种基于身份认同的仪式感。在得物的工程语境下，青年人的消费动机已由基础的物质需求转向了高阶的“身份标记”。</w:t>
      </w:r>
    </w:p>
    <w:p w14:paraId="598EDBFB">
      <w:pPr>
        <w:pStyle w:val="3"/>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4.2 “拼多多”：社交裂变对老年数字门槛的消解</w:t>
      </w:r>
    </w:p>
    <w:p w14:paraId="20A2DB8F">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相比得物对“高端、独特”的工程追求，拼多多的工程逻辑则走向了另一个极端——</w:t>
      </w:r>
      <w:r>
        <w:rPr>
          <w:rFonts w:hint="eastAsia" w:ascii="宋体" w:hAnsi="宋体" w:eastAsia="宋体" w:cs="宋体"/>
          <w:b/>
          <w:bCs/>
          <w:sz w:val="24"/>
          <w:szCs w:val="24"/>
        </w:rPr>
        <w:t>“极简交互+社交下沉”</w:t>
      </w:r>
      <w:r>
        <w:rPr>
          <w:rFonts w:hint="eastAsia" w:ascii="宋体" w:hAnsi="宋体" w:eastAsia="宋体" w:cs="宋体"/>
          <w:sz w:val="24"/>
          <w:szCs w:val="24"/>
        </w:rPr>
        <w:t>，这精准契合了老年群体的消费特征。</w:t>
      </w:r>
    </w:p>
    <w:p w14:paraId="3D9F627F">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在界面工程层面，拼多多早期的设计极具“包容性”。相较于淘宝、京东复杂的优惠计算规则，拼多多的UI设计更为直观：巨大的价格对比、醒目的“去拼单”按钮，以及极简的支付链路。这种低认知的工程逻辑极大降低了老年人的“技术负荷”，使其原本受限于“技能沟”的</w:t>
      </w:r>
      <w:r>
        <w:rPr>
          <w:rFonts w:hint="eastAsia" w:ascii="宋体" w:hAnsi="宋体" w:eastAsia="宋体" w:cs="宋体"/>
          <w:b/>
          <w:bCs/>
          <w:sz w:val="24"/>
          <w:szCs w:val="24"/>
        </w:rPr>
        <w:t>实用主义消费动机</w:t>
      </w:r>
      <w:r>
        <w:rPr>
          <w:rFonts w:hint="eastAsia" w:ascii="宋体" w:hAnsi="宋体" w:eastAsia="宋体" w:cs="宋体"/>
          <w:sz w:val="24"/>
          <w:szCs w:val="24"/>
        </w:rPr>
        <w:t>得以顺利释放。</w:t>
      </w:r>
    </w:p>
    <w:p w14:paraId="27AE7853">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更深层次的差异在于拼多多的“社交裂变”机制（如砍一刀、拼单）。这种机制在工程层面利用了社交网络（微信）的强连接属性。对于老年群体而言，他们的网购动机往往不是由算法推荐触发的，而是由**“熟人社交”</w:t>
      </w:r>
      <w:r>
        <w:rPr>
          <w:rFonts w:hint="eastAsia" w:ascii="宋体" w:hAnsi="宋体" w:eastAsia="宋体" w:cs="宋体"/>
          <w:b/>
          <w:bCs/>
          <w:sz w:val="24"/>
          <w:szCs w:val="24"/>
        </w:rPr>
        <w:t>驱动的。参与拼单不仅能获得价格优惠（满足其节俭动机），更是一种参与家庭社交、邻里互动的手段。拼多多的工程逻辑本质上是利用数字技术对传统“乡土社会”熟人互惠模式的重写。它成功将老年人的</w:t>
      </w:r>
      <w:r>
        <w:rPr>
          <w:rFonts w:hint="eastAsia" w:ascii="宋体" w:hAnsi="宋体" w:eastAsia="宋体" w:cs="宋体"/>
          <w:sz w:val="24"/>
          <w:szCs w:val="24"/>
        </w:rPr>
        <w:t>“利他动机”**（帮子女省钱、帮老友砍价）转化为实际的消费行为。</w:t>
      </w:r>
    </w:p>
    <w:p w14:paraId="0BD53A6C">
      <w:pPr>
        <w:pStyle w:val="3"/>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4.3 案例对比小结：工程偏向性与代际落差</w:t>
      </w:r>
    </w:p>
    <w:p w14:paraId="7571DC83">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通过对比可以发现，得物与拼多多分别代表了互联网工程发展的两个方向：得物向上追求“技术的精准引导”，满足了青年群体基于符号认同的复杂动机；而拼多多向下追求“技术的去复杂化”，弥合了老年群体与数字世界之间的接入鸿沟，激发了基于生存理性的原始动机。</w:t>
      </w:r>
    </w:p>
    <w:p w14:paraId="2048380F">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这种对比有力地证明了：</w:t>
      </w:r>
      <w:r>
        <w:rPr>
          <w:rFonts w:hint="eastAsia" w:ascii="宋体" w:hAnsi="宋体" w:eastAsia="宋体" w:cs="宋体"/>
          <w:b/>
          <w:bCs/>
          <w:sz w:val="24"/>
          <w:szCs w:val="24"/>
        </w:rPr>
        <w:t>互联网技术并不是中立的，其工程逻辑的偏向性会与不同代际的社会属性产生共振。</w:t>
      </w:r>
      <w:r>
        <w:rPr>
          <w:rFonts w:hint="eastAsia" w:ascii="宋体" w:hAnsi="宋体" w:eastAsia="宋体" w:cs="宋体"/>
          <w:sz w:val="24"/>
          <w:szCs w:val="24"/>
        </w:rPr>
        <w:t xml:space="preserve"> 青年群体在复杂的算法中寻找个性的出口，而老年群体在简化的规则中寻找回归社会的入口。</w:t>
      </w:r>
    </w:p>
    <w:p w14:paraId="55E8F86B">
      <w:pPr>
        <w:pStyle w:val="2"/>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第五章 工程伦理视角下的社会责任与对策建议（约600字）</w:t>
      </w:r>
    </w:p>
    <w:p w14:paraId="0AFFC7E9">
      <w:pPr>
        <w:pStyle w:val="3"/>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5.1 推动工程设计的“包容性”转型</w:t>
      </w:r>
    </w:p>
    <w:p w14:paraId="5F6427AB">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针对老年群体面临的“技术阻滞”，工程设计者应超越单一的商业效率逻辑，践行“通用设计”理念。应在国家政策引导下，将“适老化”从单纯的字体放大升级为逻辑重构，降低操作噪音，保障老年群体作为消费者的基本权利。</w:t>
      </w:r>
    </w:p>
    <w:p w14:paraId="22641DD1">
      <w:pPr>
        <w:pStyle w:val="3"/>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5.2 算法伦理的规范与透明化</w:t>
      </w:r>
    </w:p>
    <w:p w14:paraId="197B8F76">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针对青年群体面临的“数据操纵”，应加强对推荐算法的伦理监管。企业在进行工程实践时，应引入“算法审美”与“动机保护”机制，避免通过大数据杀熟或过度诱导性消费剥夺消费者的意志自主权。</w:t>
      </w:r>
    </w:p>
    <w:p w14:paraId="1B31DD80">
      <w:pPr>
        <w:pStyle w:val="3"/>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5.3 构建代际和谐的数字消费环境</w:t>
      </w:r>
    </w:p>
    <w:p w14:paraId="26584C73">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政府、企业与社区应共同发力，通过“数字反哺”项目和媒介素养教育，缩小代际间的收益鸿沟。让技术回归服务于人的本位，而不是成为划分社会阶层与代际差异的坚冰。</w:t>
      </w:r>
    </w:p>
    <w:p w14:paraId="59E45C18">
      <w:pPr>
        <w:pStyle w:val="2"/>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结论</w:t>
      </w:r>
    </w:p>
    <w:p w14:paraId="7649155C">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本文立足于信息工程与社会的共生视角，系统性地探讨了数字鸿沟背景下不同代际群体消费动机的异质性表现及其深层机理。研究发现，互联网技术作为一种中介力量，并非匀质地影响所有社会成员，而是通过其内在的算法逻辑、交互界面与社交工程，对不同代际的个体意志进行了差异化重塑。</w:t>
      </w:r>
    </w:p>
    <w:p w14:paraId="5BB9E800">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rPr>
          <w:rFonts w:hint="eastAsia" w:ascii="宋体" w:hAnsi="宋体" w:eastAsia="宋体" w:cs="宋体"/>
          <w:sz w:val="24"/>
          <w:szCs w:val="24"/>
        </w:rPr>
      </w:pPr>
      <w:r>
        <w:rPr>
          <w:rFonts w:hint="eastAsia" w:ascii="宋体" w:hAnsi="宋体" w:eastAsia="宋体" w:cs="宋体"/>
          <w:sz w:val="24"/>
          <w:szCs w:val="24"/>
        </w:rPr>
        <w:t>对于青年群体而言，数字技术已演变为一种身份构建的工具，其消费动机在算法的精准捕获下呈现出强烈的符号化与社交化倾向，但也面临着消费自主性被技术黑箱侵蚀的伦理风险。对于老年群体而言，数字鸿沟已从接入层面的缺失转化为使用层面的排斥，技术复杂性带来的认知负荷与风险感知，严重抑制了其释放潜在的消费活力。拼多多与得物的案例对比进一步印证了：工程逻辑的偏向性（极简主义vs.极致体验）是导致代际动机分化的关键变量。</w:t>
      </w:r>
    </w:p>
    <w:p w14:paraId="03A0A8E5">
      <w:pPr>
        <w:pStyle w:val="4"/>
        <w:keepNext w:val="0"/>
        <w:keepLines w:val="0"/>
        <w:pageBreakBefore w:val="0"/>
        <w:widowControl/>
        <w:suppressLineNumbers w:val="0"/>
        <w:kinsoku/>
        <w:wordWrap/>
        <w:overflowPunct/>
        <w:topLinePunct w:val="0"/>
        <w:autoSpaceDE/>
        <w:autoSpaceDN/>
        <w:bidi w:val="0"/>
        <w:adjustRightInd/>
        <w:snapToGrid/>
        <w:spacing w:line="25" w:lineRule="atLeast"/>
        <w:textAlignment w:val="auto"/>
      </w:pPr>
      <w:r>
        <w:rPr>
          <w:rFonts w:hint="eastAsia" w:ascii="宋体" w:hAnsi="宋体" w:eastAsia="宋体" w:cs="宋体"/>
          <w:sz w:val="24"/>
          <w:szCs w:val="24"/>
        </w:rPr>
        <w:t>综上所述，弥合代际间的消费动机鸿沟，不仅需要技术层面的适老化工程改造，更需要从工程伦理的高度重构数字正义。未来的工程实践应秉持包容性设计原则，弱化技术对特定群体的排斥效应。只有当信息工程真正兼顾效率与公平，技术红利才能跨越代际的藩篱，实现全社会范围内的普惠与共享。</w:t>
      </w:r>
    </w:p>
    <w:p w14:paraId="14F7458A">
      <w:pPr>
        <w:spacing w:before="156" w:beforeLines="50" w:after="156" w:afterLines="50" w:line="360" w:lineRule="auto"/>
        <w:jc w:val="both"/>
        <w:rPr>
          <w:rFonts w:ascii="宋体" w:hAnsi="宋体" w:eastAsia="宋体" w:cs="宋体"/>
          <w:sz w:val="32"/>
          <w:szCs w:val="32"/>
        </w:rPr>
      </w:pPr>
    </w:p>
    <w:p w14:paraId="067BA9B4">
      <w:pPr>
        <w:spacing w:before="156" w:beforeLines="50" w:after="156" w:afterLines="50" w:line="360" w:lineRule="auto"/>
        <w:jc w:val="both"/>
        <w:rPr>
          <w:rFonts w:ascii="宋体" w:hAnsi="宋体" w:eastAsia="宋体" w:cs="宋体"/>
          <w:sz w:val="32"/>
          <w:szCs w:val="32"/>
        </w:rPr>
      </w:pPr>
    </w:p>
    <w:p w14:paraId="3D3B4596">
      <w:pPr>
        <w:spacing w:before="156" w:beforeLines="50" w:after="156" w:afterLines="50" w:line="360" w:lineRule="auto"/>
        <w:jc w:val="both"/>
        <w:rPr>
          <w:rFonts w:ascii="宋体" w:hAnsi="宋体" w:eastAsia="宋体" w:cs="宋体"/>
          <w:sz w:val="32"/>
          <w:szCs w:val="32"/>
        </w:rPr>
        <w:sectPr>
          <w:pgSz w:w="11906" w:h="16838"/>
          <w:pgMar w:top="1440" w:right="1800" w:bottom="1440" w:left="1800" w:header="851" w:footer="992" w:gutter="0"/>
          <w:cols w:space="425" w:num="1"/>
          <w:docGrid w:type="lines" w:linePitch="312" w:charSpace="0"/>
        </w:sectPr>
      </w:pPr>
    </w:p>
    <w:p w14:paraId="0C8E4123">
      <w:pPr>
        <w:spacing w:before="156" w:beforeLines="50" w:after="156" w:afterLines="50" w:line="360" w:lineRule="auto"/>
        <w:jc w:val="left"/>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核心文献</w:t>
      </w:r>
    </w:p>
    <w:p w14:paraId="4A330260">
      <w:pPr>
        <w:spacing w:before="156" w:beforeLines="50" w:after="156" w:afterLines="50" w:line="360" w:lineRule="auto"/>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default" w:ascii="宋体" w:hAnsi="宋体" w:eastAsia="宋体" w:cs="宋体"/>
          <w:sz w:val="24"/>
          <w:szCs w:val="24"/>
          <w:lang w:val="en-US" w:eastAsia="zh-CN"/>
        </w:rPr>
        <w:t>邱泽奇, 等. 《从数字鸿沟到红利差异：互联网资本的社会阶层化》</w:t>
      </w:r>
    </w:p>
    <w:p w14:paraId="0AEC4A7B">
      <w:pPr>
        <w:spacing w:before="156" w:beforeLines="50" w:after="156" w:afterLines="50" w:line="360" w:lineRule="auto"/>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default" w:ascii="宋体" w:hAnsi="宋体" w:eastAsia="宋体" w:cs="宋体"/>
          <w:sz w:val="24"/>
          <w:szCs w:val="24"/>
          <w:lang w:val="en-US" w:eastAsia="zh-CN"/>
        </w:rPr>
        <w:t>陈友华, 等. 《数字代沟：互联网时代的代际关系重塑》</w:t>
      </w:r>
    </w:p>
    <w:p w14:paraId="245B175F">
      <w:pPr>
        <w:spacing w:before="156" w:beforeLines="50" w:after="156" w:afterLines="50" w:line="360" w:lineRule="auto"/>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w:t>
      </w:r>
      <w:r>
        <w:rPr>
          <w:rFonts w:hint="default" w:ascii="宋体" w:hAnsi="宋体" w:eastAsia="宋体" w:cs="宋体"/>
          <w:sz w:val="24"/>
          <w:szCs w:val="24"/>
          <w:lang w:val="en-US" w:eastAsia="zh-CN"/>
        </w:rPr>
        <w:t>彭兰. 《机器逻辑与人的自主性：算法对消费者的社会化重构》</w:t>
      </w:r>
    </w:p>
    <w:p w14:paraId="672184BD">
      <w:pPr>
        <w:spacing w:before="156" w:beforeLines="50" w:after="156" w:afterLines="50" w:line="360" w:lineRule="auto"/>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[4]</w:t>
      </w:r>
      <w:r>
        <w:rPr>
          <w:rFonts w:hint="default" w:ascii="宋体" w:hAnsi="宋体" w:eastAsia="宋体" w:cs="宋体"/>
          <w:sz w:val="24"/>
          <w:szCs w:val="24"/>
          <w:lang w:val="en-US" w:eastAsia="zh-CN"/>
        </w:rPr>
        <w:t>喻国明. 《媒介演进视角下的数字贫困与数字正义》</w:t>
      </w:r>
    </w:p>
    <w:p w14:paraId="38B6F782">
      <w:pPr>
        <w:spacing w:before="156" w:beforeLines="50" w:after="156" w:afterLines="50" w:line="360" w:lineRule="auto"/>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[5]</w:t>
      </w:r>
      <w:r>
        <w:rPr>
          <w:rFonts w:hint="default" w:ascii="宋体" w:hAnsi="宋体" w:eastAsia="宋体" w:cs="宋体"/>
          <w:sz w:val="24"/>
          <w:szCs w:val="24"/>
          <w:lang w:val="en-US" w:eastAsia="zh-CN"/>
        </w:rPr>
        <w:t>李晓静. 《银发族数字融入的影响因素及其消费行为变迁》</w:t>
      </w:r>
    </w:p>
    <w:p w14:paraId="01163B58">
      <w:pPr>
        <w:spacing w:before="156" w:beforeLines="50" w:after="156" w:afterLines="50" w:line="360" w:lineRule="auto"/>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[6]</w:t>
      </w:r>
      <w:r>
        <w:rPr>
          <w:rFonts w:hint="default" w:ascii="宋体" w:hAnsi="宋体" w:eastAsia="宋体" w:cs="宋体"/>
          <w:sz w:val="24"/>
          <w:szCs w:val="24"/>
          <w:lang w:val="en-US" w:eastAsia="zh-CN"/>
        </w:rPr>
        <w:t>胡荣. 《社会资本、互联网使用与居民消费》</w:t>
      </w:r>
    </w:p>
    <w:p w14:paraId="4F492593">
      <w:pPr>
        <w:spacing w:before="156" w:beforeLines="50" w:after="156" w:afterLines="50" w:line="360" w:lineRule="auto"/>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[7]</w:t>
      </w:r>
      <w:r>
        <w:rPr>
          <w:rFonts w:hint="default" w:ascii="宋体" w:hAnsi="宋体" w:eastAsia="宋体" w:cs="宋体"/>
          <w:sz w:val="24"/>
          <w:szCs w:val="24"/>
          <w:lang w:val="en-US" w:eastAsia="zh-CN"/>
        </w:rPr>
        <w:t>张杰. 《数字金融、技术接受度与农村代际消费差异》</w:t>
      </w:r>
    </w:p>
    <w:p w14:paraId="459CB76C">
      <w:pPr>
        <w:spacing w:before="156" w:beforeLines="50" w:after="156" w:afterLines="50" w:line="360" w:lineRule="auto"/>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[8]</w:t>
      </w:r>
      <w:r>
        <w:rPr>
          <w:rFonts w:hint="default" w:ascii="宋体" w:hAnsi="宋体" w:eastAsia="宋体" w:cs="宋体"/>
          <w:sz w:val="24"/>
          <w:szCs w:val="24"/>
          <w:lang w:val="en-US" w:eastAsia="zh-CN"/>
        </w:rPr>
        <w:t>郭斌. 《智能手机对老年人日常生活的影响及其社会适应性》</w:t>
      </w:r>
    </w:p>
    <w:p w14:paraId="679BF3CA">
      <w:pPr>
        <w:spacing w:before="156" w:beforeLines="50" w:after="156" w:afterLines="50" w:line="360" w:lineRule="auto"/>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[9]</w:t>
      </w:r>
      <w:r>
        <w:rPr>
          <w:rFonts w:hint="default" w:ascii="宋体" w:hAnsi="宋体" w:eastAsia="宋体" w:cs="宋体"/>
          <w:sz w:val="24"/>
          <w:szCs w:val="24"/>
          <w:lang w:val="en-US" w:eastAsia="zh-CN"/>
        </w:rPr>
        <w:t>杨斌. 《信息工程伦理视角下的“大数据杀熟”及其治理》</w:t>
      </w:r>
    </w:p>
    <w:p w14:paraId="0C82BB78">
      <w:pPr>
        <w:spacing w:before="156" w:beforeLines="50" w:after="156" w:afterLines="50" w:line="360" w:lineRule="auto"/>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[10]</w:t>
      </w:r>
      <w:r>
        <w:rPr>
          <w:rFonts w:hint="default" w:ascii="宋体" w:hAnsi="宋体" w:eastAsia="宋体" w:cs="宋体"/>
          <w:sz w:val="24"/>
          <w:szCs w:val="24"/>
          <w:lang w:val="en-US" w:eastAsia="zh-CN"/>
        </w:rPr>
        <w:t>王红艳. 《“Z世代”消费心理与行为特征研究》</w:t>
      </w:r>
    </w:p>
    <w:p w14:paraId="173917ED">
      <w:pPr>
        <w:spacing w:before="156" w:beforeLines="50" w:after="156" w:afterLines="50" w:line="360" w:lineRule="auto"/>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[11]</w:t>
      </w:r>
      <w:r>
        <w:rPr>
          <w:rFonts w:hint="default" w:ascii="宋体" w:hAnsi="宋体" w:eastAsia="宋体" w:cs="宋体"/>
          <w:sz w:val="24"/>
          <w:szCs w:val="24"/>
          <w:lang w:val="en-US" w:eastAsia="zh-CN"/>
        </w:rPr>
        <w:t>DiMaggio, P., &amp; Hargittai, E. "From the 'Digital Divide' to 'Digital Inequality': Studying Internet Use as Penetration Increases."</w:t>
      </w:r>
    </w:p>
    <w:p w14:paraId="66053779">
      <w:pPr>
        <w:spacing w:before="156" w:beforeLines="50" w:after="156" w:afterLines="50" w:line="360" w:lineRule="auto"/>
        <w:jc w:val="left"/>
        <w:rPr>
          <w:rFonts w:hint="default" w:ascii="宋体" w:hAnsi="宋体" w:eastAsia="宋体" w:cs="宋体"/>
          <w:sz w:val="32"/>
          <w:szCs w:val="32"/>
          <w:lang w:val="en-US" w:eastAsia="zh-CN"/>
        </w:rPr>
      </w:pPr>
    </w:p>
    <w:p w14:paraId="1982DA21">
      <w:pPr>
        <w:spacing w:before="156" w:beforeLines="50" w:after="156" w:afterLines="50" w:line="360" w:lineRule="auto"/>
        <w:jc w:val="left"/>
        <w:rPr>
          <w:rFonts w:hint="default" w:ascii="宋体" w:hAnsi="宋体" w:eastAsia="宋体" w:cs="宋体"/>
          <w:sz w:val="32"/>
          <w:szCs w:val="32"/>
          <w:lang w:val="en-US" w:eastAsia="zh-CN"/>
        </w:rPr>
      </w:pPr>
      <w:bookmarkStart w:id="0" w:name="_GoBack"/>
      <w:bookmarkEnd w:id="0"/>
    </w:p>
    <w:p w14:paraId="79963A71">
      <w:pPr>
        <w:spacing w:before="156" w:beforeLines="50" w:after="156" w:afterLines="50" w:line="360" w:lineRule="auto"/>
        <w:jc w:val="left"/>
        <w:rPr>
          <w:rFonts w:hint="default" w:ascii="宋体" w:hAnsi="宋体" w:eastAsia="宋体" w:cs="宋体"/>
          <w:sz w:val="32"/>
          <w:szCs w:val="32"/>
          <w:lang w:val="en-US" w:eastAsia="zh-CN"/>
        </w:rPr>
        <w:sectPr>
          <w:pgSz w:w="11906" w:h="16838"/>
          <w:pgMar w:top="1440" w:right="1800" w:bottom="1440" w:left="1800" w:header="851" w:footer="992" w:gutter="0"/>
          <w:cols w:space="425" w:num="1"/>
          <w:docGrid w:type="lines" w:linePitch="312" w:charSpace="0"/>
        </w:sectPr>
      </w:pPr>
      <w:r>
        <w:drawing>
          <wp:inline distT="0" distB="0" distL="114300" distR="114300">
            <wp:extent cx="5264785" cy="2960370"/>
            <wp:effectExtent l="0" t="0" r="5715"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64785" cy="2960370"/>
                    </a:xfrm>
                    <a:prstGeom prst="rect">
                      <a:avLst/>
                    </a:prstGeom>
                    <a:noFill/>
                    <a:ln>
                      <a:noFill/>
                    </a:ln>
                  </pic:spPr>
                </pic:pic>
              </a:graphicData>
            </a:graphic>
          </wp:inline>
        </w:drawing>
      </w:r>
    </w:p>
    <w:p w14:paraId="1E2EC0B6">
      <w:pPr>
        <w:spacing w:before="156" w:beforeLines="50" w:after="156" w:afterLines="50" w:line="360" w:lineRule="auto"/>
        <w:ind w:firstLine="960" w:firstLineChars="300"/>
        <w:jc w:val="center"/>
        <w:rPr>
          <w:rFonts w:ascii="黑体" w:hAnsi="黑体" w:eastAsia="黑体"/>
          <w:bCs/>
          <w:sz w:val="32"/>
          <w:szCs w:val="32"/>
        </w:rPr>
      </w:pPr>
      <w:r>
        <w:rPr>
          <w:rFonts w:hint="eastAsia" w:ascii="黑体" w:hAnsi="黑体" w:eastAsia="黑体" w:cs="黑体"/>
          <w:bCs/>
          <w:sz w:val="32"/>
          <w:szCs w:val="32"/>
        </w:rPr>
        <w:t>《工程与社会》课程论文成绩评定表</w:t>
      </w:r>
    </w:p>
    <w:tbl>
      <w:tblPr>
        <w:tblStyle w:val="5"/>
        <w:tblW w:w="97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7"/>
        <w:gridCol w:w="1398"/>
        <w:gridCol w:w="1178"/>
        <w:gridCol w:w="1766"/>
        <w:gridCol w:w="1134"/>
        <w:gridCol w:w="1052"/>
        <w:gridCol w:w="834"/>
        <w:gridCol w:w="830"/>
      </w:tblGrid>
      <w:tr w14:paraId="79A81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607" w:type="dxa"/>
            <w:tcBorders>
              <w:top w:val="single" w:color="auto" w:sz="4" w:space="0"/>
              <w:left w:val="single" w:color="auto" w:sz="4" w:space="0"/>
              <w:bottom w:val="single" w:color="auto" w:sz="4" w:space="0"/>
              <w:right w:val="single" w:color="auto" w:sz="4" w:space="0"/>
            </w:tcBorders>
            <w:vAlign w:val="center"/>
          </w:tcPr>
          <w:p w14:paraId="6AD2E9EC">
            <w:pPr>
              <w:tabs>
                <w:tab w:val="left" w:pos="6870"/>
              </w:tabs>
              <w:jc w:val="center"/>
              <w:rPr>
                <w:rFonts w:ascii="黑体" w:hAnsi="黑体" w:eastAsia="黑体"/>
              </w:rPr>
            </w:pPr>
            <w:r>
              <w:rPr>
                <w:rFonts w:hint="eastAsia" w:ascii="黑体" w:hAnsi="黑体" w:eastAsia="黑体" w:cs="宋体"/>
              </w:rPr>
              <w:t>论文题目</w:t>
            </w:r>
          </w:p>
        </w:tc>
        <w:tc>
          <w:tcPr>
            <w:tcW w:w="8192" w:type="dxa"/>
            <w:gridSpan w:val="7"/>
            <w:tcBorders>
              <w:top w:val="single" w:color="auto" w:sz="4" w:space="0"/>
              <w:left w:val="single" w:color="auto" w:sz="4" w:space="0"/>
              <w:bottom w:val="single" w:color="auto" w:sz="4" w:space="0"/>
              <w:right w:val="single" w:color="auto" w:sz="4" w:space="0"/>
            </w:tcBorders>
            <w:vAlign w:val="center"/>
          </w:tcPr>
          <w:p w14:paraId="72CD69AD">
            <w:pPr>
              <w:tabs>
                <w:tab w:val="left" w:pos="6870"/>
              </w:tabs>
              <w:jc w:val="center"/>
              <w:rPr>
                <w:rFonts w:ascii="仿宋" w:hAnsi="仿宋" w:eastAsia="仿宋"/>
                <w:color w:val="FF0000"/>
              </w:rPr>
            </w:pPr>
            <w:r>
              <w:rPr>
                <w:rFonts w:hint="eastAsia" w:ascii="仿宋" w:hAnsi="仿宋" w:eastAsia="仿宋"/>
              </w:rPr>
              <w:t xml:space="preserve">数字鸿沟视角下互联网对不同代际群体消费动机的异质性影响研究 </w:t>
            </w:r>
          </w:p>
        </w:tc>
      </w:tr>
      <w:tr w14:paraId="55946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jc w:val="center"/>
        </w:trPr>
        <w:tc>
          <w:tcPr>
            <w:tcW w:w="1607" w:type="dxa"/>
            <w:tcBorders>
              <w:top w:val="single" w:color="auto" w:sz="4" w:space="0"/>
              <w:left w:val="single" w:color="auto" w:sz="4" w:space="0"/>
              <w:bottom w:val="single" w:color="auto" w:sz="4" w:space="0"/>
              <w:right w:val="single" w:color="auto" w:sz="4" w:space="0"/>
            </w:tcBorders>
            <w:vAlign w:val="center"/>
          </w:tcPr>
          <w:p w14:paraId="5FA1EB37">
            <w:pPr>
              <w:tabs>
                <w:tab w:val="left" w:pos="6870"/>
              </w:tabs>
              <w:jc w:val="center"/>
              <w:rPr>
                <w:rFonts w:ascii="黑体" w:hAnsi="黑体" w:eastAsia="黑体"/>
              </w:rPr>
            </w:pPr>
            <w:r>
              <w:rPr>
                <w:rFonts w:hint="eastAsia" w:ascii="黑体" w:hAnsi="黑体" w:eastAsia="黑体" w:cs="宋体"/>
              </w:rPr>
              <w:t>学生姓名</w:t>
            </w:r>
          </w:p>
        </w:tc>
        <w:tc>
          <w:tcPr>
            <w:tcW w:w="1398" w:type="dxa"/>
            <w:tcBorders>
              <w:top w:val="single" w:color="auto" w:sz="4" w:space="0"/>
              <w:left w:val="single" w:color="auto" w:sz="4" w:space="0"/>
              <w:bottom w:val="single" w:color="auto" w:sz="4" w:space="0"/>
              <w:right w:val="single" w:color="auto" w:sz="4" w:space="0"/>
            </w:tcBorders>
            <w:vAlign w:val="center"/>
          </w:tcPr>
          <w:p w14:paraId="7C702178">
            <w:pPr>
              <w:tabs>
                <w:tab w:val="left" w:pos="6870"/>
              </w:tabs>
              <w:jc w:val="center"/>
              <w:rPr>
                <w:rFonts w:hint="eastAsia" w:ascii="仿宋" w:hAnsi="仿宋" w:eastAsia="仿宋"/>
                <w:lang w:val="en-US" w:eastAsia="zh-CN"/>
              </w:rPr>
            </w:pPr>
            <w:r>
              <w:rPr>
                <w:rFonts w:hint="eastAsia" w:ascii="仿宋" w:hAnsi="仿宋" w:eastAsia="仿宋"/>
              </w:rPr>
              <w:t xml:space="preserve"> </w:t>
            </w:r>
            <w:r>
              <w:rPr>
                <w:rFonts w:hint="eastAsia" w:ascii="仿宋" w:hAnsi="仿宋" w:eastAsia="仿宋"/>
                <w:lang w:val="en-US" w:eastAsia="zh-CN"/>
              </w:rPr>
              <w:t>王文轩</w:t>
            </w:r>
          </w:p>
        </w:tc>
        <w:tc>
          <w:tcPr>
            <w:tcW w:w="1178" w:type="dxa"/>
            <w:tcBorders>
              <w:top w:val="single" w:color="auto" w:sz="4" w:space="0"/>
              <w:left w:val="single" w:color="auto" w:sz="4" w:space="0"/>
              <w:bottom w:val="single" w:color="auto" w:sz="4" w:space="0"/>
              <w:right w:val="single" w:color="auto" w:sz="4" w:space="0"/>
            </w:tcBorders>
            <w:vAlign w:val="center"/>
          </w:tcPr>
          <w:p w14:paraId="7D940353">
            <w:pPr>
              <w:tabs>
                <w:tab w:val="left" w:pos="6870"/>
              </w:tabs>
              <w:jc w:val="center"/>
              <w:rPr>
                <w:rFonts w:ascii="黑体" w:hAnsi="黑体" w:eastAsia="黑体"/>
              </w:rPr>
            </w:pPr>
            <w:r>
              <w:rPr>
                <w:rFonts w:hint="eastAsia" w:ascii="黑体" w:hAnsi="黑体" w:eastAsia="黑体" w:cs="宋体"/>
              </w:rPr>
              <w:t>班级学号</w:t>
            </w:r>
          </w:p>
        </w:tc>
        <w:tc>
          <w:tcPr>
            <w:tcW w:w="1766" w:type="dxa"/>
            <w:tcBorders>
              <w:top w:val="single" w:color="auto" w:sz="4" w:space="0"/>
              <w:left w:val="single" w:color="auto" w:sz="4" w:space="0"/>
              <w:bottom w:val="single" w:color="auto" w:sz="4" w:space="0"/>
              <w:right w:val="single" w:color="auto" w:sz="4" w:space="0"/>
            </w:tcBorders>
            <w:vAlign w:val="center"/>
          </w:tcPr>
          <w:p w14:paraId="02D3FF37">
            <w:pPr>
              <w:tabs>
                <w:tab w:val="left" w:pos="6870"/>
              </w:tabs>
              <w:jc w:val="center"/>
              <w:rPr>
                <w:rFonts w:ascii="仿宋" w:hAnsi="仿宋" w:eastAsia="仿宋"/>
              </w:rPr>
            </w:pPr>
            <w:r>
              <w:rPr>
                <w:rFonts w:hint="eastAsia" w:ascii="仿宋" w:hAnsi="仿宋" w:eastAsia="仿宋"/>
                <w:lang w:val="en-US" w:eastAsia="zh-CN"/>
              </w:rPr>
              <w:t>B220408</w:t>
            </w:r>
            <w:r>
              <w:rPr>
                <w:rFonts w:ascii="仿宋" w:hAnsi="仿宋" w:eastAsia="仿宋"/>
              </w:rPr>
              <w:t xml:space="preserve">  </w:t>
            </w:r>
          </w:p>
        </w:tc>
        <w:tc>
          <w:tcPr>
            <w:tcW w:w="1134" w:type="dxa"/>
            <w:tcBorders>
              <w:top w:val="single" w:color="auto" w:sz="4" w:space="0"/>
              <w:left w:val="single" w:color="auto" w:sz="4" w:space="0"/>
              <w:bottom w:val="single" w:color="auto" w:sz="4" w:space="0"/>
              <w:right w:val="single" w:color="auto" w:sz="4" w:space="0"/>
            </w:tcBorders>
            <w:vAlign w:val="center"/>
          </w:tcPr>
          <w:p w14:paraId="3CDE7246">
            <w:pPr>
              <w:tabs>
                <w:tab w:val="left" w:pos="6870"/>
              </w:tabs>
              <w:jc w:val="center"/>
              <w:rPr>
                <w:rFonts w:ascii="黑体" w:hAnsi="黑体" w:eastAsia="黑体"/>
              </w:rPr>
            </w:pPr>
            <w:r>
              <w:rPr>
                <w:rFonts w:hint="eastAsia" w:ascii="黑体" w:hAnsi="黑体" w:eastAsia="黑体" w:cs="宋体"/>
              </w:rPr>
              <w:t>专 业</w:t>
            </w:r>
          </w:p>
        </w:tc>
        <w:tc>
          <w:tcPr>
            <w:tcW w:w="2716" w:type="dxa"/>
            <w:gridSpan w:val="3"/>
            <w:tcBorders>
              <w:top w:val="single" w:color="auto" w:sz="4" w:space="0"/>
              <w:left w:val="single" w:color="auto" w:sz="4" w:space="0"/>
              <w:bottom w:val="single" w:color="auto" w:sz="4" w:space="0"/>
              <w:right w:val="single" w:color="auto" w:sz="4" w:space="0"/>
            </w:tcBorders>
            <w:vAlign w:val="center"/>
          </w:tcPr>
          <w:p w14:paraId="646533F5">
            <w:pPr>
              <w:tabs>
                <w:tab w:val="left" w:pos="6870"/>
              </w:tabs>
              <w:jc w:val="center"/>
              <w:rPr>
                <w:rFonts w:hint="default" w:ascii="仿宋" w:hAnsi="仿宋" w:eastAsia="仿宋"/>
                <w:color w:val="FF0000"/>
                <w:lang w:val="en-US" w:eastAsia="zh-CN"/>
              </w:rPr>
            </w:pPr>
            <w:r>
              <w:rPr>
                <w:rFonts w:hint="eastAsia" w:ascii="仿宋" w:hAnsi="仿宋" w:eastAsia="仿宋"/>
              </w:rPr>
              <w:t xml:space="preserve"> </w:t>
            </w:r>
            <w:r>
              <w:rPr>
                <w:rFonts w:hint="eastAsia" w:ascii="仿宋" w:hAnsi="仿宋" w:eastAsia="仿宋"/>
                <w:lang w:val="en-US" w:eastAsia="zh-CN"/>
              </w:rPr>
              <w:t>计算机科学与技术</w:t>
            </w:r>
          </w:p>
        </w:tc>
      </w:tr>
      <w:tr w14:paraId="6A947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1"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387C748E">
            <w:pPr>
              <w:tabs>
                <w:tab w:val="left" w:pos="6870"/>
              </w:tabs>
              <w:jc w:val="center"/>
              <w:rPr>
                <w:rFonts w:ascii="黑体" w:hAnsi="黑体" w:eastAsia="黑体"/>
              </w:rPr>
            </w:pPr>
            <w:r>
              <w:rPr>
                <w:rFonts w:hint="eastAsia" w:ascii="黑体" w:hAnsi="黑体" w:eastAsia="黑体"/>
              </w:rPr>
              <w:t>评分内容</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3F081B8A">
            <w:pPr>
              <w:tabs>
                <w:tab w:val="left" w:pos="6870"/>
              </w:tabs>
              <w:jc w:val="center"/>
              <w:rPr>
                <w:rFonts w:ascii="楷体" w:hAnsi="楷体" w:eastAsia="楷体"/>
                <w:color w:val="000000"/>
              </w:rPr>
            </w:pPr>
            <w:r>
              <w:rPr>
                <w:rFonts w:hint="eastAsia" w:ascii="楷体" w:hAnsi="楷体" w:eastAsia="楷体"/>
                <w:color w:val="000000"/>
              </w:rPr>
              <w:t>评分标准</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6C2CAF38">
            <w:pPr>
              <w:tabs>
                <w:tab w:val="left" w:pos="6870"/>
              </w:tabs>
              <w:jc w:val="center"/>
              <w:rPr>
                <w:rFonts w:ascii="楷体" w:hAnsi="楷体" w:eastAsia="楷体"/>
                <w:color w:val="000000"/>
              </w:rPr>
            </w:pPr>
            <w:r>
              <w:rPr>
                <w:rFonts w:hint="eastAsia" w:ascii="楷体" w:hAnsi="楷体" w:eastAsia="楷体"/>
                <w:color w:val="000000"/>
              </w:rPr>
              <w:t>总分</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2FA981F3">
            <w:pPr>
              <w:tabs>
                <w:tab w:val="left" w:pos="6870"/>
              </w:tabs>
              <w:jc w:val="center"/>
              <w:rPr>
                <w:rFonts w:ascii="楷体" w:hAnsi="楷体" w:eastAsia="楷体"/>
                <w:color w:val="000000"/>
              </w:rPr>
            </w:pPr>
            <w:r>
              <w:rPr>
                <w:rFonts w:hint="eastAsia" w:ascii="楷体" w:hAnsi="楷体" w:eastAsia="楷体"/>
                <w:color w:val="000000"/>
              </w:rPr>
              <w:t>评分</w:t>
            </w:r>
          </w:p>
        </w:tc>
      </w:tr>
      <w:tr w14:paraId="54AB3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28C1D76F">
            <w:pPr>
              <w:tabs>
                <w:tab w:val="left" w:pos="6870"/>
              </w:tabs>
              <w:jc w:val="center"/>
              <w:rPr>
                <w:rFonts w:ascii="黑体" w:hAnsi="黑体" w:eastAsia="黑体"/>
              </w:rPr>
            </w:pPr>
            <w:r>
              <w:rPr>
                <w:rFonts w:ascii="黑体" w:hAnsi="黑体" w:eastAsia="黑体"/>
              </w:rPr>
              <w:t>论文选题</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57074B97">
            <w:pPr>
              <w:tabs>
                <w:tab w:val="left" w:pos="6870"/>
              </w:tabs>
              <w:rPr>
                <w:rFonts w:ascii="仿宋" w:hAnsi="仿宋" w:eastAsia="仿宋"/>
                <w:color w:val="000000"/>
              </w:rPr>
            </w:pPr>
            <w:r>
              <w:rPr>
                <w:rFonts w:hint="eastAsia" w:ascii="仿宋" w:hAnsi="仿宋" w:eastAsia="仿宋"/>
                <w:color w:val="000000"/>
              </w:rPr>
              <w:t>结合本课程授课内容与个人兴趣自行选题，标题明确、简练，既要体现出“工程”，也要体现出“社会”</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111C9005">
            <w:pPr>
              <w:tabs>
                <w:tab w:val="left" w:pos="6870"/>
              </w:tabs>
              <w:jc w:val="center"/>
              <w:rPr>
                <w:rFonts w:ascii="仿宋" w:hAnsi="仿宋" w:eastAsia="仿宋"/>
                <w:b/>
                <w:color w:val="000000"/>
              </w:rPr>
            </w:pPr>
            <w:r>
              <w:rPr>
                <w:rFonts w:hint="eastAsia" w:ascii="仿宋" w:hAnsi="仿宋" w:eastAsia="仿宋"/>
                <w:b/>
                <w:color w:val="000000"/>
              </w:rPr>
              <w:t>10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2E65A9BF">
            <w:pPr>
              <w:tabs>
                <w:tab w:val="left" w:pos="6870"/>
              </w:tabs>
              <w:jc w:val="center"/>
              <w:rPr>
                <w:rFonts w:ascii="仿宋" w:hAnsi="仿宋" w:eastAsia="仿宋"/>
                <w:color w:val="000000"/>
              </w:rPr>
            </w:pPr>
            <w:r>
              <w:rPr>
                <w:rFonts w:ascii="仿宋" w:hAnsi="仿宋" w:eastAsia="仿宋"/>
                <w:color w:val="000000"/>
              </w:rPr>
              <w:t xml:space="preserve"> </w:t>
            </w:r>
          </w:p>
        </w:tc>
      </w:tr>
      <w:tr w14:paraId="307D6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1974583F">
            <w:pPr>
              <w:tabs>
                <w:tab w:val="left" w:pos="6870"/>
              </w:tabs>
              <w:jc w:val="center"/>
              <w:rPr>
                <w:rFonts w:ascii="黑体" w:hAnsi="黑体" w:eastAsia="黑体"/>
              </w:rPr>
            </w:pPr>
            <w:r>
              <w:rPr>
                <w:rFonts w:hint="eastAsia" w:ascii="黑体" w:hAnsi="黑体" w:eastAsia="黑体"/>
              </w:rPr>
              <w:t>摘   要</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507C9727">
            <w:pPr>
              <w:tabs>
                <w:tab w:val="left" w:pos="6870"/>
              </w:tabs>
              <w:rPr>
                <w:rFonts w:ascii="仿宋" w:hAnsi="仿宋" w:eastAsia="仿宋"/>
                <w:color w:val="000000"/>
              </w:rPr>
            </w:pPr>
            <w:r>
              <w:rPr>
                <w:rFonts w:hint="eastAsia" w:ascii="仿宋" w:hAnsi="仿宋" w:eastAsia="仿宋"/>
                <w:color w:val="000000"/>
              </w:rPr>
              <w:t>概括全文主要内容，体现核心观点</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1476EF8B">
            <w:pPr>
              <w:tabs>
                <w:tab w:val="left" w:pos="6870"/>
              </w:tabs>
              <w:jc w:val="center"/>
              <w:rPr>
                <w:rFonts w:ascii="仿宋" w:hAnsi="仿宋" w:eastAsia="仿宋"/>
                <w:b/>
                <w:color w:val="000000"/>
              </w:rPr>
            </w:pPr>
            <w:r>
              <w:rPr>
                <w:rFonts w:ascii="仿宋" w:hAnsi="仿宋" w:eastAsia="仿宋"/>
                <w:b/>
                <w:color w:val="000000"/>
              </w:rPr>
              <w:t>1</w:t>
            </w:r>
            <w:r>
              <w:rPr>
                <w:rFonts w:hint="eastAsia" w:ascii="仿宋" w:hAnsi="仿宋" w:eastAsia="仿宋"/>
                <w:b/>
                <w:color w:val="000000"/>
              </w:rPr>
              <w:t>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2431C819">
            <w:pPr>
              <w:tabs>
                <w:tab w:val="left" w:pos="6870"/>
              </w:tabs>
              <w:jc w:val="center"/>
              <w:rPr>
                <w:rFonts w:ascii="仿宋" w:hAnsi="仿宋" w:eastAsia="仿宋"/>
                <w:color w:val="000000"/>
              </w:rPr>
            </w:pPr>
            <w:r>
              <w:rPr>
                <w:rFonts w:ascii="仿宋" w:hAnsi="仿宋" w:eastAsia="仿宋"/>
                <w:color w:val="000000"/>
              </w:rPr>
              <w:t xml:space="preserve"> </w:t>
            </w:r>
          </w:p>
        </w:tc>
      </w:tr>
      <w:tr w14:paraId="0BBE3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2E88AE9B">
            <w:pPr>
              <w:tabs>
                <w:tab w:val="left" w:pos="6870"/>
              </w:tabs>
              <w:jc w:val="center"/>
              <w:rPr>
                <w:rFonts w:ascii="黑体" w:hAnsi="黑体" w:eastAsia="黑体"/>
              </w:rPr>
            </w:pPr>
            <w:r>
              <w:rPr>
                <w:rFonts w:hint="eastAsia" w:ascii="黑体" w:hAnsi="黑体" w:eastAsia="黑体"/>
              </w:rPr>
              <w:t>正文内容</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14C09B51">
            <w:pPr>
              <w:tabs>
                <w:tab w:val="left" w:pos="6870"/>
              </w:tabs>
              <w:rPr>
                <w:rFonts w:ascii="仿宋" w:hAnsi="仿宋" w:eastAsia="仿宋"/>
                <w:color w:val="000000"/>
              </w:rPr>
            </w:pPr>
            <w:r>
              <w:rPr>
                <w:rFonts w:hint="eastAsia" w:ascii="仿宋" w:hAnsi="仿宋" w:eastAsia="仿宋"/>
                <w:color w:val="000000"/>
              </w:rPr>
              <w:t>紧扣论文题目，观点鲜明，论证充分，结构合理，能综合运用所学课程知识，分析和解决实际问题。其中必须包含</w:t>
            </w:r>
            <w:r>
              <w:rPr>
                <w:rFonts w:hint="eastAsia" w:ascii="仿宋" w:hAnsi="仿宋" w:eastAsia="仿宋"/>
                <w:b/>
                <w:bCs/>
                <w:color w:val="000000"/>
              </w:rPr>
              <w:t>文献综述</w:t>
            </w:r>
            <w:r>
              <w:rPr>
                <w:rFonts w:hint="eastAsia" w:ascii="仿宋" w:hAnsi="仿宋" w:eastAsia="仿宋"/>
                <w:color w:val="000000"/>
              </w:rPr>
              <w:t>，需检索至少</w:t>
            </w:r>
            <w:r>
              <w:rPr>
                <w:rFonts w:ascii="仿宋" w:hAnsi="仿宋" w:eastAsia="仿宋"/>
                <w:color w:val="000000"/>
              </w:rPr>
              <w:t>10篇中文文献和</w:t>
            </w:r>
            <w:r>
              <w:rPr>
                <w:rFonts w:hint="eastAsia" w:ascii="仿宋" w:hAnsi="仿宋" w:eastAsia="仿宋"/>
                <w:color w:val="000000"/>
              </w:rPr>
              <w:t>1</w:t>
            </w:r>
            <w:r>
              <w:rPr>
                <w:rFonts w:ascii="仿宋" w:hAnsi="仿宋" w:eastAsia="仿宋"/>
                <w:color w:val="000000"/>
              </w:rPr>
              <w:t>篇英文文献</w:t>
            </w:r>
            <w:r>
              <w:rPr>
                <w:rFonts w:hint="eastAsia" w:ascii="仿宋" w:hAnsi="仿宋" w:eastAsia="仿宋"/>
                <w:color w:val="000000"/>
              </w:rPr>
              <w:t>，</w:t>
            </w:r>
            <w:r>
              <w:rPr>
                <w:rFonts w:ascii="仿宋" w:hAnsi="仿宋" w:eastAsia="仿宋"/>
                <w:color w:val="000000"/>
              </w:rPr>
              <w:t>通过整理和分析现有文献，展示对研究主题的熟悉程度和归纳、总结与评述能力。</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61D13F3E">
            <w:pPr>
              <w:tabs>
                <w:tab w:val="left" w:pos="6870"/>
              </w:tabs>
              <w:jc w:val="center"/>
              <w:rPr>
                <w:rFonts w:ascii="仿宋" w:hAnsi="仿宋" w:eastAsia="仿宋"/>
                <w:b/>
                <w:color w:val="000000"/>
              </w:rPr>
            </w:pPr>
            <w:r>
              <w:rPr>
                <w:rFonts w:ascii="仿宋" w:hAnsi="仿宋" w:eastAsia="仿宋"/>
                <w:b/>
                <w:color w:val="000000"/>
              </w:rPr>
              <w:t>4</w:t>
            </w:r>
            <w:r>
              <w:rPr>
                <w:rFonts w:hint="eastAsia" w:ascii="仿宋" w:hAnsi="仿宋" w:eastAsia="仿宋"/>
                <w:b/>
                <w:color w:val="000000"/>
              </w:rPr>
              <w:t>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08726E44">
            <w:pPr>
              <w:tabs>
                <w:tab w:val="left" w:pos="6870"/>
              </w:tabs>
              <w:jc w:val="center"/>
              <w:rPr>
                <w:rFonts w:ascii="仿宋" w:hAnsi="仿宋" w:eastAsia="仿宋"/>
                <w:color w:val="000000"/>
              </w:rPr>
            </w:pPr>
            <w:r>
              <w:rPr>
                <w:rFonts w:ascii="仿宋" w:hAnsi="仿宋" w:eastAsia="仿宋"/>
                <w:color w:val="000000"/>
              </w:rPr>
              <w:t xml:space="preserve"> </w:t>
            </w:r>
          </w:p>
        </w:tc>
      </w:tr>
      <w:tr w14:paraId="462FF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69927DFE">
            <w:pPr>
              <w:tabs>
                <w:tab w:val="left" w:pos="6870"/>
              </w:tabs>
              <w:jc w:val="center"/>
              <w:rPr>
                <w:rFonts w:ascii="黑体" w:hAnsi="黑体" w:eastAsia="黑体"/>
              </w:rPr>
            </w:pPr>
            <w:r>
              <w:rPr>
                <w:rFonts w:hint="eastAsia" w:ascii="黑体" w:hAnsi="黑体" w:eastAsia="黑体"/>
              </w:rPr>
              <w:t>撰写质量</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34435584">
            <w:pPr>
              <w:tabs>
                <w:tab w:val="left" w:pos="6870"/>
              </w:tabs>
              <w:rPr>
                <w:rFonts w:ascii="仿宋" w:hAnsi="仿宋" w:eastAsia="仿宋"/>
                <w:color w:val="000000"/>
              </w:rPr>
            </w:pPr>
            <w:r>
              <w:rPr>
                <w:rFonts w:hint="eastAsia" w:ascii="仿宋" w:hAnsi="仿宋" w:eastAsia="仿宋"/>
                <w:color w:val="000000"/>
              </w:rPr>
              <w:t>文字通顺，结构完整，字数不少于4</w:t>
            </w:r>
            <w:r>
              <w:rPr>
                <w:rFonts w:ascii="仿宋" w:hAnsi="仿宋" w:eastAsia="仿宋"/>
                <w:color w:val="000000"/>
              </w:rPr>
              <w:t>000</w:t>
            </w:r>
            <w:r>
              <w:rPr>
                <w:rFonts w:hint="eastAsia" w:ascii="仿宋" w:hAnsi="仿宋" w:eastAsia="仿宋"/>
                <w:color w:val="000000"/>
              </w:rPr>
              <w:t>字。参考文献采用</w:t>
            </w:r>
            <w:r>
              <w:rPr>
                <w:rFonts w:ascii="仿宋" w:hAnsi="仿宋" w:eastAsia="仿宋"/>
                <w:color w:val="000000"/>
              </w:rPr>
              <w:t>《南京邮电大学本科毕业论文工作规定》规定的引文格式</w:t>
            </w:r>
            <w:r>
              <w:rPr>
                <w:rFonts w:hint="eastAsia" w:ascii="仿宋" w:hAnsi="仿宋" w:eastAsia="仿宋"/>
                <w:color w:val="000000"/>
              </w:rPr>
              <w:t>。</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0A33214A">
            <w:pPr>
              <w:tabs>
                <w:tab w:val="left" w:pos="6870"/>
              </w:tabs>
              <w:jc w:val="center"/>
              <w:rPr>
                <w:rFonts w:ascii="仿宋" w:hAnsi="仿宋" w:eastAsia="仿宋"/>
                <w:b/>
                <w:color w:val="000000"/>
              </w:rPr>
            </w:pPr>
            <w:r>
              <w:rPr>
                <w:rFonts w:hint="eastAsia" w:ascii="仿宋" w:hAnsi="仿宋" w:eastAsia="仿宋"/>
                <w:b/>
                <w:color w:val="000000"/>
              </w:rPr>
              <w:t>20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1E8BA51D">
            <w:pPr>
              <w:tabs>
                <w:tab w:val="left" w:pos="6870"/>
              </w:tabs>
              <w:jc w:val="center"/>
              <w:rPr>
                <w:rFonts w:ascii="仿宋" w:hAnsi="仿宋" w:eastAsia="仿宋"/>
                <w:color w:val="000000"/>
              </w:rPr>
            </w:pPr>
            <w:r>
              <w:rPr>
                <w:rFonts w:ascii="仿宋" w:hAnsi="仿宋" w:eastAsia="仿宋"/>
                <w:color w:val="000000"/>
              </w:rPr>
              <w:t xml:space="preserve"> </w:t>
            </w:r>
          </w:p>
        </w:tc>
      </w:tr>
      <w:tr w14:paraId="022CE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34F180BF">
            <w:pPr>
              <w:tabs>
                <w:tab w:val="left" w:pos="6870"/>
              </w:tabs>
              <w:jc w:val="center"/>
              <w:rPr>
                <w:rFonts w:ascii="黑体" w:hAnsi="黑体" w:eastAsia="黑体"/>
              </w:rPr>
            </w:pPr>
            <w:r>
              <w:rPr>
                <w:rFonts w:hint="eastAsia" w:ascii="黑体" w:hAnsi="黑体" w:eastAsia="黑体"/>
              </w:rPr>
              <w:t>排版打印</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29490F3B">
            <w:pPr>
              <w:tabs>
                <w:tab w:val="left" w:pos="6870"/>
              </w:tabs>
              <w:rPr>
                <w:rFonts w:ascii="仿宋" w:hAnsi="仿宋" w:eastAsia="仿宋"/>
                <w:color w:val="000000"/>
              </w:rPr>
            </w:pPr>
            <w:r>
              <w:rPr>
                <w:rFonts w:ascii="仿宋" w:hAnsi="仿宋" w:eastAsia="仿宋"/>
                <w:color w:val="000000"/>
              </w:rPr>
              <w:t>排版规范美观</w:t>
            </w:r>
            <w:r>
              <w:rPr>
                <w:rFonts w:hint="eastAsia" w:ascii="仿宋" w:hAnsi="仿宋" w:eastAsia="仿宋"/>
                <w:color w:val="000000"/>
              </w:rPr>
              <w:t>：</w:t>
            </w:r>
            <w:r>
              <w:rPr>
                <w:rFonts w:ascii="仿宋" w:hAnsi="仿宋" w:eastAsia="仿宋"/>
                <w:color w:val="000000"/>
              </w:rPr>
              <w:t>1.25</w:t>
            </w:r>
            <w:r>
              <w:rPr>
                <w:rFonts w:hint="eastAsia" w:ascii="仿宋" w:hAnsi="仿宋" w:eastAsia="仿宋"/>
                <w:color w:val="000000"/>
              </w:rPr>
              <w:t>倍</w:t>
            </w:r>
            <w:r>
              <w:rPr>
                <w:rFonts w:ascii="仿宋" w:hAnsi="仿宋" w:eastAsia="仿宋"/>
                <w:color w:val="000000"/>
              </w:rPr>
              <w:t>行距，段前段后0行；一级标题选用“</w:t>
            </w:r>
            <w:r>
              <w:rPr>
                <w:rFonts w:hint="eastAsia" w:ascii="仿宋" w:hAnsi="仿宋" w:eastAsia="仿宋"/>
                <w:color w:val="000000"/>
              </w:rPr>
              <w:t>四</w:t>
            </w:r>
            <w:r>
              <w:rPr>
                <w:rFonts w:ascii="仿宋" w:hAnsi="仿宋" w:eastAsia="仿宋"/>
                <w:color w:val="000000"/>
              </w:rPr>
              <w:t>号黑体”，二级标题选用“</w:t>
            </w:r>
            <w:r>
              <w:rPr>
                <w:rFonts w:hint="eastAsia" w:ascii="仿宋" w:hAnsi="仿宋" w:eastAsia="仿宋"/>
                <w:color w:val="000000"/>
              </w:rPr>
              <w:t>小</w:t>
            </w:r>
            <w:r>
              <w:rPr>
                <w:rFonts w:ascii="仿宋" w:hAnsi="仿宋" w:eastAsia="仿宋"/>
                <w:color w:val="000000"/>
              </w:rPr>
              <w:t>四号</w:t>
            </w:r>
            <w:r>
              <w:rPr>
                <w:rFonts w:hint="eastAsia" w:ascii="仿宋" w:hAnsi="仿宋" w:eastAsia="仿宋"/>
                <w:color w:val="000000"/>
              </w:rPr>
              <w:t>宋体</w:t>
            </w:r>
            <w:r>
              <w:rPr>
                <w:rFonts w:ascii="仿宋" w:hAnsi="仿宋" w:eastAsia="仿宋"/>
                <w:color w:val="000000"/>
              </w:rPr>
              <w:t>”</w:t>
            </w:r>
            <w:r>
              <w:rPr>
                <w:rFonts w:hint="eastAsia" w:ascii="仿宋" w:hAnsi="仿宋" w:eastAsia="仿宋"/>
                <w:color w:val="000000"/>
              </w:rPr>
              <w:t>加黑</w:t>
            </w:r>
            <w:r>
              <w:rPr>
                <w:rFonts w:ascii="仿宋" w:hAnsi="仿宋" w:eastAsia="仿宋"/>
                <w:color w:val="000000"/>
              </w:rPr>
              <w:t>；正文内容选用“小四号宋体”；英文字体为“Times New Roman”。报告A4纸</w:t>
            </w:r>
            <w:r>
              <w:rPr>
                <w:rFonts w:hint="eastAsia" w:ascii="仿宋" w:hAnsi="仿宋" w:eastAsia="仿宋"/>
                <w:color w:val="000000"/>
              </w:rPr>
              <w:t>双</w:t>
            </w:r>
            <w:r>
              <w:rPr>
                <w:rFonts w:ascii="仿宋" w:hAnsi="仿宋" w:eastAsia="仿宋"/>
                <w:color w:val="000000"/>
              </w:rPr>
              <w:t>面打印，左侧装订</w:t>
            </w:r>
            <w:r>
              <w:rPr>
                <w:rFonts w:hint="eastAsia" w:ascii="仿宋" w:hAnsi="仿宋" w:eastAsia="仿宋"/>
                <w:color w:val="000000"/>
              </w:rPr>
              <w:t>。</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18AD98ED">
            <w:pPr>
              <w:tabs>
                <w:tab w:val="left" w:pos="6870"/>
              </w:tabs>
              <w:jc w:val="center"/>
              <w:rPr>
                <w:rFonts w:ascii="仿宋" w:hAnsi="仿宋" w:eastAsia="仿宋"/>
                <w:b/>
                <w:color w:val="000000"/>
              </w:rPr>
            </w:pPr>
            <w:r>
              <w:rPr>
                <w:rFonts w:hint="eastAsia" w:ascii="仿宋" w:hAnsi="仿宋" w:eastAsia="仿宋"/>
                <w:b/>
                <w:color w:val="000000"/>
              </w:rPr>
              <w:t>20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3076439B">
            <w:pPr>
              <w:tabs>
                <w:tab w:val="left" w:pos="6870"/>
              </w:tabs>
              <w:jc w:val="center"/>
              <w:rPr>
                <w:rFonts w:ascii="仿宋" w:hAnsi="仿宋" w:eastAsia="仿宋"/>
                <w:color w:val="000000"/>
              </w:rPr>
            </w:pPr>
            <w:r>
              <w:rPr>
                <w:rFonts w:ascii="仿宋" w:hAnsi="仿宋" w:eastAsia="仿宋"/>
                <w:color w:val="000000"/>
              </w:rPr>
              <w:t xml:space="preserve"> </w:t>
            </w:r>
          </w:p>
        </w:tc>
      </w:tr>
      <w:tr w14:paraId="224A1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067E433C">
            <w:pPr>
              <w:tabs>
                <w:tab w:val="left" w:pos="6870"/>
              </w:tabs>
              <w:jc w:val="center"/>
              <w:rPr>
                <w:rFonts w:ascii="黑体" w:hAnsi="黑体" w:eastAsia="黑体"/>
              </w:rPr>
            </w:pPr>
            <w:r>
              <w:rPr>
                <w:rFonts w:hint="eastAsia" w:ascii="黑体" w:hAnsi="黑体" w:eastAsia="黑体"/>
              </w:rPr>
              <w:t>总评分</w:t>
            </w:r>
          </w:p>
        </w:tc>
        <w:tc>
          <w:tcPr>
            <w:tcW w:w="8192" w:type="dxa"/>
            <w:gridSpan w:val="7"/>
            <w:tcBorders>
              <w:top w:val="single" w:color="auto" w:sz="4" w:space="0"/>
              <w:left w:val="single" w:color="auto" w:sz="4" w:space="0"/>
              <w:bottom w:val="single" w:color="auto" w:sz="4" w:space="0"/>
              <w:right w:val="single" w:color="auto" w:sz="4" w:space="0"/>
            </w:tcBorders>
            <w:shd w:val="clear" w:color="auto" w:fill="auto"/>
            <w:vAlign w:val="center"/>
          </w:tcPr>
          <w:p w14:paraId="4DC4237C">
            <w:pPr>
              <w:tabs>
                <w:tab w:val="left" w:pos="6870"/>
              </w:tabs>
              <w:rPr>
                <w:rFonts w:ascii="仿宋" w:hAnsi="仿宋" w:eastAsia="仿宋"/>
                <w:color w:val="000000"/>
              </w:rPr>
            </w:pPr>
          </w:p>
        </w:tc>
      </w:tr>
      <w:tr w14:paraId="1AA9C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2FE3C5B2">
            <w:pPr>
              <w:tabs>
                <w:tab w:val="left" w:pos="6870"/>
              </w:tabs>
              <w:jc w:val="center"/>
              <w:rPr>
                <w:rFonts w:ascii="黑体" w:hAnsi="黑体" w:eastAsia="黑体"/>
              </w:rPr>
            </w:pPr>
          </w:p>
          <w:p w14:paraId="24125DD2">
            <w:pPr>
              <w:tabs>
                <w:tab w:val="left" w:pos="6870"/>
              </w:tabs>
              <w:jc w:val="center"/>
              <w:rPr>
                <w:rFonts w:ascii="黑体" w:hAnsi="黑体" w:eastAsia="黑体"/>
              </w:rPr>
            </w:pPr>
          </w:p>
          <w:p w14:paraId="269702DB">
            <w:pPr>
              <w:tabs>
                <w:tab w:val="left" w:pos="6870"/>
              </w:tabs>
              <w:jc w:val="center"/>
              <w:rPr>
                <w:rFonts w:ascii="黑体" w:hAnsi="黑体" w:eastAsia="黑体"/>
              </w:rPr>
            </w:pPr>
          </w:p>
          <w:p w14:paraId="6967D91A">
            <w:pPr>
              <w:tabs>
                <w:tab w:val="left" w:pos="6870"/>
              </w:tabs>
              <w:jc w:val="center"/>
              <w:rPr>
                <w:rFonts w:ascii="黑体" w:hAnsi="黑体" w:eastAsia="黑体"/>
              </w:rPr>
            </w:pPr>
          </w:p>
          <w:p w14:paraId="1930B1E7">
            <w:pPr>
              <w:tabs>
                <w:tab w:val="left" w:pos="6870"/>
              </w:tabs>
              <w:jc w:val="center"/>
              <w:rPr>
                <w:rFonts w:ascii="黑体" w:hAnsi="黑体" w:eastAsia="黑体"/>
              </w:rPr>
            </w:pPr>
          </w:p>
          <w:p w14:paraId="6D86AD59">
            <w:pPr>
              <w:tabs>
                <w:tab w:val="left" w:pos="6870"/>
              </w:tabs>
              <w:jc w:val="center"/>
              <w:rPr>
                <w:rFonts w:ascii="黑体" w:hAnsi="黑体" w:eastAsia="黑体"/>
              </w:rPr>
            </w:pPr>
          </w:p>
          <w:p w14:paraId="60633EEE">
            <w:pPr>
              <w:tabs>
                <w:tab w:val="left" w:pos="6870"/>
              </w:tabs>
              <w:jc w:val="center"/>
              <w:rPr>
                <w:rFonts w:ascii="黑体" w:hAnsi="黑体" w:eastAsia="黑体"/>
              </w:rPr>
            </w:pPr>
            <w:r>
              <w:rPr>
                <w:rFonts w:hint="eastAsia" w:ascii="黑体" w:hAnsi="黑体" w:eastAsia="黑体"/>
              </w:rPr>
              <w:t>任课教师</w:t>
            </w:r>
          </w:p>
          <w:p w14:paraId="5471FD00">
            <w:pPr>
              <w:tabs>
                <w:tab w:val="left" w:pos="6870"/>
              </w:tabs>
              <w:jc w:val="center"/>
              <w:rPr>
                <w:rFonts w:ascii="黑体" w:hAnsi="黑体" w:eastAsia="黑体"/>
              </w:rPr>
            </w:pPr>
            <w:r>
              <w:rPr>
                <w:rFonts w:hint="eastAsia" w:ascii="黑体" w:hAnsi="黑体" w:eastAsia="黑体"/>
              </w:rPr>
              <w:t>评阅意见</w:t>
            </w:r>
          </w:p>
          <w:p w14:paraId="3EF037D7">
            <w:pPr>
              <w:rPr>
                <w:rFonts w:ascii="黑体" w:hAnsi="黑体" w:eastAsia="黑体"/>
              </w:rPr>
            </w:pPr>
          </w:p>
          <w:p w14:paraId="74834825">
            <w:pPr>
              <w:rPr>
                <w:rFonts w:ascii="黑体" w:hAnsi="黑体" w:eastAsia="黑体"/>
              </w:rPr>
            </w:pPr>
          </w:p>
          <w:p w14:paraId="2068432A">
            <w:pPr>
              <w:rPr>
                <w:rFonts w:ascii="黑体" w:hAnsi="黑体" w:eastAsia="黑体"/>
              </w:rPr>
            </w:pPr>
          </w:p>
          <w:p w14:paraId="4767CEEF">
            <w:pPr>
              <w:rPr>
                <w:rFonts w:ascii="黑体" w:hAnsi="黑体" w:eastAsia="黑体"/>
              </w:rPr>
            </w:pPr>
          </w:p>
          <w:p w14:paraId="55E0BABB">
            <w:pPr>
              <w:rPr>
                <w:rFonts w:ascii="黑体" w:hAnsi="黑体" w:eastAsia="黑体"/>
              </w:rPr>
            </w:pPr>
          </w:p>
          <w:p w14:paraId="730B4EF8">
            <w:pPr>
              <w:rPr>
                <w:rFonts w:ascii="黑体" w:hAnsi="黑体" w:eastAsia="黑体"/>
              </w:rPr>
            </w:pPr>
          </w:p>
          <w:p w14:paraId="53402F47">
            <w:pPr>
              <w:rPr>
                <w:rFonts w:ascii="黑体" w:hAnsi="黑体" w:eastAsia="黑体"/>
              </w:rPr>
            </w:pPr>
          </w:p>
          <w:p w14:paraId="472F18C2">
            <w:pPr>
              <w:rPr>
                <w:rFonts w:ascii="黑体" w:hAnsi="黑体" w:eastAsia="黑体"/>
              </w:rPr>
            </w:pPr>
          </w:p>
        </w:tc>
        <w:tc>
          <w:tcPr>
            <w:tcW w:w="8192" w:type="dxa"/>
            <w:gridSpan w:val="7"/>
            <w:tcBorders>
              <w:top w:val="single" w:color="auto" w:sz="4" w:space="0"/>
              <w:left w:val="single" w:color="auto" w:sz="4" w:space="0"/>
              <w:bottom w:val="single" w:color="auto" w:sz="4" w:space="0"/>
              <w:right w:val="single" w:color="auto" w:sz="4" w:space="0"/>
            </w:tcBorders>
            <w:shd w:val="clear" w:color="auto" w:fill="auto"/>
            <w:vAlign w:val="center"/>
          </w:tcPr>
          <w:p w14:paraId="63002632">
            <w:pPr>
              <w:tabs>
                <w:tab w:val="left" w:pos="6870"/>
              </w:tabs>
              <w:jc w:val="center"/>
              <w:rPr>
                <w:rFonts w:ascii="仿宋" w:hAnsi="仿宋" w:eastAsia="仿宋"/>
                <w:color w:val="000000"/>
              </w:rPr>
            </w:pPr>
          </w:p>
          <w:p w14:paraId="1A9BF21E">
            <w:pPr>
              <w:tabs>
                <w:tab w:val="left" w:pos="6870"/>
              </w:tabs>
              <w:jc w:val="center"/>
              <w:rPr>
                <w:rFonts w:ascii="仿宋" w:hAnsi="仿宋" w:eastAsia="仿宋"/>
                <w:color w:val="000000"/>
              </w:rPr>
            </w:pPr>
          </w:p>
          <w:p w14:paraId="7038E026">
            <w:pPr>
              <w:tabs>
                <w:tab w:val="left" w:pos="6870"/>
              </w:tabs>
              <w:jc w:val="center"/>
              <w:rPr>
                <w:rFonts w:ascii="仿宋" w:hAnsi="仿宋" w:eastAsia="仿宋"/>
                <w:color w:val="000000"/>
              </w:rPr>
            </w:pPr>
          </w:p>
          <w:p w14:paraId="766BD805">
            <w:pPr>
              <w:tabs>
                <w:tab w:val="left" w:pos="6870"/>
              </w:tabs>
              <w:jc w:val="center"/>
              <w:rPr>
                <w:rFonts w:ascii="仿宋" w:hAnsi="仿宋" w:eastAsia="仿宋"/>
                <w:color w:val="000000"/>
              </w:rPr>
            </w:pPr>
          </w:p>
          <w:p w14:paraId="110BA421">
            <w:pPr>
              <w:tabs>
                <w:tab w:val="left" w:pos="6870"/>
              </w:tabs>
              <w:jc w:val="center"/>
              <w:rPr>
                <w:rFonts w:ascii="仿宋" w:hAnsi="仿宋" w:eastAsia="仿宋"/>
                <w:color w:val="000000"/>
              </w:rPr>
            </w:pPr>
          </w:p>
          <w:p w14:paraId="541451D1">
            <w:pPr>
              <w:tabs>
                <w:tab w:val="left" w:pos="6870"/>
              </w:tabs>
              <w:jc w:val="center"/>
              <w:rPr>
                <w:rFonts w:ascii="仿宋" w:hAnsi="仿宋" w:eastAsia="仿宋"/>
                <w:color w:val="000000"/>
              </w:rPr>
            </w:pPr>
          </w:p>
          <w:p w14:paraId="19D63EC8">
            <w:pPr>
              <w:tabs>
                <w:tab w:val="left" w:pos="6870"/>
              </w:tabs>
              <w:jc w:val="center"/>
              <w:rPr>
                <w:rFonts w:ascii="仿宋" w:hAnsi="仿宋" w:eastAsia="仿宋"/>
                <w:color w:val="000000"/>
              </w:rPr>
            </w:pPr>
          </w:p>
          <w:p w14:paraId="4E855A71">
            <w:pPr>
              <w:tabs>
                <w:tab w:val="left" w:pos="6870"/>
              </w:tabs>
              <w:jc w:val="center"/>
              <w:rPr>
                <w:rFonts w:ascii="仿宋" w:hAnsi="仿宋" w:eastAsia="仿宋"/>
                <w:color w:val="000000"/>
              </w:rPr>
            </w:pPr>
          </w:p>
          <w:p w14:paraId="1D3AF226">
            <w:pPr>
              <w:tabs>
                <w:tab w:val="left" w:pos="6870"/>
              </w:tabs>
              <w:jc w:val="center"/>
              <w:rPr>
                <w:rFonts w:ascii="仿宋" w:hAnsi="仿宋" w:eastAsia="仿宋"/>
                <w:color w:val="000000"/>
              </w:rPr>
            </w:pPr>
          </w:p>
          <w:p w14:paraId="77362390">
            <w:pPr>
              <w:tabs>
                <w:tab w:val="left" w:pos="6870"/>
              </w:tabs>
              <w:rPr>
                <w:rFonts w:ascii="仿宋" w:hAnsi="仿宋" w:eastAsia="仿宋"/>
                <w:color w:val="000000"/>
              </w:rPr>
            </w:pPr>
          </w:p>
          <w:p w14:paraId="61AC32FA">
            <w:pPr>
              <w:tabs>
                <w:tab w:val="left" w:pos="6870"/>
              </w:tabs>
              <w:rPr>
                <w:rFonts w:ascii="仿宋" w:hAnsi="仿宋" w:eastAsia="仿宋"/>
                <w:color w:val="000000"/>
              </w:rPr>
            </w:pPr>
          </w:p>
        </w:tc>
      </w:tr>
    </w:tbl>
    <w:p w14:paraId="7EA8091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5B35F4"/>
    <w:rsid w:val="0077161D"/>
    <w:rsid w:val="00D40759"/>
    <w:rsid w:val="00F408C0"/>
    <w:rsid w:val="017A5ECC"/>
    <w:rsid w:val="01B83215"/>
    <w:rsid w:val="01E83313"/>
    <w:rsid w:val="02701944"/>
    <w:rsid w:val="027240EE"/>
    <w:rsid w:val="02B04F1E"/>
    <w:rsid w:val="02B54273"/>
    <w:rsid w:val="02DA3B3D"/>
    <w:rsid w:val="02DB6F3A"/>
    <w:rsid w:val="02FD399F"/>
    <w:rsid w:val="03097BFB"/>
    <w:rsid w:val="03151F53"/>
    <w:rsid w:val="03211ABE"/>
    <w:rsid w:val="03240964"/>
    <w:rsid w:val="03300374"/>
    <w:rsid w:val="03927459"/>
    <w:rsid w:val="03BA43F5"/>
    <w:rsid w:val="03D975FF"/>
    <w:rsid w:val="03DC49C7"/>
    <w:rsid w:val="03E77ED4"/>
    <w:rsid w:val="03F06ACD"/>
    <w:rsid w:val="04183646"/>
    <w:rsid w:val="0461563E"/>
    <w:rsid w:val="04781F1F"/>
    <w:rsid w:val="04AC6D8E"/>
    <w:rsid w:val="04B22BCB"/>
    <w:rsid w:val="04D1642F"/>
    <w:rsid w:val="050804C7"/>
    <w:rsid w:val="0547625A"/>
    <w:rsid w:val="05550810"/>
    <w:rsid w:val="055610C6"/>
    <w:rsid w:val="05690A3A"/>
    <w:rsid w:val="057243AD"/>
    <w:rsid w:val="057926B9"/>
    <w:rsid w:val="057C277C"/>
    <w:rsid w:val="05864E35"/>
    <w:rsid w:val="05B2526C"/>
    <w:rsid w:val="060679BB"/>
    <w:rsid w:val="061417B5"/>
    <w:rsid w:val="061B4E3F"/>
    <w:rsid w:val="063D384F"/>
    <w:rsid w:val="065169B7"/>
    <w:rsid w:val="06641DD8"/>
    <w:rsid w:val="0666631D"/>
    <w:rsid w:val="06A83A48"/>
    <w:rsid w:val="06CE280C"/>
    <w:rsid w:val="06F22789"/>
    <w:rsid w:val="0714791D"/>
    <w:rsid w:val="07491F26"/>
    <w:rsid w:val="078A6F15"/>
    <w:rsid w:val="07B20BCF"/>
    <w:rsid w:val="07C61395"/>
    <w:rsid w:val="07EA668E"/>
    <w:rsid w:val="08514D08"/>
    <w:rsid w:val="08945EA8"/>
    <w:rsid w:val="08CB74B3"/>
    <w:rsid w:val="08E96661"/>
    <w:rsid w:val="091A5787"/>
    <w:rsid w:val="091E36F2"/>
    <w:rsid w:val="093748A2"/>
    <w:rsid w:val="093925F0"/>
    <w:rsid w:val="09593528"/>
    <w:rsid w:val="09AC1BBF"/>
    <w:rsid w:val="09C76DDC"/>
    <w:rsid w:val="0A0139B7"/>
    <w:rsid w:val="0A0B5495"/>
    <w:rsid w:val="0A2A0C43"/>
    <w:rsid w:val="0A3979DC"/>
    <w:rsid w:val="0A4A07E8"/>
    <w:rsid w:val="0A4B4413"/>
    <w:rsid w:val="0A4C6688"/>
    <w:rsid w:val="0A8E6341"/>
    <w:rsid w:val="0ABB140F"/>
    <w:rsid w:val="0ADE7C28"/>
    <w:rsid w:val="0AE10C0C"/>
    <w:rsid w:val="0B220872"/>
    <w:rsid w:val="0B3A4113"/>
    <w:rsid w:val="0B800E71"/>
    <w:rsid w:val="0BC05F5A"/>
    <w:rsid w:val="0BFC3FC0"/>
    <w:rsid w:val="0C0943EC"/>
    <w:rsid w:val="0C0C6824"/>
    <w:rsid w:val="0C0D4D38"/>
    <w:rsid w:val="0C401548"/>
    <w:rsid w:val="0C721ED2"/>
    <w:rsid w:val="0C84346A"/>
    <w:rsid w:val="0C847128"/>
    <w:rsid w:val="0CA53B23"/>
    <w:rsid w:val="0CFC6200"/>
    <w:rsid w:val="0D01622C"/>
    <w:rsid w:val="0D0308C9"/>
    <w:rsid w:val="0D2008A3"/>
    <w:rsid w:val="0D2168A0"/>
    <w:rsid w:val="0D5D119E"/>
    <w:rsid w:val="0DE00713"/>
    <w:rsid w:val="0DFA22FC"/>
    <w:rsid w:val="0E370A67"/>
    <w:rsid w:val="0E7A58B3"/>
    <w:rsid w:val="0E8F5F33"/>
    <w:rsid w:val="0ED14B0D"/>
    <w:rsid w:val="0F164D4D"/>
    <w:rsid w:val="0F1E568F"/>
    <w:rsid w:val="0F333F45"/>
    <w:rsid w:val="0F513255"/>
    <w:rsid w:val="0F6D57FE"/>
    <w:rsid w:val="0F871FC4"/>
    <w:rsid w:val="109D15EE"/>
    <w:rsid w:val="10FA7AD2"/>
    <w:rsid w:val="111C69A6"/>
    <w:rsid w:val="11287492"/>
    <w:rsid w:val="112C7B48"/>
    <w:rsid w:val="112D3895"/>
    <w:rsid w:val="113A27C8"/>
    <w:rsid w:val="115B4307"/>
    <w:rsid w:val="116C6A81"/>
    <w:rsid w:val="116F688C"/>
    <w:rsid w:val="11EB3526"/>
    <w:rsid w:val="11F62404"/>
    <w:rsid w:val="12076EBB"/>
    <w:rsid w:val="123541B0"/>
    <w:rsid w:val="12532728"/>
    <w:rsid w:val="128864C7"/>
    <w:rsid w:val="131B1D77"/>
    <w:rsid w:val="13423962"/>
    <w:rsid w:val="134D34F6"/>
    <w:rsid w:val="138D3109"/>
    <w:rsid w:val="13A83070"/>
    <w:rsid w:val="13E14EE2"/>
    <w:rsid w:val="13EF1B36"/>
    <w:rsid w:val="14191BBD"/>
    <w:rsid w:val="142A5B3C"/>
    <w:rsid w:val="143B3A23"/>
    <w:rsid w:val="14914572"/>
    <w:rsid w:val="14B55280"/>
    <w:rsid w:val="14CF018E"/>
    <w:rsid w:val="14DD4547"/>
    <w:rsid w:val="1532617D"/>
    <w:rsid w:val="158A49FD"/>
    <w:rsid w:val="15945506"/>
    <w:rsid w:val="15B32D29"/>
    <w:rsid w:val="15B9496D"/>
    <w:rsid w:val="15CB4BBA"/>
    <w:rsid w:val="15CD0AAF"/>
    <w:rsid w:val="15D8501F"/>
    <w:rsid w:val="162806D2"/>
    <w:rsid w:val="162B6264"/>
    <w:rsid w:val="1630615A"/>
    <w:rsid w:val="163A6FC8"/>
    <w:rsid w:val="165D4F05"/>
    <w:rsid w:val="16805C05"/>
    <w:rsid w:val="1694758E"/>
    <w:rsid w:val="16CF2D0D"/>
    <w:rsid w:val="17054158"/>
    <w:rsid w:val="17181193"/>
    <w:rsid w:val="176434B4"/>
    <w:rsid w:val="17954DB7"/>
    <w:rsid w:val="179A6A8D"/>
    <w:rsid w:val="17A513C8"/>
    <w:rsid w:val="17AF6121"/>
    <w:rsid w:val="17F24927"/>
    <w:rsid w:val="180E309F"/>
    <w:rsid w:val="182669AB"/>
    <w:rsid w:val="182F2D0D"/>
    <w:rsid w:val="184436D5"/>
    <w:rsid w:val="18D71CD4"/>
    <w:rsid w:val="18D975ED"/>
    <w:rsid w:val="190E50FC"/>
    <w:rsid w:val="195B7EED"/>
    <w:rsid w:val="19D7625D"/>
    <w:rsid w:val="19F331DE"/>
    <w:rsid w:val="1A0D79D4"/>
    <w:rsid w:val="1A2469CC"/>
    <w:rsid w:val="1A625A57"/>
    <w:rsid w:val="1A987D53"/>
    <w:rsid w:val="1AB91166"/>
    <w:rsid w:val="1ADB67F0"/>
    <w:rsid w:val="1B023ADC"/>
    <w:rsid w:val="1B093B0B"/>
    <w:rsid w:val="1B500FE4"/>
    <w:rsid w:val="1B5701DD"/>
    <w:rsid w:val="1B6C2FAD"/>
    <w:rsid w:val="1B7D7F5A"/>
    <w:rsid w:val="1BD1089D"/>
    <w:rsid w:val="1CBF6038"/>
    <w:rsid w:val="1CCB1655"/>
    <w:rsid w:val="1CE858AE"/>
    <w:rsid w:val="1CEF0C77"/>
    <w:rsid w:val="1D06642B"/>
    <w:rsid w:val="1D3C24C9"/>
    <w:rsid w:val="1D5466DD"/>
    <w:rsid w:val="1D697CCE"/>
    <w:rsid w:val="1DA67607"/>
    <w:rsid w:val="1E8D6EF1"/>
    <w:rsid w:val="1EBA6298"/>
    <w:rsid w:val="1ED51311"/>
    <w:rsid w:val="1FD44515"/>
    <w:rsid w:val="1FDE5D8C"/>
    <w:rsid w:val="1FF51683"/>
    <w:rsid w:val="200D4322"/>
    <w:rsid w:val="203F0C71"/>
    <w:rsid w:val="206F02F2"/>
    <w:rsid w:val="207416B7"/>
    <w:rsid w:val="20A22DE7"/>
    <w:rsid w:val="20A63756"/>
    <w:rsid w:val="20B57008"/>
    <w:rsid w:val="212C4A99"/>
    <w:rsid w:val="215659C1"/>
    <w:rsid w:val="21773CA0"/>
    <w:rsid w:val="21CC6397"/>
    <w:rsid w:val="21E6456F"/>
    <w:rsid w:val="21E973CB"/>
    <w:rsid w:val="220E3319"/>
    <w:rsid w:val="2222568B"/>
    <w:rsid w:val="222C242F"/>
    <w:rsid w:val="226141BE"/>
    <w:rsid w:val="22774617"/>
    <w:rsid w:val="228C09C5"/>
    <w:rsid w:val="228E073A"/>
    <w:rsid w:val="22A1261F"/>
    <w:rsid w:val="22B67187"/>
    <w:rsid w:val="22BE12B1"/>
    <w:rsid w:val="22C80B30"/>
    <w:rsid w:val="22DC62EA"/>
    <w:rsid w:val="22E2579A"/>
    <w:rsid w:val="22F55F13"/>
    <w:rsid w:val="22F56A08"/>
    <w:rsid w:val="23204F68"/>
    <w:rsid w:val="236D0ED0"/>
    <w:rsid w:val="23AE16E4"/>
    <w:rsid w:val="23C61DD8"/>
    <w:rsid w:val="23E3416F"/>
    <w:rsid w:val="24227FE7"/>
    <w:rsid w:val="24B643B3"/>
    <w:rsid w:val="24CC4037"/>
    <w:rsid w:val="24D21A4C"/>
    <w:rsid w:val="24E3147D"/>
    <w:rsid w:val="24F52D3B"/>
    <w:rsid w:val="25526C16"/>
    <w:rsid w:val="257658FD"/>
    <w:rsid w:val="2579257F"/>
    <w:rsid w:val="25954EAF"/>
    <w:rsid w:val="259567A6"/>
    <w:rsid w:val="25A51106"/>
    <w:rsid w:val="25A6423B"/>
    <w:rsid w:val="25C35973"/>
    <w:rsid w:val="25FE54B8"/>
    <w:rsid w:val="262324CD"/>
    <w:rsid w:val="26237CB0"/>
    <w:rsid w:val="266E3C91"/>
    <w:rsid w:val="26900CFB"/>
    <w:rsid w:val="271A6C3A"/>
    <w:rsid w:val="278A72B2"/>
    <w:rsid w:val="284176A5"/>
    <w:rsid w:val="286214EE"/>
    <w:rsid w:val="28C17575"/>
    <w:rsid w:val="28CA7864"/>
    <w:rsid w:val="28CF2049"/>
    <w:rsid w:val="28D44AE5"/>
    <w:rsid w:val="2944569D"/>
    <w:rsid w:val="29855A94"/>
    <w:rsid w:val="2A413BE1"/>
    <w:rsid w:val="2A4C7DB2"/>
    <w:rsid w:val="2A594C37"/>
    <w:rsid w:val="2A8F1D55"/>
    <w:rsid w:val="2A9B4C23"/>
    <w:rsid w:val="2A9D3B12"/>
    <w:rsid w:val="2B10580C"/>
    <w:rsid w:val="2BB457EC"/>
    <w:rsid w:val="2C012A40"/>
    <w:rsid w:val="2C041129"/>
    <w:rsid w:val="2C1964F2"/>
    <w:rsid w:val="2C37521C"/>
    <w:rsid w:val="2C9E580F"/>
    <w:rsid w:val="2CB5171C"/>
    <w:rsid w:val="2D0F6B31"/>
    <w:rsid w:val="2D1129C4"/>
    <w:rsid w:val="2D6A53CA"/>
    <w:rsid w:val="2DC81162"/>
    <w:rsid w:val="2DCA75BF"/>
    <w:rsid w:val="2DD61758"/>
    <w:rsid w:val="2DD7321A"/>
    <w:rsid w:val="2DEE2272"/>
    <w:rsid w:val="2E01571E"/>
    <w:rsid w:val="2E157AA5"/>
    <w:rsid w:val="2E1D0BFB"/>
    <w:rsid w:val="2E1F7BA9"/>
    <w:rsid w:val="2E26257D"/>
    <w:rsid w:val="2E37558B"/>
    <w:rsid w:val="2E414E47"/>
    <w:rsid w:val="2E452FEB"/>
    <w:rsid w:val="2EAD1222"/>
    <w:rsid w:val="2EBB67B2"/>
    <w:rsid w:val="2EE20597"/>
    <w:rsid w:val="2F082C9F"/>
    <w:rsid w:val="2F182D8D"/>
    <w:rsid w:val="2F1A38BD"/>
    <w:rsid w:val="2F443842"/>
    <w:rsid w:val="2F487110"/>
    <w:rsid w:val="2F6F444D"/>
    <w:rsid w:val="2F8E58B7"/>
    <w:rsid w:val="2FB20CA6"/>
    <w:rsid w:val="2FD52D0C"/>
    <w:rsid w:val="2FDF72EE"/>
    <w:rsid w:val="302A0417"/>
    <w:rsid w:val="30491C48"/>
    <w:rsid w:val="30642792"/>
    <w:rsid w:val="30796157"/>
    <w:rsid w:val="307D0288"/>
    <w:rsid w:val="30821D54"/>
    <w:rsid w:val="31347564"/>
    <w:rsid w:val="319D6855"/>
    <w:rsid w:val="31BD749C"/>
    <w:rsid w:val="31C07AA9"/>
    <w:rsid w:val="31CA7D66"/>
    <w:rsid w:val="31DC6E44"/>
    <w:rsid w:val="31DE70CD"/>
    <w:rsid w:val="31EE3DB5"/>
    <w:rsid w:val="31FB3107"/>
    <w:rsid w:val="323E55C9"/>
    <w:rsid w:val="32471192"/>
    <w:rsid w:val="324B34A1"/>
    <w:rsid w:val="32782B20"/>
    <w:rsid w:val="327F60EB"/>
    <w:rsid w:val="329D58DA"/>
    <w:rsid w:val="331E2BAE"/>
    <w:rsid w:val="333219BA"/>
    <w:rsid w:val="33500286"/>
    <w:rsid w:val="33500D86"/>
    <w:rsid w:val="33753BE5"/>
    <w:rsid w:val="33901D3B"/>
    <w:rsid w:val="33F06BE1"/>
    <w:rsid w:val="34183DCC"/>
    <w:rsid w:val="344E69C3"/>
    <w:rsid w:val="34776A42"/>
    <w:rsid w:val="34802795"/>
    <w:rsid w:val="34C717B5"/>
    <w:rsid w:val="34D63ABD"/>
    <w:rsid w:val="34DE188B"/>
    <w:rsid w:val="34FD66E6"/>
    <w:rsid w:val="350D127D"/>
    <w:rsid w:val="353D3B58"/>
    <w:rsid w:val="3542665F"/>
    <w:rsid w:val="357E6FD1"/>
    <w:rsid w:val="35E05627"/>
    <w:rsid w:val="35F7107F"/>
    <w:rsid w:val="3631602B"/>
    <w:rsid w:val="36795EFA"/>
    <w:rsid w:val="367C3A5D"/>
    <w:rsid w:val="36ED79DC"/>
    <w:rsid w:val="37762234"/>
    <w:rsid w:val="37875B7E"/>
    <w:rsid w:val="37B55834"/>
    <w:rsid w:val="37F660D3"/>
    <w:rsid w:val="384817A6"/>
    <w:rsid w:val="385C0997"/>
    <w:rsid w:val="38782B02"/>
    <w:rsid w:val="38A00075"/>
    <w:rsid w:val="38B51623"/>
    <w:rsid w:val="38D35560"/>
    <w:rsid w:val="38D55A35"/>
    <w:rsid w:val="38F368AA"/>
    <w:rsid w:val="39397B75"/>
    <w:rsid w:val="39546ACF"/>
    <w:rsid w:val="397D0D8C"/>
    <w:rsid w:val="39937728"/>
    <w:rsid w:val="39BC4B97"/>
    <w:rsid w:val="3A0A1607"/>
    <w:rsid w:val="3A3174EC"/>
    <w:rsid w:val="3A3D641D"/>
    <w:rsid w:val="3AA87560"/>
    <w:rsid w:val="3AAE0469"/>
    <w:rsid w:val="3AB21C40"/>
    <w:rsid w:val="3ABB7E00"/>
    <w:rsid w:val="3B0451AF"/>
    <w:rsid w:val="3B2625B9"/>
    <w:rsid w:val="3B47401E"/>
    <w:rsid w:val="3B5B6725"/>
    <w:rsid w:val="3B874946"/>
    <w:rsid w:val="3BC40B75"/>
    <w:rsid w:val="3BFE425B"/>
    <w:rsid w:val="3C59416C"/>
    <w:rsid w:val="3C630F60"/>
    <w:rsid w:val="3D0F410D"/>
    <w:rsid w:val="3D395327"/>
    <w:rsid w:val="3D47259F"/>
    <w:rsid w:val="3D4772F9"/>
    <w:rsid w:val="3D642DD1"/>
    <w:rsid w:val="3D79646C"/>
    <w:rsid w:val="3DB0393C"/>
    <w:rsid w:val="3DC869AF"/>
    <w:rsid w:val="3DE52537"/>
    <w:rsid w:val="3E267F07"/>
    <w:rsid w:val="3E5A0DDF"/>
    <w:rsid w:val="3EAD3996"/>
    <w:rsid w:val="3EB5115D"/>
    <w:rsid w:val="3EC5528C"/>
    <w:rsid w:val="3F034996"/>
    <w:rsid w:val="3F436D38"/>
    <w:rsid w:val="3F4E170B"/>
    <w:rsid w:val="3F8876A3"/>
    <w:rsid w:val="3F937F45"/>
    <w:rsid w:val="3F990660"/>
    <w:rsid w:val="3F9A1678"/>
    <w:rsid w:val="3FB72602"/>
    <w:rsid w:val="3FB732FC"/>
    <w:rsid w:val="3FBA1614"/>
    <w:rsid w:val="400A1EDA"/>
    <w:rsid w:val="4013649A"/>
    <w:rsid w:val="40294A00"/>
    <w:rsid w:val="40524BAE"/>
    <w:rsid w:val="405819E7"/>
    <w:rsid w:val="405B69B6"/>
    <w:rsid w:val="406523E2"/>
    <w:rsid w:val="40C96B54"/>
    <w:rsid w:val="40F6607C"/>
    <w:rsid w:val="40FD2AE4"/>
    <w:rsid w:val="411B36E0"/>
    <w:rsid w:val="411E53E2"/>
    <w:rsid w:val="41215956"/>
    <w:rsid w:val="412C3444"/>
    <w:rsid w:val="41395A15"/>
    <w:rsid w:val="415743A5"/>
    <w:rsid w:val="416910A4"/>
    <w:rsid w:val="41831AA2"/>
    <w:rsid w:val="41F05B7B"/>
    <w:rsid w:val="41F8595E"/>
    <w:rsid w:val="420F62BE"/>
    <w:rsid w:val="42797D6C"/>
    <w:rsid w:val="42875A31"/>
    <w:rsid w:val="428C185F"/>
    <w:rsid w:val="42AE3D80"/>
    <w:rsid w:val="42CC3210"/>
    <w:rsid w:val="42E23C0C"/>
    <w:rsid w:val="4353770A"/>
    <w:rsid w:val="435B2861"/>
    <w:rsid w:val="437F384E"/>
    <w:rsid w:val="439A302F"/>
    <w:rsid w:val="43AD11A7"/>
    <w:rsid w:val="43D12517"/>
    <w:rsid w:val="44413CEB"/>
    <w:rsid w:val="444651C5"/>
    <w:rsid w:val="44664331"/>
    <w:rsid w:val="4482192A"/>
    <w:rsid w:val="44B0710B"/>
    <w:rsid w:val="44B66B42"/>
    <w:rsid w:val="44BD3264"/>
    <w:rsid w:val="44DE4057"/>
    <w:rsid w:val="450E0D47"/>
    <w:rsid w:val="452C779B"/>
    <w:rsid w:val="45485CA3"/>
    <w:rsid w:val="45681FAC"/>
    <w:rsid w:val="45A76A75"/>
    <w:rsid w:val="45B375E6"/>
    <w:rsid w:val="45B744DA"/>
    <w:rsid w:val="45E47B4D"/>
    <w:rsid w:val="46126E0E"/>
    <w:rsid w:val="462F5DB9"/>
    <w:rsid w:val="468269E7"/>
    <w:rsid w:val="46A47538"/>
    <w:rsid w:val="46B278C3"/>
    <w:rsid w:val="46BA75DE"/>
    <w:rsid w:val="46F13374"/>
    <w:rsid w:val="472A35B8"/>
    <w:rsid w:val="47C63335"/>
    <w:rsid w:val="47F22887"/>
    <w:rsid w:val="480732E2"/>
    <w:rsid w:val="483D4503"/>
    <w:rsid w:val="48673F42"/>
    <w:rsid w:val="487F6053"/>
    <w:rsid w:val="48925891"/>
    <w:rsid w:val="489E1AE7"/>
    <w:rsid w:val="48CD2ED3"/>
    <w:rsid w:val="491B4B24"/>
    <w:rsid w:val="496333D1"/>
    <w:rsid w:val="49737727"/>
    <w:rsid w:val="49A25002"/>
    <w:rsid w:val="4A162BBA"/>
    <w:rsid w:val="4A2531CC"/>
    <w:rsid w:val="4A4539C8"/>
    <w:rsid w:val="4AAB517D"/>
    <w:rsid w:val="4AC052EF"/>
    <w:rsid w:val="4AC705E4"/>
    <w:rsid w:val="4AFB1400"/>
    <w:rsid w:val="4B091402"/>
    <w:rsid w:val="4B0E52B7"/>
    <w:rsid w:val="4B2C0D63"/>
    <w:rsid w:val="4B515263"/>
    <w:rsid w:val="4B64259B"/>
    <w:rsid w:val="4B6C6EB4"/>
    <w:rsid w:val="4BA40A7C"/>
    <w:rsid w:val="4BC23B5C"/>
    <w:rsid w:val="4BC64208"/>
    <w:rsid w:val="4BCE6FAC"/>
    <w:rsid w:val="4BD64B4C"/>
    <w:rsid w:val="4BED6788"/>
    <w:rsid w:val="4C0F4312"/>
    <w:rsid w:val="4C62015B"/>
    <w:rsid w:val="4C7A01FE"/>
    <w:rsid w:val="4C7A1D52"/>
    <w:rsid w:val="4C920B18"/>
    <w:rsid w:val="4CA236A4"/>
    <w:rsid w:val="4CF33589"/>
    <w:rsid w:val="4D063225"/>
    <w:rsid w:val="4D2E35F6"/>
    <w:rsid w:val="4DA739FA"/>
    <w:rsid w:val="4DA87464"/>
    <w:rsid w:val="4DA96B63"/>
    <w:rsid w:val="4DC02FE6"/>
    <w:rsid w:val="4DD10298"/>
    <w:rsid w:val="4E0F5B8B"/>
    <w:rsid w:val="4E1564A1"/>
    <w:rsid w:val="4E1A416A"/>
    <w:rsid w:val="4E324D9D"/>
    <w:rsid w:val="4E423083"/>
    <w:rsid w:val="4E4C75E3"/>
    <w:rsid w:val="4E7433DC"/>
    <w:rsid w:val="4E7D2000"/>
    <w:rsid w:val="4EA05C8B"/>
    <w:rsid w:val="4EE1661B"/>
    <w:rsid w:val="4EE73FC5"/>
    <w:rsid w:val="4EEF723D"/>
    <w:rsid w:val="4EF804FE"/>
    <w:rsid w:val="4F057D89"/>
    <w:rsid w:val="4F2866BE"/>
    <w:rsid w:val="4F2F0BAE"/>
    <w:rsid w:val="4F612B0A"/>
    <w:rsid w:val="4F7E70CF"/>
    <w:rsid w:val="4F9A4865"/>
    <w:rsid w:val="4FCB25C5"/>
    <w:rsid w:val="4FDF7736"/>
    <w:rsid w:val="4FE56633"/>
    <w:rsid w:val="50204C15"/>
    <w:rsid w:val="505770B2"/>
    <w:rsid w:val="508D3A17"/>
    <w:rsid w:val="50BF05BF"/>
    <w:rsid w:val="513702A1"/>
    <w:rsid w:val="51B12A09"/>
    <w:rsid w:val="51B43B94"/>
    <w:rsid w:val="51B72FE6"/>
    <w:rsid w:val="51DC1233"/>
    <w:rsid w:val="52017A74"/>
    <w:rsid w:val="520435D4"/>
    <w:rsid w:val="52162921"/>
    <w:rsid w:val="521B1E57"/>
    <w:rsid w:val="52D91AE1"/>
    <w:rsid w:val="52EE164A"/>
    <w:rsid w:val="53703D5C"/>
    <w:rsid w:val="53752DD1"/>
    <w:rsid w:val="53892EA1"/>
    <w:rsid w:val="53C933B5"/>
    <w:rsid w:val="53D34F69"/>
    <w:rsid w:val="54B16C20"/>
    <w:rsid w:val="556752C9"/>
    <w:rsid w:val="558D2D12"/>
    <w:rsid w:val="55C929BA"/>
    <w:rsid w:val="56206E5C"/>
    <w:rsid w:val="563B4204"/>
    <w:rsid w:val="565840D9"/>
    <w:rsid w:val="5659322C"/>
    <w:rsid w:val="56797DE2"/>
    <w:rsid w:val="56A818BE"/>
    <w:rsid w:val="56B812DF"/>
    <w:rsid w:val="56D63CFB"/>
    <w:rsid w:val="56E80789"/>
    <w:rsid w:val="56F96D30"/>
    <w:rsid w:val="57365948"/>
    <w:rsid w:val="57587F87"/>
    <w:rsid w:val="57606C8B"/>
    <w:rsid w:val="57625A3F"/>
    <w:rsid w:val="57CA245E"/>
    <w:rsid w:val="57D92860"/>
    <w:rsid w:val="57E1336A"/>
    <w:rsid w:val="57EF37A8"/>
    <w:rsid w:val="5822117A"/>
    <w:rsid w:val="5837194F"/>
    <w:rsid w:val="586D07FC"/>
    <w:rsid w:val="588E22DD"/>
    <w:rsid w:val="58950AF6"/>
    <w:rsid w:val="58965930"/>
    <w:rsid w:val="58FD1DFF"/>
    <w:rsid w:val="592D1885"/>
    <w:rsid w:val="593364C4"/>
    <w:rsid w:val="594E1B6D"/>
    <w:rsid w:val="59567B13"/>
    <w:rsid w:val="59603DD7"/>
    <w:rsid w:val="59856C4A"/>
    <w:rsid w:val="59961802"/>
    <w:rsid w:val="599B37EF"/>
    <w:rsid w:val="59C04D56"/>
    <w:rsid w:val="59EA08D9"/>
    <w:rsid w:val="5A3D178E"/>
    <w:rsid w:val="5A6F3818"/>
    <w:rsid w:val="5A780983"/>
    <w:rsid w:val="5AA80230"/>
    <w:rsid w:val="5AAE0664"/>
    <w:rsid w:val="5AE67036"/>
    <w:rsid w:val="5B0C379A"/>
    <w:rsid w:val="5B7332DB"/>
    <w:rsid w:val="5BD26A10"/>
    <w:rsid w:val="5BDB048C"/>
    <w:rsid w:val="5BDF636A"/>
    <w:rsid w:val="5BE10978"/>
    <w:rsid w:val="5BE12024"/>
    <w:rsid w:val="5BF56CB9"/>
    <w:rsid w:val="5BFC7A94"/>
    <w:rsid w:val="5C2364B8"/>
    <w:rsid w:val="5C4D301C"/>
    <w:rsid w:val="5C655F73"/>
    <w:rsid w:val="5C6F7658"/>
    <w:rsid w:val="5CA81EF5"/>
    <w:rsid w:val="5CDA5642"/>
    <w:rsid w:val="5CE74C11"/>
    <w:rsid w:val="5D1822EE"/>
    <w:rsid w:val="5D3D164C"/>
    <w:rsid w:val="5D3F11BE"/>
    <w:rsid w:val="5D9F3646"/>
    <w:rsid w:val="5DA06E03"/>
    <w:rsid w:val="5DB63D14"/>
    <w:rsid w:val="5DBA2BF4"/>
    <w:rsid w:val="5DBF561F"/>
    <w:rsid w:val="5E220830"/>
    <w:rsid w:val="5ECE56D2"/>
    <w:rsid w:val="5ED3116B"/>
    <w:rsid w:val="5F683814"/>
    <w:rsid w:val="5F7433F3"/>
    <w:rsid w:val="5F7F741A"/>
    <w:rsid w:val="5F9263BA"/>
    <w:rsid w:val="5FAB5496"/>
    <w:rsid w:val="5FDA4180"/>
    <w:rsid w:val="5FE83C77"/>
    <w:rsid w:val="60117075"/>
    <w:rsid w:val="602E6BB2"/>
    <w:rsid w:val="60725AC7"/>
    <w:rsid w:val="608128ED"/>
    <w:rsid w:val="60A8689A"/>
    <w:rsid w:val="60CE1630"/>
    <w:rsid w:val="61244D7E"/>
    <w:rsid w:val="612D3C7B"/>
    <w:rsid w:val="617D2699"/>
    <w:rsid w:val="61AF6209"/>
    <w:rsid w:val="61D36A8F"/>
    <w:rsid w:val="62011913"/>
    <w:rsid w:val="622B29FC"/>
    <w:rsid w:val="623C110E"/>
    <w:rsid w:val="6271541F"/>
    <w:rsid w:val="627426CC"/>
    <w:rsid w:val="628A19B9"/>
    <w:rsid w:val="62A01CFE"/>
    <w:rsid w:val="62B020BE"/>
    <w:rsid w:val="62D722AA"/>
    <w:rsid w:val="63171F68"/>
    <w:rsid w:val="63220AB6"/>
    <w:rsid w:val="6339397A"/>
    <w:rsid w:val="633C638E"/>
    <w:rsid w:val="634170CD"/>
    <w:rsid w:val="637864F6"/>
    <w:rsid w:val="639805A5"/>
    <w:rsid w:val="639C2195"/>
    <w:rsid w:val="63B31FE5"/>
    <w:rsid w:val="63BE188E"/>
    <w:rsid w:val="63C56970"/>
    <w:rsid w:val="63FE66EC"/>
    <w:rsid w:val="646167D8"/>
    <w:rsid w:val="649253A1"/>
    <w:rsid w:val="64984935"/>
    <w:rsid w:val="64B566F2"/>
    <w:rsid w:val="650F0220"/>
    <w:rsid w:val="65877E71"/>
    <w:rsid w:val="65AD3B35"/>
    <w:rsid w:val="65CD4262"/>
    <w:rsid w:val="65CF2A0D"/>
    <w:rsid w:val="660D1AA1"/>
    <w:rsid w:val="66274A7B"/>
    <w:rsid w:val="664F0177"/>
    <w:rsid w:val="669955EC"/>
    <w:rsid w:val="66CF42EA"/>
    <w:rsid w:val="6705429C"/>
    <w:rsid w:val="672366A5"/>
    <w:rsid w:val="673454DE"/>
    <w:rsid w:val="67952030"/>
    <w:rsid w:val="67E05094"/>
    <w:rsid w:val="67F4773A"/>
    <w:rsid w:val="681A37E9"/>
    <w:rsid w:val="686439EC"/>
    <w:rsid w:val="6877312C"/>
    <w:rsid w:val="688312CE"/>
    <w:rsid w:val="68BA19F8"/>
    <w:rsid w:val="68BC14C3"/>
    <w:rsid w:val="690E3F85"/>
    <w:rsid w:val="694410C6"/>
    <w:rsid w:val="697B225C"/>
    <w:rsid w:val="69CA5027"/>
    <w:rsid w:val="69FD1662"/>
    <w:rsid w:val="6A0225B2"/>
    <w:rsid w:val="6A3C5BFD"/>
    <w:rsid w:val="6A6152D5"/>
    <w:rsid w:val="6A7061CF"/>
    <w:rsid w:val="6A746F48"/>
    <w:rsid w:val="6A930F9D"/>
    <w:rsid w:val="6AAD1B3C"/>
    <w:rsid w:val="6B166CDE"/>
    <w:rsid w:val="6B403AF7"/>
    <w:rsid w:val="6B435804"/>
    <w:rsid w:val="6B927388"/>
    <w:rsid w:val="6B940FF4"/>
    <w:rsid w:val="6BA70D3C"/>
    <w:rsid w:val="6BA80CB8"/>
    <w:rsid w:val="6BB97150"/>
    <w:rsid w:val="6BDF0DB6"/>
    <w:rsid w:val="6C147353"/>
    <w:rsid w:val="6C253B0C"/>
    <w:rsid w:val="6C46285F"/>
    <w:rsid w:val="6C86143B"/>
    <w:rsid w:val="6CA9329F"/>
    <w:rsid w:val="6CBD7814"/>
    <w:rsid w:val="6CF210A6"/>
    <w:rsid w:val="6CF51141"/>
    <w:rsid w:val="6D0074E3"/>
    <w:rsid w:val="6D343A30"/>
    <w:rsid w:val="6D877A12"/>
    <w:rsid w:val="6DDD728B"/>
    <w:rsid w:val="6DEC7D07"/>
    <w:rsid w:val="6DF06DD7"/>
    <w:rsid w:val="6E236258"/>
    <w:rsid w:val="6E596897"/>
    <w:rsid w:val="6E6D232F"/>
    <w:rsid w:val="6E96764A"/>
    <w:rsid w:val="6E9764DD"/>
    <w:rsid w:val="6E9F428B"/>
    <w:rsid w:val="6EBD47D2"/>
    <w:rsid w:val="6EC25D6B"/>
    <w:rsid w:val="6F496536"/>
    <w:rsid w:val="6FAF0345"/>
    <w:rsid w:val="6FF95ED8"/>
    <w:rsid w:val="700F55B1"/>
    <w:rsid w:val="70173309"/>
    <w:rsid w:val="702700D5"/>
    <w:rsid w:val="702F7F3F"/>
    <w:rsid w:val="7040567D"/>
    <w:rsid w:val="70596181"/>
    <w:rsid w:val="707F2A7C"/>
    <w:rsid w:val="709D5932"/>
    <w:rsid w:val="70A611FD"/>
    <w:rsid w:val="70BB3737"/>
    <w:rsid w:val="70C26FB3"/>
    <w:rsid w:val="70D93657"/>
    <w:rsid w:val="7117602A"/>
    <w:rsid w:val="71205C8E"/>
    <w:rsid w:val="71837069"/>
    <w:rsid w:val="71886C91"/>
    <w:rsid w:val="719115BC"/>
    <w:rsid w:val="71917586"/>
    <w:rsid w:val="71C039C2"/>
    <w:rsid w:val="71DA61C7"/>
    <w:rsid w:val="725B35F4"/>
    <w:rsid w:val="7272193A"/>
    <w:rsid w:val="72BF57B8"/>
    <w:rsid w:val="72DF3E4C"/>
    <w:rsid w:val="730C63AE"/>
    <w:rsid w:val="73375123"/>
    <w:rsid w:val="73452CB6"/>
    <w:rsid w:val="73A7327C"/>
    <w:rsid w:val="73A73B45"/>
    <w:rsid w:val="73E84BF5"/>
    <w:rsid w:val="73EE3CE3"/>
    <w:rsid w:val="741E2EDB"/>
    <w:rsid w:val="7463055A"/>
    <w:rsid w:val="746D5BA1"/>
    <w:rsid w:val="749931EB"/>
    <w:rsid w:val="74CC6DE2"/>
    <w:rsid w:val="74D465C0"/>
    <w:rsid w:val="74F76505"/>
    <w:rsid w:val="75852A9A"/>
    <w:rsid w:val="75992F1A"/>
    <w:rsid w:val="75B77870"/>
    <w:rsid w:val="75F90E62"/>
    <w:rsid w:val="75FB52C0"/>
    <w:rsid w:val="76B03BBC"/>
    <w:rsid w:val="771320CA"/>
    <w:rsid w:val="77330AA0"/>
    <w:rsid w:val="773A2B71"/>
    <w:rsid w:val="7752328F"/>
    <w:rsid w:val="778140BE"/>
    <w:rsid w:val="77975DE6"/>
    <w:rsid w:val="779B6429"/>
    <w:rsid w:val="779F4E6A"/>
    <w:rsid w:val="77B04AB2"/>
    <w:rsid w:val="77BE4BFC"/>
    <w:rsid w:val="77FA34D6"/>
    <w:rsid w:val="77FF61C9"/>
    <w:rsid w:val="78006D9D"/>
    <w:rsid w:val="780E38D7"/>
    <w:rsid w:val="782555FC"/>
    <w:rsid w:val="783A62A5"/>
    <w:rsid w:val="78600E42"/>
    <w:rsid w:val="786379B3"/>
    <w:rsid w:val="78D56551"/>
    <w:rsid w:val="78EB3286"/>
    <w:rsid w:val="79512ABE"/>
    <w:rsid w:val="79815E62"/>
    <w:rsid w:val="79996BED"/>
    <w:rsid w:val="79D748D7"/>
    <w:rsid w:val="7A162408"/>
    <w:rsid w:val="7A2519B8"/>
    <w:rsid w:val="7A56546E"/>
    <w:rsid w:val="7AEC6A2C"/>
    <w:rsid w:val="7B0A4DE4"/>
    <w:rsid w:val="7B225ED0"/>
    <w:rsid w:val="7B3C3C92"/>
    <w:rsid w:val="7B4E1372"/>
    <w:rsid w:val="7B7177A2"/>
    <w:rsid w:val="7BA31874"/>
    <w:rsid w:val="7BBB4342"/>
    <w:rsid w:val="7BD06A28"/>
    <w:rsid w:val="7C151E55"/>
    <w:rsid w:val="7C3542EB"/>
    <w:rsid w:val="7C8E6B80"/>
    <w:rsid w:val="7C942D51"/>
    <w:rsid w:val="7CC96591"/>
    <w:rsid w:val="7CF61E83"/>
    <w:rsid w:val="7DC765C9"/>
    <w:rsid w:val="7E1221A9"/>
    <w:rsid w:val="7E6B54E8"/>
    <w:rsid w:val="7E8429A8"/>
    <w:rsid w:val="7E8766A1"/>
    <w:rsid w:val="7EAD02B8"/>
    <w:rsid w:val="7ED46789"/>
    <w:rsid w:val="7EF558F0"/>
    <w:rsid w:val="7F0B16A9"/>
    <w:rsid w:val="7F1B558F"/>
    <w:rsid w:val="7F2A7FB0"/>
    <w:rsid w:val="7F5D389C"/>
    <w:rsid w:val="7F683742"/>
    <w:rsid w:val="7F801950"/>
    <w:rsid w:val="7F991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7065</Words>
  <Characters>7424</Characters>
  <Lines>0</Lines>
  <Paragraphs>0</Paragraphs>
  <TotalTime>274</TotalTime>
  <ScaleCrop>false</ScaleCrop>
  <LinksUpToDate>false</LinksUpToDate>
  <CharactersWithSpaces>7720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2025-06-04T14:08:00Z</dcterms:created>
  <dc:creator>陈灿君</dc:creator>
  <cp:lastModifiedBy>湖月</cp:lastModifiedBy>
  <dcterms:modified xsi:type="dcterms:W3CDTF">2025-12-25T04:41:36Z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D4B4ADA3C0CC41688DEDE899D8CE9ADE_13</vt:lpwstr>
  </property>
  <property fmtid="{D5CDD505-2E9C-101B-9397-08002B2CF9AE}" pid="4" name="KSOTemplateDocerSaveRecord">
    <vt:lpwstr>eyJoZGlkIjoiZDdmNzNhMjQzZTk1YjA3Mjk1M2QyZjRlNTQwY2E3NDEiLCJ1c2VySWQiOiI3MDAyMTc2ODkifQ==</vt:lpwstr>
  </property>
</Properties>
</file>