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5467" w14:textId="77777777" w:rsidR="00904315" w:rsidRPr="00F16D2E" w:rsidRDefault="00000000" w:rsidP="00A73B8E">
      <w:pPr>
        <w:pStyle w:val="Heading1"/>
        <w:pBdr>
          <w:bottom w:val="single" w:sz="4" w:space="1" w:color="auto"/>
        </w:pBdr>
        <w:rPr>
          <w:rFonts w:ascii="Arial" w:hAnsi="Arial" w:cs="Arial"/>
          <w:color w:val="000000" w:themeColor="text1"/>
          <w:sz w:val="22"/>
          <w:szCs w:val="22"/>
        </w:rPr>
      </w:pPr>
      <w:r w:rsidRPr="00F16D2E">
        <w:rPr>
          <w:rFonts w:ascii="Arial" w:hAnsi="Arial" w:cs="Arial"/>
          <w:color w:val="000000" w:themeColor="text1"/>
          <w:sz w:val="22"/>
          <w:szCs w:val="22"/>
        </w:rPr>
        <w:t>Monte Carlo VaR and Stress Testing for Energy Portfolio</w:t>
      </w:r>
    </w:p>
    <w:p w14:paraId="3CC99AFB" w14:textId="2E4B5019" w:rsidR="00904315" w:rsidRPr="00F16D2E" w:rsidRDefault="00904315">
      <w:pPr>
        <w:rPr>
          <w:rFonts w:ascii="Arial" w:hAnsi="Arial" w:cs="Arial"/>
          <w:color w:val="000000" w:themeColor="text1"/>
        </w:rPr>
      </w:pPr>
    </w:p>
    <w:p w14:paraId="1D4B656E" w14:textId="77777777" w:rsidR="00904315" w:rsidRPr="00F16D2E" w:rsidRDefault="00000000" w:rsidP="00A73B8E">
      <w:pPr>
        <w:pStyle w:val="Heading2"/>
        <w:pBdr>
          <w:bottom w:val="single" w:sz="4" w:space="1" w:color="auto"/>
        </w:pBdr>
        <w:rPr>
          <w:rFonts w:ascii="Arial" w:hAnsi="Arial" w:cs="Arial"/>
          <w:color w:val="000000" w:themeColor="text1"/>
          <w:sz w:val="22"/>
          <w:szCs w:val="22"/>
        </w:rPr>
      </w:pPr>
      <w:r w:rsidRPr="00F16D2E">
        <w:rPr>
          <w:rFonts w:ascii="Arial" w:hAnsi="Arial" w:cs="Arial"/>
          <w:color w:val="000000" w:themeColor="text1"/>
          <w:sz w:val="22"/>
          <w:szCs w:val="22"/>
        </w:rPr>
        <w:t>1. Objective</w:t>
      </w:r>
    </w:p>
    <w:p w14:paraId="707EE30E" w14:textId="6EFB4CAC" w:rsidR="00904315" w:rsidRPr="00F16D2E" w:rsidRDefault="00000000" w:rsidP="00A73B8E">
      <w:pPr>
        <w:jc w:val="both"/>
        <w:rPr>
          <w:rFonts w:ascii="Arial" w:hAnsi="Arial" w:cs="Arial"/>
          <w:color w:val="000000" w:themeColor="text1"/>
        </w:rPr>
      </w:pPr>
      <w:r w:rsidRPr="00F16D2E">
        <w:rPr>
          <w:rFonts w:ascii="Arial" w:hAnsi="Arial" w:cs="Arial"/>
          <w:color w:val="000000" w:themeColor="text1"/>
        </w:rPr>
        <w:t xml:space="preserve">This </w:t>
      </w:r>
      <w:r w:rsidR="00A73B8E" w:rsidRPr="00F16D2E">
        <w:rPr>
          <w:rFonts w:ascii="Arial" w:hAnsi="Arial" w:cs="Arial"/>
          <w:color w:val="000000" w:themeColor="text1"/>
        </w:rPr>
        <w:t xml:space="preserve">modelling </w:t>
      </w:r>
      <w:r w:rsidRPr="00F16D2E">
        <w:rPr>
          <w:rFonts w:ascii="Arial" w:hAnsi="Arial" w:cs="Arial"/>
          <w:color w:val="000000" w:themeColor="text1"/>
        </w:rPr>
        <w:t xml:space="preserve">aims to measure and understand the downside risk of a realistic commodity portfolio composed of physical energy assets. Given Wisewood Capital's exposure to hydrocarbon derivatives and fuel-linked strategies, </w:t>
      </w:r>
      <w:r w:rsidR="00A73B8E" w:rsidRPr="00F16D2E">
        <w:rPr>
          <w:rFonts w:ascii="Arial" w:hAnsi="Arial" w:cs="Arial"/>
          <w:color w:val="000000" w:themeColor="text1"/>
        </w:rPr>
        <w:t>I</w:t>
      </w:r>
      <w:r w:rsidRPr="00F16D2E">
        <w:rPr>
          <w:rFonts w:ascii="Arial" w:hAnsi="Arial" w:cs="Arial"/>
          <w:color w:val="000000" w:themeColor="text1"/>
        </w:rPr>
        <w:t xml:space="preserve"> adopt</w:t>
      </w:r>
      <w:r w:rsidR="00A73B8E" w:rsidRPr="00F16D2E">
        <w:rPr>
          <w:rFonts w:ascii="Arial" w:hAnsi="Arial" w:cs="Arial"/>
          <w:color w:val="000000" w:themeColor="text1"/>
        </w:rPr>
        <w:t>ed</w:t>
      </w:r>
      <w:r w:rsidRPr="00F16D2E">
        <w:rPr>
          <w:rFonts w:ascii="Arial" w:hAnsi="Arial" w:cs="Arial"/>
          <w:color w:val="000000" w:themeColor="text1"/>
        </w:rPr>
        <w:t xml:space="preserve"> a simulation-based approach tailored to reflect the unique dynamics of energy markets.</w:t>
      </w:r>
    </w:p>
    <w:p w14:paraId="4ED995D5" w14:textId="77777777" w:rsidR="00904315" w:rsidRPr="00F16D2E" w:rsidRDefault="00000000" w:rsidP="00A73B8E">
      <w:pPr>
        <w:pStyle w:val="Heading2"/>
        <w:pBdr>
          <w:bottom w:val="single" w:sz="4" w:space="1" w:color="auto"/>
        </w:pBdr>
        <w:rPr>
          <w:rFonts w:ascii="Arial" w:hAnsi="Arial" w:cs="Arial"/>
          <w:color w:val="000000" w:themeColor="text1"/>
          <w:sz w:val="22"/>
          <w:szCs w:val="22"/>
        </w:rPr>
      </w:pPr>
      <w:r w:rsidRPr="00F16D2E">
        <w:rPr>
          <w:rFonts w:ascii="Arial" w:hAnsi="Arial" w:cs="Arial"/>
          <w:color w:val="000000" w:themeColor="text1"/>
          <w:sz w:val="22"/>
          <w:szCs w:val="22"/>
        </w:rPr>
        <w:t>2. Portfolio Composition</w:t>
      </w:r>
    </w:p>
    <w:p w14:paraId="0C55EF10" w14:textId="16376412" w:rsidR="00904315" w:rsidRPr="00F16D2E" w:rsidRDefault="00000000">
      <w:pPr>
        <w:rPr>
          <w:rFonts w:ascii="Arial" w:hAnsi="Arial" w:cs="Arial"/>
          <w:color w:val="000000" w:themeColor="text1"/>
          <w:lang w:val="en-SG"/>
        </w:rPr>
      </w:pPr>
      <w:r w:rsidRPr="00F16D2E">
        <w:rPr>
          <w:rFonts w:ascii="Arial" w:hAnsi="Arial" w:cs="Arial"/>
          <w:color w:val="000000" w:themeColor="text1"/>
        </w:rPr>
        <w:t>The portfolio consists of seven major commodities:</w:t>
      </w:r>
      <w:r w:rsidRPr="00F16D2E">
        <w:rPr>
          <w:rFonts w:ascii="Arial" w:hAnsi="Arial" w:cs="Arial"/>
          <w:color w:val="000000" w:themeColor="text1"/>
        </w:rPr>
        <w:br/>
        <w:t>- Crude Oil (30%)</w:t>
      </w:r>
      <w:r w:rsidRPr="00F16D2E">
        <w:rPr>
          <w:rFonts w:ascii="Arial" w:hAnsi="Arial" w:cs="Arial"/>
          <w:color w:val="000000" w:themeColor="text1"/>
        </w:rPr>
        <w:br/>
        <w:t>- LPG (10%)</w:t>
      </w:r>
      <w:r w:rsidRPr="00F16D2E">
        <w:rPr>
          <w:rFonts w:ascii="Arial" w:hAnsi="Arial" w:cs="Arial"/>
          <w:color w:val="000000" w:themeColor="text1"/>
        </w:rPr>
        <w:br/>
        <w:t>- LNG (10%)</w:t>
      </w:r>
      <w:r w:rsidRPr="00F16D2E">
        <w:rPr>
          <w:rFonts w:ascii="Arial" w:hAnsi="Arial" w:cs="Arial"/>
          <w:color w:val="000000" w:themeColor="text1"/>
        </w:rPr>
        <w:br/>
        <w:t>- Gasoline (15%)</w:t>
      </w:r>
      <w:r w:rsidRPr="00F16D2E">
        <w:rPr>
          <w:rFonts w:ascii="Arial" w:hAnsi="Arial" w:cs="Arial"/>
          <w:color w:val="000000" w:themeColor="text1"/>
        </w:rPr>
        <w:br/>
        <w:t>- Jet Fuel (15%)</w:t>
      </w:r>
      <w:r w:rsidRPr="00F16D2E">
        <w:rPr>
          <w:rFonts w:ascii="Arial" w:hAnsi="Arial" w:cs="Arial"/>
          <w:color w:val="000000" w:themeColor="text1"/>
        </w:rPr>
        <w:br/>
        <w:t>- Naphtha (10%)</w:t>
      </w:r>
      <w:r w:rsidRPr="00F16D2E">
        <w:rPr>
          <w:rFonts w:ascii="Arial" w:hAnsi="Arial" w:cs="Arial"/>
          <w:color w:val="000000" w:themeColor="text1"/>
        </w:rPr>
        <w:br/>
        <w:t>- Bunker Fuel Oil (10%)</w:t>
      </w:r>
      <w:r w:rsidRPr="00F16D2E">
        <w:rPr>
          <w:rFonts w:ascii="Arial" w:hAnsi="Arial" w:cs="Arial"/>
          <w:color w:val="000000" w:themeColor="text1"/>
        </w:rPr>
        <w:br/>
      </w:r>
      <w:r w:rsidRPr="00F16D2E">
        <w:rPr>
          <w:rFonts w:ascii="Arial" w:hAnsi="Arial" w:cs="Arial"/>
          <w:color w:val="000000" w:themeColor="text1"/>
        </w:rPr>
        <w:br/>
        <w:t>Weightings reflect realistic commercial exposure across the liquid fuel complex.</w:t>
      </w:r>
      <w:r w:rsidR="00F16D2E" w:rsidRPr="00F16D2E">
        <w:rPr>
          <w:rFonts w:ascii="Arial" w:hAnsi="Arial" w:cs="Arial"/>
          <w:color w:val="000000"/>
        </w:rPr>
        <w:t xml:space="preserve"> The portfolio is assumed to be worth</w:t>
      </w:r>
      <w:r w:rsidR="00F16D2E" w:rsidRPr="00F16D2E">
        <w:rPr>
          <w:rStyle w:val="apple-converted-space"/>
          <w:rFonts w:ascii="Arial" w:hAnsi="Arial" w:cs="Arial"/>
          <w:color w:val="000000"/>
        </w:rPr>
        <w:t> </w:t>
      </w:r>
      <w:r w:rsidR="00F16D2E" w:rsidRPr="00F16D2E">
        <w:rPr>
          <w:rStyle w:val="Strong"/>
          <w:rFonts w:ascii="Arial" w:hAnsi="Arial" w:cs="Arial"/>
          <w:color w:val="000000"/>
        </w:rPr>
        <w:t>$10 million</w:t>
      </w:r>
      <w:r w:rsidR="00F16D2E" w:rsidRPr="00F16D2E">
        <w:rPr>
          <w:rFonts w:ascii="Arial" w:hAnsi="Arial" w:cs="Arial"/>
          <w:color w:val="000000"/>
        </w:rPr>
        <w:t>.</w:t>
      </w:r>
    </w:p>
    <w:p w14:paraId="57C0F4C1" w14:textId="77777777" w:rsidR="00904315" w:rsidRPr="00F16D2E" w:rsidRDefault="00000000" w:rsidP="00A73B8E">
      <w:pPr>
        <w:pStyle w:val="Heading2"/>
        <w:pBdr>
          <w:bottom w:val="single" w:sz="4" w:space="1" w:color="auto"/>
        </w:pBdr>
        <w:rPr>
          <w:rFonts w:ascii="Arial" w:hAnsi="Arial" w:cs="Arial"/>
          <w:color w:val="000000" w:themeColor="text1"/>
          <w:sz w:val="22"/>
          <w:szCs w:val="22"/>
        </w:rPr>
      </w:pPr>
      <w:r w:rsidRPr="00F16D2E">
        <w:rPr>
          <w:rFonts w:ascii="Arial" w:hAnsi="Arial" w:cs="Arial"/>
          <w:color w:val="000000" w:themeColor="text1"/>
          <w:sz w:val="22"/>
          <w:szCs w:val="22"/>
        </w:rPr>
        <w:t>3. Methodology</w:t>
      </w:r>
    </w:p>
    <w:p w14:paraId="207A75F1" w14:textId="41BAF918" w:rsidR="00904315" w:rsidRPr="00F16D2E" w:rsidRDefault="00000000">
      <w:pPr>
        <w:rPr>
          <w:rFonts w:ascii="Arial" w:hAnsi="Arial" w:cs="Arial"/>
          <w:color w:val="000000" w:themeColor="text1"/>
        </w:rPr>
      </w:pPr>
      <w:r w:rsidRPr="00F16D2E">
        <w:rPr>
          <w:rFonts w:ascii="Arial" w:hAnsi="Arial" w:cs="Arial"/>
          <w:b/>
          <w:bCs/>
          <w:color w:val="000000" w:themeColor="text1"/>
        </w:rPr>
        <w:t>a. Simulated Price Generation</w:t>
      </w:r>
      <w:r w:rsidRPr="00F16D2E">
        <w:rPr>
          <w:rFonts w:ascii="Arial" w:hAnsi="Arial" w:cs="Arial"/>
          <w:color w:val="000000" w:themeColor="text1"/>
        </w:rPr>
        <w:br/>
        <w:t>- Prices are simulated using mean-reverting log-normal processes with added skewness.</w:t>
      </w:r>
      <w:r w:rsidRPr="00F16D2E">
        <w:rPr>
          <w:rFonts w:ascii="Arial" w:hAnsi="Arial" w:cs="Arial"/>
          <w:color w:val="000000" w:themeColor="text1"/>
        </w:rPr>
        <w:br/>
        <w:t>- Volatility and correlation assumptions are based on historical energy market behavior.</w:t>
      </w:r>
      <w:r w:rsidRPr="00F16D2E">
        <w:rPr>
          <w:rFonts w:ascii="Arial" w:hAnsi="Arial" w:cs="Arial"/>
          <w:color w:val="000000" w:themeColor="text1"/>
        </w:rPr>
        <w:br/>
        <w:t>- Price paths are generated over 5 years (1,260 business days).</w:t>
      </w:r>
      <w:r w:rsidRPr="00F16D2E">
        <w:rPr>
          <w:rFonts w:ascii="Arial" w:hAnsi="Arial" w:cs="Arial"/>
          <w:color w:val="000000" w:themeColor="text1"/>
        </w:rPr>
        <w:br/>
      </w:r>
      <w:r w:rsidRPr="00F16D2E">
        <w:rPr>
          <w:rFonts w:ascii="Arial" w:hAnsi="Arial" w:cs="Arial"/>
          <w:color w:val="000000" w:themeColor="text1"/>
        </w:rPr>
        <w:br/>
      </w:r>
      <w:r w:rsidRPr="00F16D2E">
        <w:rPr>
          <w:rFonts w:ascii="Arial" w:hAnsi="Arial" w:cs="Arial"/>
          <w:b/>
          <w:bCs/>
          <w:color w:val="000000" w:themeColor="text1"/>
        </w:rPr>
        <w:t>b. Return &amp; Risk Metrics</w:t>
      </w:r>
      <w:r w:rsidRPr="00F16D2E">
        <w:rPr>
          <w:rFonts w:ascii="Arial" w:hAnsi="Arial" w:cs="Arial"/>
          <w:color w:val="000000" w:themeColor="text1"/>
        </w:rPr>
        <w:br/>
        <w:t>- Daily log returns are calculated across the entire portfolio.</w:t>
      </w:r>
      <w:r w:rsidRPr="00F16D2E">
        <w:rPr>
          <w:rFonts w:ascii="Arial" w:hAnsi="Arial" w:cs="Arial"/>
          <w:color w:val="000000" w:themeColor="text1"/>
        </w:rPr>
        <w:br/>
        <w:t>- Portfolio-level returns are derived by applying the weight vector to daily asset returns.</w:t>
      </w:r>
      <w:r w:rsidRPr="00F16D2E">
        <w:rPr>
          <w:rFonts w:ascii="Arial" w:hAnsi="Arial" w:cs="Arial"/>
          <w:color w:val="000000" w:themeColor="text1"/>
        </w:rPr>
        <w:br/>
        <w:t>- VaR and CVaR are computed using Monte Carlo Simulation (10,000 forward paths)</w:t>
      </w:r>
      <w:r w:rsidR="00A73B8E" w:rsidRPr="00F16D2E">
        <w:rPr>
          <w:rFonts w:ascii="Arial" w:hAnsi="Arial" w:cs="Arial"/>
          <w:color w:val="000000" w:themeColor="text1"/>
        </w:rPr>
        <w:t xml:space="preserve"> and delta normal approach</w:t>
      </w:r>
      <w:r w:rsidRPr="00F16D2E">
        <w:rPr>
          <w:rFonts w:ascii="Arial" w:hAnsi="Arial" w:cs="Arial"/>
          <w:color w:val="000000" w:themeColor="text1"/>
        </w:rPr>
        <w:t>.</w:t>
      </w:r>
      <w:r w:rsidRPr="00F16D2E">
        <w:rPr>
          <w:rFonts w:ascii="Arial" w:hAnsi="Arial" w:cs="Arial"/>
          <w:color w:val="000000" w:themeColor="text1"/>
        </w:rPr>
        <w:br/>
      </w:r>
      <w:r w:rsidRPr="00F16D2E">
        <w:rPr>
          <w:rFonts w:ascii="Arial" w:hAnsi="Arial" w:cs="Arial"/>
          <w:color w:val="000000" w:themeColor="text1"/>
        </w:rPr>
        <w:br/>
      </w:r>
      <w:r w:rsidRPr="00F16D2E">
        <w:rPr>
          <w:rFonts w:ascii="Arial" w:hAnsi="Arial" w:cs="Arial"/>
          <w:b/>
          <w:bCs/>
          <w:color w:val="000000" w:themeColor="text1"/>
        </w:rPr>
        <w:t>c. Stress Testing</w:t>
      </w:r>
      <w:r w:rsidRPr="00F16D2E">
        <w:rPr>
          <w:rFonts w:ascii="Arial" w:hAnsi="Arial" w:cs="Arial"/>
          <w:color w:val="000000" w:themeColor="text1"/>
        </w:rPr>
        <w:br/>
        <w:t>Three deterministic stress scenarios:</w:t>
      </w:r>
      <w:r w:rsidRPr="00F16D2E">
        <w:rPr>
          <w:rFonts w:ascii="Arial" w:hAnsi="Arial" w:cs="Arial"/>
          <w:color w:val="000000" w:themeColor="text1"/>
        </w:rPr>
        <w:br/>
        <w:t>1. Crude Oil Crash: Crude -30%</w:t>
      </w:r>
      <w:r w:rsidRPr="00F16D2E">
        <w:rPr>
          <w:rFonts w:ascii="Arial" w:hAnsi="Arial" w:cs="Arial"/>
          <w:color w:val="000000" w:themeColor="text1"/>
        </w:rPr>
        <w:br/>
        <w:t>2. LNG Supply Spike: LNG +10%, others -5%</w:t>
      </w:r>
      <w:r w:rsidRPr="00F16D2E">
        <w:rPr>
          <w:rFonts w:ascii="Arial" w:hAnsi="Arial" w:cs="Arial"/>
          <w:color w:val="000000" w:themeColor="text1"/>
        </w:rPr>
        <w:br/>
        <w:t>3. Jet/Naphtha Margin Squeeze: Jet &amp; Naphtha -15%</w:t>
      </w:r>
    </w:p>
    <w:p w14:paraId="150B72A0" w14:textId="77777777" w:rsidR="00904315" w:rsidRPr="00F16D2E" w:rsidRDefault="00000000" w:rsidP="007A7AC1">
      <w:pPr>
        <w:pStyle w:val="Heading2"/>
        <w:pBdr>
          <w:bottom w:val="single" w:sz="4" w:space="1" w:color="auto"/>
        </w:pBdr>
        <w:rPr>
          <w:rFonts w:ascii="Arial" w:hAnsi="Arial" w:cs="Arial"/>
          <w:color w:val="000000" w:themeColor="text1"/>
          <w:sz w:val="22"/>
          <w:szCs w:val="22"/>
        </w:rPr>
      </w:pPr>
      <w:r w:rsidRPr="00F16D2E">
        <w:rPr>
          <w:rFonts w:ascii="Arial" w:hAnsi="Arial" w:cs="Arial"/>
          <w:color w:val="000000" w:themeColor="text1"/>
          <w:sz w:val="22"/>
          <w:szCs w:val="22"/>
        </w:rPr>
        <w:t>4. Key Results</w:t>
      </w:r>
    </w:p>
    <w:p w14:paraId="5F436709" w14:textId="77777777" w:rsidR="00A73B8E" w:rsidRPr="00F16D2E" w:rsidRDefault="00000000">
      <w:pPr>
        <w:rPr>
          <w:rFonts w:ascii="Arial" w:hAnsi="Arial" w:cs="Arial"/>
          <w:color w:val="000000" w:themeColor="text1"/>
        </w:rPr>
      </w:pPr>
      <w:r w:rsidRPr="00F16D2E">
        <w:rPr>
          <w:rFonts w:ascii="Arial" w:hAnsi="Arial" w:cs="Arial"/>
          <w:color w:val="000000" w:themeColor="text1"/>
        </w:rPr>
        <w:t>a. Value-at-Risk (1-Day Horizon)</w:t>
      </w:r>
      <w:r w:rsidRPr="00F16D2E">
        <w:rPr>
          <w:rFonts w:ascii="Arial" w:hAnsi="Arial" w:cs="Arial"/>
          <w:color w:val="000000" w:themeColor="text1"/>
        </w:rPr>
        <w:br/>
      </w:r>
    </w:p>
    <w:tbl>
      <w:tblPr>
        <w:tblStyle w:val="TableGrid"/>
        <w:tblW w:w="8833" w:type="dxa"/>
        <w:tblLook w:val="04A0" w:firstRow="1" w:lastRow="0" w:firstColumn="1" w:lastColumn="0" w:noHBand="0" w:noVBand="1"/>
      </w:tblPr>
      <w:tblGrid>
        <w:gridCol w:w="1752"/>
        <w:gridCol w:w="2099"/>
        <w:gridCol w:w="1572"/>
        <w:gridCol w:w="1838"/>
        <w:gridCol w:w="1572"/>
      </w:tblGrid>
      <w:tr w:rsidR="00591D61" w:rsidRPr="00F16D2E" w14:paraId="14A080D7" w14:textId="77777777" w:rsidTr="00591D61">
        <w:trPr>
          <w:trHeight w:val="713"/>
        </w:trPr>
        <w:tc>
          <w:tcPr>
            <w:tcW w:w="1752" w:type="dxa"/>
          </w:tcPr>
          <w:p w14:paraId="601956CB" w14:textId="13B8190C" w:rsidR="00591D61" w:rsidRPr="00F16D2E" w:rsidRDefault="00591D6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16D2E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Confidence Interval</w:t>
            </w:r>
          </w:p>
        </w:tc>
        <w:tc>
          <w:tcPr>
            <w:tcW w:w="2099" w:type="dxa"/>
          </w:tcPr>
          <w:p w14:paraId="3B6D0148" w14:textId="1D9D1125" w:rsidR="00591D61" w:rsidRPr="00F16D2E" w:rsidRDefault="00591D6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16D2E">
              <w:rPr>
                <w:rFonts w:ascii="Arial" w:hAnsi="Arial" w:cs="Arial"/>
                <w:b/>
                <w:bCs/>
                <w:color w:val="000000" w:themeColor="text1"/>
              </w:rPr>
              <w:t xml:space="preserve">Simulated </w:t>
            </w:r>
            <w:proofErr w:type="spellStart"/>
            <w:r w:rsidRPr="00F16D2E">
              <w:rPr>
                <w:rFonts w:ascii="Arial" w:hAnsi="Arial" w:cs="Arial"/>
                <w:b/>
                <w:bCs/>
                <w:color w:val="000000" w:themeColor="text1"/>
              </w:rPr>
              <w:t>VaR</w:t>
            </w:r>
            <w:proofErr w:type="spellEnd"/>
            <w:r w:rsidRPr="00F16D2E">
              <w:rPr>
                <w:rFonts w:ascii="Arial" w:hAnsi="Arial" w:cs="Arial"/>
                <w:b/>
                <w:bCs/>
                <w:color w:val="000000" w:themeColor="text1"/>
              </w:rPr>
              <w:t xml:space="preserve"> ($)</w:t>
            </w:r>
          </w:p>
        </w:tc>
        <w:tc>
          <w:tcPr>
            <w:tcW w:w="1572" w:type="dxa"/>
          </w:tcPr>
          <w:p w14:paraId="188DD641" w14:textId="18CF8DC1" w:rsidR="00591D61" w:rsidRPr="00F16D2E" w:rsidRDefault="00591D6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16D2E">
              <w:rPr>
                <w:rFonts w:ascii="Arial" w:hAnsi="Arial" w:cs="Arial"/>
                <w:b/>
                <w:bCs/>
                <w:color w:val="000000" w:themeColor="text1"/>
              </w:rPr>
              <w:t>Simulated CvaR ($)</w:t>
            </w:r>
          </w:p>
        </w:tc>
        <w:tc>
          <w:tcPr>
            <w:tcW w:w="1838" w:type="dxa"/>
          </w:tcPr>
          <w:p w14:paraId="5FD6FB00" w14:textId="76EA60BB" w:rsidR="00591D61" w:rsidRPr="00F16D2E" w:rsidRDefault="00591D6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16D2E">
              <w:rPr>
                <w:rFonts w:ascii="Arial" w:hAnsi="Arial" w:cs="Arial"/>
                <w:b/>
                <w:bCs/>
                <w:color w:val="000000" w:themeColor="text1"/>
              </w:rPr>
              <w:t>Delta-Normal VaR ($)</w:t>
            </w:r>
          </w:p>
        </w:tc>
        <w:tc>
          <w:tcPr>
            <w:tcW w:w="1572" w:type="dxa"/>
          </w:tcPr>
          <w:p w14:paraId="556812A7" w14:textId="10B10726" w:rsidR="00591D61" w:rsidRPr="00F16D2E" w:rsidRDefault="00591D61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16D2E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Delta-Normal CVaR ($)</w:t>
            </w:r>
          </w:p>
        </w:tc>
      </w:tr>
      <w:tr w:rsidR="00591D61" w:rsidRPr="00F16D2E" w14:paraId="3D050D3F" w14:textId="77777777" w:rsidTr="00591D61">
        <w:trPr>
          <w:trHeight w:val="250"/>
        </w:trPr>
        <w:tc>
          <w:tcPr>
            <w:tcW w:w="1752" w:type="dxa"/>
          </w:tcPr>
          <w:p w14:paraId="6C7B685B" w14:textId="0DB0B1FC" w:rsidR="00591D61" w:rsidRPr="00F16D2E" w:rsidRDefault="00591D6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95%</w:t>
            </w:r>
          </w:p>
        </w:tc>
        <w:tc>
          <w:tcPr>
            <w:tcW w:w="2099" w:type="dxa"/>
          </w:tcPr>
          <w:p w14:paraId="48803CA3" w14:textId="4214582E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$326,668</w:t>
            </w:r>
          </w:p>
        </w:tc>
        <w:tc>
          <w:tcPr>
            <w:tcW w:w="1572" w:type="dxa"/>
          </w:tcPr>
          <w:p w14:paraId="70F64467" w14:textId="5F5B1A04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$406,745</w:t>
            </w:r>
          </w:p>
        </w:tc>
        <w:tc>
          <w:tcPr>
            <w:tcW w:w="1838" w:type="dxa"/>
          </w:tcPr>
          <w:p w14:paraId="7AA324A9" w14:textId="6BAB68D3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$337,450</w:t>
            </w:r>
          </w:p>
        </w:tc>
        <w:tc>
          <w:tcPr>
            <w:tcW w:w="1572" w:type="dxa"/>
          </w:tcPr>
          <w:p w14:paraId="5FC2535D" w14:textId="4285D8AC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$423,176</w:t>
            </w:r>
          </w:p>
        </w:tc>
      </w:tr>
      <w:tr w:rsidR="00591D61" w:rsidRPr="00F16D2E" w14:paraId="50E742DF" w14:textId="77777777" w:rsidTr="00591D61">
        <w:trPr>
          <w:trHeight w:val="212"/>
        </w:trPr>
        <w:tc>
          <w:tcPr>
            <w:tcW w:w="1752" w:type="dxa"/>
          </w:tcPr>
          <w:p w14:paraId="05DA0A66" w14:textId="404C4C40" w:rsidR="00591D61" w:rsidRPr="00F16D2E" w:rsidRDefault="00591D6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99%</w:t>
            </w:r>
          </w:p>
        </w:tc>
        <w:tc>
          <w:tcPr>
            <w:tcW w:w="2099" w:type="dxa"/>
          </w:tcPr>
          <w:p w14:paraId="23029C2F" w14:textId="47E79C3C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$447,134</w:t>
            </w:r>
          </w:p>
        </w:tc>
        <w:tc>
          <w:tcPr>
            <w:tcW w:w="1572" w:type="dxa"/>
          </w:tcPr>
          <w:p w14:paraId="67BF3C52" w14:textId="367220B2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$506,764</w:t>
            </w:r>
          </w:p>
        </w:tc>
        <w:tc>
          <w:tcPr>
            <w:tcW w:w="1838" w:type="dxa"/>
          </w:tcPr>
          <w:p w14:paraId="362E8048" w14:textId="7FDE2B9D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$477,262</w:t>
            </w:r>
          </w:p>
        </w:tc>
        <w:tc>
          <w:tcPr>
            <w:tcW w:w="1572" w:type="dxa"/>
          </w:tcPr>
          <w:p w14:paraId="30FC0F64" w14:textId="6A94C11B" w:rsidR="00591D61" w:rsidRPr="00F16D2E" w:rsidRDefault="007A7AC1">
            <w:pPr>
              <w:rPr>
                <w:rFonts w:ascii="Arial" w:hAnsi="Arial" w:cs="Arial"/>
                <w:color w:val="000000" w:themeColor="text1"/>
              </w:rPr>
            </w:pPr>
            <w:r w:rsidRPr="00F16D2E">
              <w:rPr>
                <w:rFonts w:ascii="Arial" w:hAnsi="Arial" w:cs="Arial"/>
                <w:color w:val="000000" w:themeColor="text1"/>
              </w:rPr>
              <w:t>$546,782</w:t>
            </w:r>
          </w:p>
        </w:tc>
      </w:tr>
    </w:tbl>
    <w:p w14:paraId="6151B79E" w14:textId="34D16A93" w:rsidR="007A7AC1" w:rsidRPr="00F16D2E" w:rsidRDefault="00000000">
      <w:pPr>
        <w:rPr>
          <w:rFonts w:ascii="Arial" w:hAnsi="Arial" w:cs="Arial"/>
          <w:color w:val="000000" w:themeColor="text1"/>
        </w:rPr>
      </w:pPr>
      <w:r w:rsidRPr="00F16D2E">
        <w:rPr>
          <w:rFonts w:ascii="Arial" w:hAnsi="Arial" w:cs="Arial"/>
          <w:color w:val="000000" w:themeColor="text1"/>
        </w:rPr>
        <w:br/>
        <w:t xml:space="preserve">b. </w:t>
      </w:r>
      <w:r w:rsidR="00F16D2E" w:rsidRPr="00F16D2E">
        <w:rPr>
          <w:rFonts w:ascii="Arial" w:hAnsi="Arial" w:cs="Arial"/>
          <w:color w:val="000000" w:themeColor="text1"/>
        </w:rPr>
        <w:t>Stress Test Result</w:t>
      </w:r>
    </w:p>
    <w:p w14:paraId="701ABC91" w14:textId="7E7D15C1" w:rsidR="00F16D2E" w:rsidRPr="00F16D2E" w:rsidRDefault="00F16D2E" w:rsidP="00F16D2E">
      <w:pPr>
        <w:jc w:val="both"/>
        <w:rPr>
          <w:rFonts w:ascii="Arial" w:hAnsi="Arial" w:cs="Arial"/>
          <w:color w:val="000000" w:themeColor="text1"/>
        </w:rPr>
      </w:pPr>
      <w:r w:rsidRPr="00F16D2E">
        <w:rPr>
          <w:rFonts w:ascii="Arial" w:hAnsi="Arial" w:cs="Arial"/>
          <w:color w:val="000000"/>
        </w:rPr>
        <w:t>The stress test simulates the impact of a severe market downturn on the energy portfolio by applying extreme assumptions, including a threefold increase in asset volatilities, elevated correlations among commodities, and immediate negative price shocks for each asset. A new stressed covariance matrix is constructed and adjusted to be positive-definite to ensure valid Cholesky decomposition. Using this, 10,000 correlated return scenarios are generated and adjusted with the predefined shocks to reflect crisis-like conditions. These simulated returns are then used to compute the portfolio’s P&amp;L distribution under stress, from which key risk metrics such as the 95% stressed Value-at-Risk (</w:t>
      </w:r>
      <w:proofErr w:type="spellStart"/>
      <w:r w:rsidRPr="00F16D2E">
        <w:rPr>
          <w:rFonts w:ascii="Arial" w:hAnsi="Arial" w:cs="Arial"/>
          <w:color w:val="000000"/>
        </w:rPr>
        <w:t>VaR</w:t>
      </w:r>
      <w:proofErr w:type="spellEnd"/>
      <w:r w:rsidRPr="00F16D2E">
        <w:rPr>
          <w:rFonts w:ascii="Arial" w:hAnsi="Arial" w:cs="Arial"/>
          <w:color w:val="000000"/>
        </w:rPr>
        <w:t xml:space="preserve">), Conditional </w:t>
      </w:r>
      <w:proofErr w:type="spellStart"/>
      <w:r w:rsidRPr="00F16D2E">
        <w:rPr>
          <w:rFonts w:ascii="Arial" w:hAnsi="Arial" w:cs="Arial"/>
          <w:color w:val="000000"/>
        </w:rPr>
        <w:t>VaR</w:t>
      </w:r>
      <w:proofErr w:type="spellEnd"/>
      <w:r w:rsidRPr="00F16D2E">
        <w:rPr>
          <w:rFonts w:ascii="Arial" w:hAnsi="Arial" w:cs="Arial"/>
          <w:color w:val="000000"/>
        </w:rPr>
        <w:t xml:space="preserve"> (CVaR), and average loss are extracted, providing a forward-looking view of tail risk beyond what standard </w:t>
      </w:r>
      <w:proofErr w:type="spellStart"/>
      <w:r w:rsidRPr="00F16D2E">
        <w:rPr>
          <w:rFonts w:ascii="Arial" w:hAnsi="Arial" w:cs="Arial"/>
          <w:color w:val="000000"/>
        </w:rPr>
        <w:t>VaR</w:t>
      </w:r>
      <w:proofErr w:type="spellEnd"/>
      <w:r w:rsidRPr="00F16D2E">
        <w:rPr>
          <w:rFonts w:ascii="Arial" w:hAnsi="Arial" w:cs="Arial"/>
          <w:color w:val="000000"/>
        </w:rPr>
        <w:t xml:space="preserve"> captures.</w:t>
      </w:r>
    </w:p>
    <w:p w14:paraId="11CA444B" w14:textId="77777777" w:rsidR="00F16D2E" w:rsidRPr="00F16D2E" w:rsidRDefault="00F16D2E" w:rsidP="00F16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SG" w:eastAsia="zh-CN"/>
        </w:rPr>
      </w:pPr>
      <w:proofErr w:type="spellStart"/>
      <w:r w:rsidRPr="00F16D2E">
        <w:rPr>
          <w:rFonts w:ascii="Arial" w:eastAsia="Times New Roman" w:hAnsi="Arial" w:cs="Arial"/>
          <w:color w:val="000000"/>
          <w:lang w:val="en-SG" w:eastAsia="zh-CN"/>
        </w:rPr>
        <w:t>VaR</w:t>
      </w:r>
      <w:proofErr w:type="spellEnd"/>
      <w:r w:rsidRPr="00F16D2E">
        <w:rPr>
          <w:rFonts w:ascii="Arial" w:eastAsia="Times New Roman" w:hAnsi="Arial" w:cs="Arial"/>
          <w:color w:val="000000"/>
          <w:lang w:val="en-SG" w:eastAsia="zh-CN"/>
        </w:rPr>
        <w:t xml:space="preserve"> 95%: $3,905,556</w:t>
      </w:r>
    </w:p>
    <w:p w14:paraId="17AABAE7" w14:textId="77777777" w:rsidR="00F16D2E" w:rsidRPr="00F16D2E" w:rsidRDefault="00F16D2E" w:rsidP="00F16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SG" w:eastAsia="zh-CN"/>
        </w:rPr>
      </w:pPr>
      <w:r w:rsidRPr="00F16D2E">
        <w:rPr>
          <w:rFonts w:ascii="Arial" w:eastAsia="Times New Roman" w:hAnsi="Arial" w:cs="Arial"/>
          <w:color w:val="000000"/>
          <w:lang w:val="en-SG" w:eastAsia="zh-CN"/>
        </w:rPr>
        <w:t>CVaR 95%: $4,207,663</w:t>
      </w:r>
    </w:p>
    <w:p w14:paraId="0BD0F89A" w14:textId="09C1318C" w:rsidR="00F16D2E" w:rsidRPr="00F16D2E" w:rsidRDefault="00F16D2E" w:rsidP="00F16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SG" w:eastAsia="zh-CN"/>
        </w:rPr>
      </w:pPr>
      <w:r w:rsidRPr="00F16D2E">
        <w:rPr>
          <w:rFonts w:ascii="Arial" w:eastAsia="Times New Roman" w:hAnsi="Arial" w:cs="Arial"/>
          <w:color w:val="000000"/>
          <w:lang w:val="en-SG" w:eastAsia="zh-CN"/>
        </w:rPr>
        <w:t>Average P&amp;L: $-2,772,965</w:t>
      </w:r>
    </w:p>
    <w:p w14:paraId="72E1ECB7" w14:textId="77777777" w:rsidR="007A7AC1" w:rsidRDefault="007A7AC1" w:rsidP="007A7AC1"/>
    <w:p w14:paraId="7B3C1607" w14:textId="4594421E" w:rsidR="00F16D2E" w:rsidRPr="00F16D2E" w:rsidRDefault="00F16D2E" w:rsidP="007A7AC1">
      <w:r w:rsidRPr="00F16D2E">
        <w:rPr>
          <w:noProof/>
        </w:rPr>
        <w:drawing>
          <wp:inline distT="0" distB="0" distL="0" distR="0" wp14:anchorId="63B942B3" wp14:editId="195C6D52">
            <wp:extent cx="5581650" cy="2671311"/>
            <wp:effectExtent l="0" t="0" r="0" b="0"/>
            <wp:docPr id="1553244055" name="Picture 1" descr="A graph of a stress-fre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4055" name="Picture 1" descr="A graph of a stress-free distribu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837" cy="268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3FCD" w14:textId="01566A74" w:rsidR="00904315" w:rsidRPr="00F16D2E" w:rsidRDefault="00904315">
      <w:pPr>
        <w:rPr>
          <w:rFonts w:ascii="Arial" w:hAnsi="Arial" w:cs="Arial"/>
          <w:color w:val="000000" w:themeColor="text1"/>
        </w:rPr>
      </w:pPr>
    </w:p>
    <w:sectPr w:rsidR="00904315" w:rsidRPr="00F16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044667">
    <w:abstractNumId w:val="8"/>
  </w:num>
  <w:num w:numId="2" w16cid:durableId="43524018">
    <w:abstractNumId w:val="6"/>
  </w:num>
  <w:num w:numId="3" w16cid:durableId="126779297">
    <w:abstractNumId w:val="5"/>
  </w:num>
  <w:num w:numId="4" w16cid:durableId="563221241">
    <w:abstractNumId w:val="4"/>
  </w:num>
  <w:num w:numId="5" w16cid:durableId="1737556046">
    <w:abstractNumId w:val="7"/>
  </w:num>
  <w:num w:numId="6" w16cid:durableId="1891185369">
    <w:abstractNumId w:val="3"/>
  </w:num>
  <w:num w:numId="7" w16cid:durableId="504830875">
    <w:abstractNumId w:val="2"/>
  </w:num>
  <w:num w:numId="8" w16cid:durableId="1405909960">
    <w:abstractNumId w:val="1"/>
  </w:num>
  <w:num w:numId="9" w16cid:durableId="54614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743"/>
    <w:rsid w:val="0029639D"/>
    <w:rsid w:val="00326F90"/>
    <w:rsid w:val="004A4A54"/>
    <w:rsid w:val="00591D61"/>
    <w:rsid w:val="007A7AC1"/>
    <w:rsid w:val="00904315"/>
    <w:rsid w:val="00A73B8E"/>
    <w:rsid w:val="00AA1D8D"/>
    <w:rsid w:val="00B47730"/>
    <w:rsid w:val="00CB0664"/>
    <w:rsid w:val="00F16D2E"/>
    <w:rsid w:val="00F57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27E84"/>
  <w14:defaultImageDpi w14:val="300"/>
  <w15:docId w15:val="{2BAAA616-EBE4-3345-B2D5-F682CD32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A7A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DefaultParagraphFont"/>
    <w:rsid w:val="00F16D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D2E"/>
    <w:rPr>
      <w:rFonts w:ascii="Courier New" w:eastAsia="Times New Roman" w:hAnsi="Courier New" w:cs="Courier New"/>
      <w:sz w:val="20"/>
      <w:szCs w:val="20"/>
      <w:lang w:val="en-SG" w:eastAsia="zh-CN"/>
    </w:rPr>
  </w:style>
  <w:style w:type="paragraph" w:styleId="NormalWeb">
    <w:name w:val="Normal (Web)"/>
    <w:basedOn w:val="Normal"/>
    <w:uiPriority w:val="99"/>
    <w:semiHidden/>
    <w:unhideWhenUsed/>
    <w:rsid w:val="00F16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9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#ALEXANDER LIM HAN YANG#</cp:lastModifiedBy>
  <cp:revision>3</cp:revision>
  <dcterms:created xsi:type="dcterms:W3CDTF">2013-12-23T23:15:00Z</dcterms:created>
  <dcterms:modified xsi:type="dcterms:W3CDTF">2025-07-14T16:32:00Z</dcterms:modified>
  <cp:category/>
</cp:coreProperties>
</file>