
<file path=[Content_Types].xml><?xml version="1.0" encoding="utf-8"?>
<Types xmlns="http://schemas.openxmlformats.org/package/2006/content-types">
  <Default Extension="png" ContentType="image/png"/>
  <Default Extension="jpeg" ContentType="image/jpeg"/>
  <Default Extension="JPG" ContentType="image/.jp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939C2C">
      <w:pPr>
        <w:pStyle w:val="2"/>
        <w:bidi w:val="0"/>
        <w:jc w:val="center"/>
        <w:rPr>
          <w:rFonts w:hint="default"/>
          <w:sz w:val="32"/>
          <w:szCs w:val="20"/>
          <w:lang w:val="en-US" w:eastAsia="zh-CN"/>
        </w:rPr>
      </w:pPr>
      <w:r>
        <w:rPr>
          <w:rFonts w:hint="eastAsia"/>
          <w:sz w:val="32"/>
          <w:szCs w:val="20"/>
          <w:lang w:val="en-US" w:eastAsia="zh-CN"/>
        </w:rPr>
        <w:t>广东省梅州市平远县泗水镇金田村 规划细化</w:t>
      </w:r>
    </w:p>
    <w:p w14:paraId="209E897F">
      <w:pPr>
        <w:rPr>
          <w:rFonts w:hint="eastAsia" w:ascii="黑体" w:hAnsi="黑体" w:eastAsia="黑体" w:cs="黑体"/>
          <w:b/>
          <w:bCs/>
          <w:sz w:val="24"/>
          <w:szCs w:val="32"/>
          <w:lang w:val="en-US" w:eastAsia="zh-CN"/>
        </w:rPr>
      </w:pPr>
      <w:r>
        <w:rPr>
          <w:rFonts w:hint="eastAsia" w:ascii="黑体" w:hAnsi="黑体" w:eastAsia="黑体" w:cs="黑体"/>
          <w:b/>
          <w:bCs/>
          <w:sz w:val="24"/>
          <w:szCs w:val="32"/>
          <w:lang w:val="en-US" w:eastAsia="zh-CN"/>
        </w:rPr>
        <w:t>【产业规划】</w:t>
      </w:r>
    </w:p>
    <w:p w14:paraId="4A3DD50D">
      <w:pPr>
        <w:rPr>
          <w:rFonts w:hint="eastAsia" w:ascii="黑体" w:hAnsi="黑体" w:eastAsia="黑体" w:cs="黑体"/>
          <w:b/>
          <w:bCs/>
          <w:sz w:val="24"/>
          <w:szCs w:val="32"/>
          <w:lang w:val="en-US" w:eastAsia="zh-CN"/>
        </w:rPr>
      </w:pPr>
    </w:p>
    <w:p w14:paraId="533B7A96">
      <w:pPr>
        <w:numPr>
          <w:ilvl w:val="0"/>
          <w:numId w:val="1"/>
        </w:numPr>
        <w:rPr>
          <w:rFonts w:hint="eastAsia"/>
          <w:b/>
          <w:bCs/>
          <w:sz w:val="24"/>
          <w:szCs w:val="32"/>
          <w:lang w:val="en-US" w:eastAsia="zh-CN"/>
        </w:rPr>
      </w:pPr>
      <w:r>
        <w:rPr>
          <w:rFonts w:hint="eastAsia"/>
          <w:b/>
          <w:bCs/>
          <w:sz w:val="24"/>
          <w:szCs w:val="32"/>
          <w:lang w:val="en-US" w:eastAsia="zh-CN"/>
        </w:rPr>
        <w:t>产业发展定位</w:t>
      </w:r>
    </w:p>
    <w:p w14:paraId="4CF9A6BF">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长链条、多环节、高效益的岭南特色南药产业示范基地</w:t>
      </w:r>
    </w:p>
    <w:p w14:paraId="7309350D">
      <w:pPr>
        <w:widowControl w:val="0"/>
        <w:numPr>
          <w:ilvl w:val="0"/>
          <w:numId w:val="0"/>
        </w:numPr>
        <w:ind w:firstLine="420" w:firstLineChars="0"/>
        <w:jc w:val="both"/>
        <w:rPr>
          <w:rFonts w:hint="eastAsia"/>
          <w:sz w:val="22"/>
          <w:szCs w:val="22"/>
          <w:lang w:val="en-US" w:eastAsia="zh-CN"/>
        </w:rPr>
      </w:pPr>
    </w:p>
    <w:p w14:paraId="5C41DE3D">
      <w:pPr>
        <w:numPr>
          <w:ilvl w:val="0"/>
          <w:numId w:val="1"/>
        </w:numPr>
        <w:rPr>
          <w:rFonts w:hint="eastAsia"/>
          <w:b/>
          <w:bCs/>
          <w:sz w:val="24"/>
          <w:szCs w:val="32"/>
          <w:lang w:val="en-US" w:eastAsia="zh-CN"/>
        </w:rPr>
      </w:pPr>
      <w:r>
        <w:rPr>
          <w:rFonts w:hint="eastAsia"/>
          <w:b/>
          <w:bCs/>
          <w:sz w:val="24"/>
          <w:szCs w:val="32"/>
          <w:lang w:val="en-US" w:eastAsia="zh-CN"/>
        </w:rPr>
        <w:t>产业发展思路</w:t>
      </w:r>
    </w:p>
    <w:p w14:paraId="5D11EABB">
      <w:pPr>
        <w:widowControl w:val="0"/>
        <w:numPr>
          <w:ilvl w:val="0"/>
          <w:numId w:val="0"/>
        </w:numPr>
        <w:ind w:firstLine="420" w:firstLineChars="0"/>
        <w:jc w:val="both"/>
        <w:rPr>
          <w:rFonts w:hint="eastAsia"/>
          <w:b/>
          <w:bCs/>
          <w:sz w:val="22"/>
          <w:szCs w:val="22"/>
          <w:lang w:val="en-US" w:eastAsia="zh-CN"/>
        </w:rPr>
      </w:pPr>
      <w:r>
        <w:rPr>
          <w:rFonts w:hint="eastAsia"/>
          <w:b/>
          <w:bCs/>
          <w:sz w:val="22"/>
          <w:szCs w:val="22"/>
          <w:lang w:val="en-US" w:eastAsia="zh-CN"/>
        </w:rPr>
        <w:t>强链——强化现有环节，加大发展力度</w:t>
      </w:r>
    </w:p>
    <w:p w14:paraId="27F29C93">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（统筹考虑村落现有产业的预期效益，选择最有发展潜力的南药产业作为抓手，结合村落现状，强化现有的生产种植环节，加大发展力度，实现规模化种植，让南药种得好、种得精。）</w:t>
      </w:r>
    </w:p>
    <w:p w14:paraId="5450145A">
      <w:pPr>
        <w:widowControl w:val="0"/>
        <w:numPr>
          <w:ilvl w:val="0"/>
          <w:numId w:val="0"/>
        </w:numPr>
        <w:ind w:firstLine="420" w:firstLineChars="0"/>
        <w:jc w:val="both"/>
        <w:rPr>
          <w:rFonts w:hint="eastAsia"/>
          <w:sz w:val="22"/>
          <w:szCs w:val="22"/>
          <w:lang w:val="en-US" w:eastAsia="zh-CN"/>
        </w:rPr>
      </w:pPr>
    </w:p>
    <w:p w14:paraId="7F1B0930">
      <w:pPr>
        <w:widowControl w:val="0"/>
        <w:numPr>
          <w:ilvl w:val="0"/>
          <w:numId w:val="0"/>
        </w:numPr>
        <w:ind w:firstLine="420" w:firstLineChars="0"/>
        <w:jc w:val="both"/>
        <w:rPr>
          <w:rFonts w:hint="eastAsia"/>
          <w:b/>
          <w:bCs/>
          <w:sz w:val="22"/>
          <w:szCs w:val="22"/>
          <w:lang w:val="en-US" w:eastAsia="zh-CN"/>
        </w:rPr>
      </w:pPr>
      <w:r>
        <w:rPr>
          <w:rFonts w:hint="eastAsia"/>
          <w:b/>
          <w:bCs/>
          <w:sz w:val="22"/>
          <w:szCs w:val="22"/>
          <w:lang w:val="en-US" w:eastAsia="zh-CN"/>
        </w:rPr>
        <w:t>补链——围绕四大环节，补全南药产业链</w:t>
      </w:r>
    </w:p>
    <w:p w14:paraId="5C5FAF8E">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（在加大现有生产环节发展力度后，补全上游的研发环节、中游的加工环节、下游的展销环节，围绕四大环节发展产业，形成完整的产业链条，提升产业竞争优势。）</w:t>
      </w:r>
    </w:p>
    <w:p w14:paraId="07544A9A">
      <w:pPr>
        <w:widowControl w:val="0"/>
        <w:numPr>
          <w:ilvl w:val="0"/>
          <w:numId w:val="0"/>
        </w:numPr>
        <w:ind w:firstLine="420" w:firstLineChars="0"/>
        <w:jc w:val="both"/>
        <w:rPr>
          <w:rFonts w:hint="eastAsia"/>
          <w:sz w:val="22"/>
          <w:szCs w:val="22"/>
          <w:lang w:val="en-US" w:eastAsia="zh-CN"/>
        </w:rPr>
      </w:pPr>
    </w:p>
    <w:p w14:paraId="30214EA6">
      <w:pPr>
        <w:widowControl w:val="0"/>
        <w:numPr>
          <w:ilvl w:val="0"/>
          <w:numId w:val="0"/>
        </w:numPr>
        <w:ind w:firstLine="420" w:firstLineChars="0"/>
        <w:jc w:val="both"/>
        <w:rPr>
          <w:rFonts w:hint="eastAsia"/>
          <w:sz w:val="22"/>
          <w:szCs w:val="22"/>
          <w:lang w:val="en-US" w:eastAsia="zh-CN"/>
        </w:rPr>
      </w:pPr>
      <w:r>
        <w:rPr>
          <w:rFonts w:hint="eastAsia"/>
          <w:b/>
          <w:bCs/>
          <w:sz w:val="22"/>
          <w:szCs w:val="22"/>
          <w:lang w:val="en-US" w:eastAsia="zh-CN"/>
        </w:rPr>
        <w:t>拓链——发展关联产业，提升产业链复杂度</w:t>
      </w:r>
    </w:p>
    <w:p w14:paraId="2D8C1361">
      <w:pPr>
        <w:widowControl w:val="0"/>
        <w:numPr>
          <w:ilvl w:val="0"/>
          <w:numId w:val="0"/>
        </w:numPr>
        <w:ind w:firstLine="420" w:firstLineChars="0"/>
        <w:jc w:val="both"/>
        <w:rPr>
          <w:rFonts w:hint="default"/>
          <w:sz w:val="22"/>
          <w:szCs w:val="22"/>
          <w:lang w:val="en-US" w:eastAsia="zh-CN"/>
        </w:rPr>
      </w:pPr>
      <w:r>
        <w:rPr>
          <w:rFonts w:hint="eastAsia"/>
          <w:sz w:val="22"/>
          <w:szCs w:val="22"/>
          <w:lang w:val="en-US" w:eastAsia="zh-CN"/>
        </w:rPr>
        <w:t>（结合村落南药产业，拓宽产业链条，发挥村落剩余产能，拓展出乡村农旅、研学教育、文创加工等关联产业，提升产业链复杂度，形成金田特色南药产业发展体系，实现经济效益最大化。）</w:t>
      </w:r>
    </w:p>
    <w:p w14:paraId="43A9D862">
      <w:pPr>
        <w:widowControl w:val="0"/>
        <w:numPr>
          <w:ilvl w:val="0"/>
          <w:numId w:val="0"/>
        </w:numPr>
        <w:jc w:val="both"/>
        <w:rPr>
          <w:rFonts w:hint="eastAsia"/>
          <w:b/>
          <w:bCs/>
          <w:sz w:val="24"/>
          <w:szCs w:val="32"/>
          <w:lang w:val="en-US" w:eastAsia="zh-CN"/>
        </w:rPr>
      </w:pPr>
    </w:p>
    <w:p w14:paraId="1B972CE2">
      <w:pPr>
        <w:numPr>
          <w:ilvl w:val="0"/>
          <w:numId w:val="1"/>
        </w:numPr>
        <w:rPr>
          <w:rFonts w:hint="eastAsia"/>
          <w:b/>
          <w:bCs/>
          <w:sz w:val="24"/>
          <w:szCs w:val="32"/>
          <w:lang w:val="en-US" w:eastAsia="zh-CN"/>
        </w:rPr>
      </w:pPr>
      <w:r>
        <w:rPr>
          <w:rFonts w:hint="eastAsia"/>
          <w:b/>
          <w:bCs/>
          <w:sz w:val="24"/>
          <w:szCs w:val="32"/>
          <w:lang w:val="en-US" w:eastAsia="zh-CN"/>
        </w:rPr>
        <w:t>产业体系构建</w:t>
      </w:r>
    </w:p>
    <w:p w14:paraId="0939FEFC">
      <w:pPr>
        <w:widowControl w:val="0"/>
        <w:numPr>
          <w:ilvl w:val="0"/>
          <w:numId w:val="0"/>
        </w:numPr>
        <w:jc w:val="center"/>
      </w:pPr>
      <w:r>
        <w:drawing>
          <wp:inline distT="0" distB="0" distL="114300" distR="114300">
            <wp:extent cx="4265295" cy="2961640"/>
            <wp:effectExtent l="0" t="0" r="1905" b="1016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4"/>
                    <a:stretch>
                      <a:fillRect/>
                    </a:stretch>
                  </pic:blipFill>
                  <pic:spPr>
                    <a:xfrm>
                      <a:off x="0" y="0"/>
                      <a:ext cx="4265295" cy="2961640"/>
                    </a:xfrm>
                    <a:prstGeom prst="rect">
                      <a:avLst/>
                    </a:prstGeom>
                    <a:noFill/>
                    <a:ln>
                      <a:noFill/>
                    </a:ln>
                  </pic:spPr>
                </pic:pic>
              </a:graphicData>
            </a:graphic>
          </wp:inline>
        </w:drawing>
      </w:r>
    </w:p>
    <w:p w14:paraId="576B821B">
      <w:pPr>
        <w:widowControl w:val="0"/>
        <w:numPr>
          <w:ilvl w:val="0"/>
          <w:numId w:val="0"/>
        </w:numPr>
        <w:jc w:val="center"/>
        <w:rPr>
          <w:rFonts w:hint="eastAsia"/>
          <w:lang w:val="en-US" w:eastAsia="zh-CN"/>
        </w:rPr>
      </w:pPr>
    </w:p>
    <w:p w14:paraId="66FA0B2F">
      <w:pPr>
        <w:numPr>
          <w:ilvl w:val="0"/>
          <w:numId w:val="1"/>
        </w:numPr>
        <w:rPr>
          <w:rFonts w:hint="eastAsia"/>
          <w:b/>
          <w:bCs/>
          <w:sz w:val="24"/>
          <w:szCs w:val="32"/>
          <w:lang w:val="en-US" w:eastAsia="zh-CN"/>
        </w:rPr>
      </w:pPr>
      <w:r>
        <w:rPr>
          <w:rFonts w:hint="eastAsia"/>
          <w:b/>
          <w:bCs/>
          <w:sz w:val="24"/>
          <w:szCs w:val="32"/>
          <w:lang w:val="en-US" w:eastAsia="zh-CN"/>
        </w:rPr>
        <w:t>产业项目细化</w:t>
      </w:r>
    </w:p>
    <w:p w14:paraId="57118104">
      <w:pPr>
        <w:widowControl w:val="0"/>
        <w:numPr>
          <w:ilvl w:val="0"/>
          <w:numId w:val="0"/>
        </w:numPr>
        <w:ind w:firstLine="420" w:firstLineChars="0"/>
        <w:jc w:val="both"/>
        <w:rPr>
          <w:rFonts w:hint="eastAsia"/>
          <w:sz w:val="24"/>
          <w:szCs w:val="32"/>
          <w:lang w:val="en-US" w:eastAsia="zh-CN"/>
        </w:rPr>
      </w:pPr>
    </w:p>
    <w:p w14:paraId="71BAFE80">
      <w:pPr>
        <w:widowControl w:val="0"/>
        <w:numPr>
          <w:ilvl w:val="0"/>
          <w:numId w:val="0"/>
        </w:numPr>
        <w:ind w:firstLine="420" w:firstLineChars="0"/>
        <w:jc w:val="both"/>
        <w:rPr>
          <w:rFonts w:hint="eastAsia"/>
          <w:sz w:val="24"/>
          <w:szCs w:val="32"/>
          <w:lang w:val="en-US" w:eastAsia="zh-CN"/>
        </w:rPr>
      </w:pPr>
      <w:r>
        <w:rPr>
          <w:rFonts w:hint="eastAsia"/>
          <w:b/>
          <w:bCs/>
          <w:sz w:val="24"/>
          <w:szCs w:val="32"/>
          <w:lang w:val="en-US" w:eastAsia="zh-CN"/>
        </w:rPr>
        <w:t>第一产业</w:t>
      </w:r>
    </w:p>
    <w:p w14:paraId="24E89CBA">
      <w:pPr>
        <w:widowControl w:val="0"/>
        <w:numPr>
          <w:ilvl w:val="0"/>
          <w:numId w:val="2"/>
        </w:numPr>
        <w:ind w:firstLine="420" w:firstLineChars="0"/>
        <w:jc w:val="both"/>
        <w:rPr>
          <w:rFonts w:hint="eastAsia"/>
          <w:sz w:val="24"/>
          <w:szCs w:val="32"/>
          <w:lang w:val="en-US" w:eastAsia="zh-CN"/>
        </w:rPr>
      </w:pPr>
      <w:r>
        <w:rPr>
          <w:rFonts w:hint="eastAsia"/>
          <w:sz w:val="24"/>
          <w:szCs w:val="32"/>
          <w:lang w:val="en-US" w:eastAsia="zh-CN"/>
        </w:rPr>
        <w:t>种植特色南药：</w:t>
      </w:r>
    </w:p>
    <w:p w14:paraId="48C1FADF">
      <w:pPr>
        <w:widowControl w:val="0"/>
        <w:numPr>
          <w:ilvl w:val="0"/>
          <w:numId w:val="0"/>
        </w:numPr>
        <w:ind w:firstLine="420" w:firstLineChars="0"/>
        <w:jc w:val="both"/>
        <w:rPr>
          <w:rFonts w:hint="eastAsia"/>
          <w:sz w:val="24"/>
          <w:szCs w:val="32"/>
          <w:lang w:val="en-US" w:eastAsia="zh-CN"/>
        </w:rPr>
      </w:pPr>
      <w:r>
        <w:rPr>
          <w:rFonts w:hint="eastAsia"/>
          <w:sz w:val="24"/>
          <w:szCs w:val="32"/>
          <w:lang w:val="en-US" w:eastAsia="zh-CN"/>
        </w:rPr>
        <w:t>山地种植：牛大力、岗梅、五指毛桃</w:t>
      </w:r>
    </w:p>
    <w:p w14:paraId="5513BB46">
      <w:pPr>
        <w:widowControl w:val="0"/>
        <w:numPr>
          <w:ilvl w:val="0"/>
          <w:numId w:val="0"/>
        </w:numPr>
        <w:ind w:firstLine="420" w:firstLineChars="0"/>
        <w:jc w:val="both"/>
        <w:rPr>
          <w:rFonts w:hint="eastAsia"/>
          <w:sz w:val="24"/>
          <w:szCs w:val="32"/>
          <w:lang w:val="en-US" w:eastAsia="zh-CN"/>
        </w:rPr>
      </w:pPr>
      <w:r>
        <w:rPr>
          <w:rFonts w:hint="eastAsia"/>
          <w:sz w:val="24"/>
          <w:szCs w:val="32"/>
          <w:lang w:val="en-US" w:eastAsia="zh-CN"/>
        </w:rPr>
        <w:t>平地种植：红豆杉、金钱草、草珊瑚、石参、溪黄草、金银花</w:t>
      </w:r>
    </w:p>
    <w:p w14:paraId="706E7C52">
      <w:pPr>
        <w:widowControl w:val="0"/>
        <w:numPr>
          <w:ilvl w:val="0"/>
          <w:numId w:val="2"/>
        </w:numPr>
        <w:ind w:left="0" w:leftChars="0" w:firstLine="420" w:firstLineChars="0"/>
        <w:jc w:val="both"/>
        <w:rPr>
          <w:rFonts w:hint="eastAsia"/>
          <w:sz w:val="24"/>
          <w:szCs w:val="32"/>
          <w:lang w:val="en-US" w:eastAsia="zh-CN"/>
        </w:rPr>
      </w:pPr>
      <w:r>
        <w:rPr>
          <w:rFonts w:hint="eastAsia"/>
          <w:sz w:val="24"/>
          <w:szCs w:val="32"/>
          <w:lang w:val="en-US" w:eastAsia="zh-CN"/>
        </w:rPr>
        <w:t>凭依南药养殖家禽：利用南药作为鸡饲料添加剂，提升鸡肉品质与产蛋率，预防鸡病，保障养殖效益。</w:t>
      </w:r>
    </w:p>
    <w:p w14:paraId="4025C900">
      <w:pPr>
        <w:widowControl w:val="0"/>
        <w:numPr>
          <w:ilvl w:val="0"/>
          <w:numId w:val="2"/>
        </w:numPr>
        <w:ind w:left="0" w:leftChars="0" w:firstLine="420" w:firstLineChars="0"/>
        <w:jc w:val="both"/>
        <w:rPr>
          <w:rFonts w:hint="eastAsia"/>
          <w:sz w:val="24"/>
          <w:szCs w:val="32"/>
          <w:lang w:val="en-US" w:eastAsia="zh-CN"/>
        </w:rPr>
      </w:pPr>
      <w:r>
        <w:rPr>
          <w:rFonts w:hint="eastAsia"/>
          <w:sz w:val="24"/>
          <w:szCs w:val="32"/>
          <w:lang w:val="en-US" w:eastAsia="zh-CN"/>
        </w:rPr>
        <w:t>农业废物利用发电：通过农业废弃物资源化利用，实现绿色能源生产。</w:t>
      </w:r>
    </w:p>
    <w:p w14:paraId="672DD58E">
      <w:pPr>
        <w:widowControl w:val="0"/>
        <w:numPr>
          <w:ilvl w:val="0"/>
          <w:numId w:val="2"/>
        </w:numPr>
        <w:ind w:left="0" w:leftChars="0" w:firstLine="420" w:firstLineChars="0"/>
        <w:jc w:val="both"/>
        <w:rPr>
          <w:rFonts w:hint="eastAsia"/>
          <w:sz w:val="24"/>
          <w:szCs w:val="32"/>
          <w:lang w:val="en-US" w:eastAsia="zh-CN"/>
        </w:rPr>
      </w:pPr>
      <w:r>
        <w:rPr>
          <w:rFonts w:hint="eastAsia"/>
          <w:sz w:val="24"/>
          <w:szCs w:val="32"/>
          <w:lang w:val="en-US" w:eastAsia="zh-CN"/>
        </w:rPr>
        <w:t>南药特色农产品开发：结合南药种植与养殖，打造特色农产品品牌。</w:t>
      </w:r>
    </w:p>
    <w:p w14:paraId="3A120E5C">
      <w:pPr>
        <w:widowControl w:val="0"/>
        <w:numPr>
          <w:ilvl w:val="0"/>
          <w:numId w:val="0"/>
        </w:numPr>
        <w:ind w:firstLine="420" w:firstLineChars="0"/>
        <w:jc w:val="both"/>
        <w:rPr>
          <w:rFonts w:hint="eastAsia"/>
          <w:sz w:val="24"/>
          <w:szCs w:val="32"/>
          <w:lang w:val="en-US" w:eastAsia="zh-CN"/>
        </w:rPr>
      </w:pPr>
      <w:r>
        <w:rPr>
          <w:rFonts w:hint="eastAsia"/>
          <w:sz w:val="24"/>
          <w:szCs w:val="32"/>
          <w:lang w:val="en-US" w:eastAsia="zh-CN"/>
        </w:rPr>
        <w:pict>
          <v:rect id="_x0000_i1025" o:spt="1" style="height:1.5pt;width:432pt;" fillcolor="#F8FAFF" filled="t" stroked="f" coordsize="21600,21600" o:hr="t" o:hrstd="t" o:hrnoshade="t" o:hralign="center">
            <v:path/>
            <v:fill on="t" focussize="0,0"/>
            <v:stroke on="f"/>
            <v:imagedata o:title=""/>
            <o:lock v:ext="edit"/>
            <w10:wrap type="none"/>
            <w10:anchorlock/>
          </v:rect>
        </w:pict>
      </w:r>
    </w:p>
    <w:p w14:paraId="30FA0A18">
      <w:pPr>
        <w:widowControl w:val="0"/>
        <w:numPr>
          <w:ilvl w:val="0"/>
          <w:numId w:val="0"/>
        </w:numPr>
        <w:ind w:firstLine="420" w:firstLineChars="0"/>
        <w:jc w:val="both"/>
        <w:rPr>
          <w:rFonts w:hint="eastAsia"/>
          <w:b/>
          <w:bCs/>
          <w:sz w:val="24"/>
          <w:szCs w:val="32"/>
          <w:lang w:val="en-US" w:eastAsia="zh-CN"/>
        </w:rPr>
      </w:pPr>
      <w:r>
        <w:rPr>
          <w:rFonts w:hint="eastAsia"/>
          <w:b/>
          <w:bCs/>
          <w:sz w:val="24"/>
          <w:szCs w:val="32"/>
          <w:lang w:val="en-US" w:eastAsia="zh-CN"/>
        </w:rPr>
        <w:t>第二产业</w:t>
      </w:r>
    </w:p>
    <w:p w14:paraId="50DE7D5C">
      <w:pPr>
        <w:widowControl w:val="0"/>
        <w:numPr>
          <w:ilvl w:val="0"/>
          <w:numId w:val="0"/>
        </w:numPr>
        <w:ind w:firstLine="420" w:firstLineChars="0"/>
        <w:jc w:val="both"/>
        <w:rPr>
          <w:rFonts w:hint="eastAsia"/>
          <w:sz w:val="24"/>
          <w:szCs w:val="32"/>
          <w:lang w:val="en-US" w:eastAsia="zh-CN"/>
        </w:rPr>
      </w:pPr>
      <w:r>
        <w:rPr>
          <w:rFonts w:hint="eastAsia"/>
          <w:sz w:val="24"/>
          <w:szCs w:val="32"/>
          <w:lang w:val="en-US" w:eastAsia="zh-CN"/>
        </w:rPr>
        <w:t>1. 药材加工：组建中药加工合作社，推动各自然村对特色药材进行粗加工（如杜前溪黄草加工园）。在肩丰、园寨、杜前村建设南药精加工工坊，构建集中药交易、饮片制剂生产、仓储物流为一体的现代中药加工产业体系。</w:t>
      </w:r>
    </w:p>
    <w:p w14:paraId="09AC3B40">
      <w:pPr>
        <w:widowControl w:val="0"/>
        <w:numPr>
          <w:ilvl w:val="0"/>
          <w:numId w:val="0"/>
        </w:numPr>
        <w:ind w:firstLine="420" w:firstLineChars="0"/>
        <w:jc w:val="both"/>
        <w:rPr>
          <w:rFonts w:hint="eastAsia"/>
          <w:sz w:val="24"/>
          <w:szCs w:val="32"/>
          <w:lang w:val="en-US" w:eastAsia="zh-CN"/>
        </w:rPr>
      </w:pPr>
      <w:r>
        <w:rPr>
          <w:rFonts w:hint="eastAsia"/>
          <w:sz w:val="24"/>
          <w:szCs w:val="32"/>
          <w:lang w:val="en-US" w:eastAsia="zh-CN"/>
        </w:rPr>
        <w:t>2. 加工企业溯源体系：建立药材加工溯源体系，确保产品质量与安全。</w:t>
      </w:r>
    </w:p>
    <w:p w14:paraId="43854FDA">
      <w:pPr>
        <w:widowControl w:val="0"/>
        <w:numPr>
          <w:ilvl w:val="0"/>
          <w:numId w:val="0"/>
        </w:numPr>
        <w:ind w:firstLine="420" w:firstLineChars="0"/>
        <w:jc w:val="both"/>
        <w:rPr>
          <w:rFonts w:hint="eastAsia"/>
          <w:sz w:val="24"/>
          <w:szCs w:val="32"/>
          <w:lang w:val="en-US" w:eastAsia="zh-CN"/>
        </w:rPr>
      </w:pPr>
      <w:r>
        <w:rPr>
          <w:rFonts w:hint="eastAsia"/>
          <w:sz w:val="24"/>
          <w:szCs w:val="32"/>
          <w:lang w:val="en-US" w:eastAsia="zh-CN"/>
        </w:rPr>
        <w:pict>
          <v:rect id="_x0000_i1026" o:spt="1" style="height:1.5pt;width:432pt;" fillcolor="#F8FAFF" filled="t" stroked="f" coordsize="21600,21600" o:hr="t" o:hrstd="t" o:hrnoshade="t" o:hralign="center">
            <v:path/>
            <v:fill on="t" focussize="0,0"/>
            <v:stroke on="f"/>
            <v:imagedata o:title=""/>
            <o:lock v:ext="edit"/>
            <w10:wrap type="none"/>
            <w10:anchorlock/>
          </v:rect>
        </w:pict>
      </w:r>
    </w:p>
    <w:p w14:paraId="2545CA50">
      <w:pPr>
        <w:widowControl w:val="0"/>
        <w:numPr>
          <w:ilvl w:val="0"/>
          <w:numId w:val="0"/>
        </w:numPr>
        <w:ind w:firstLine="420" w:firstLineChars="0"/>
        <w:jc w:val="both"/>
        <w:rPr>
          <w:rFonts w:hint="eastAsia"/>
          <w:b/>
          <w:bCs/>
          <w:sz w:val="24"/>
          <w:szCs w:val="32"/>
          <w:lang w:val="en-US" w:eastAsia="zh-CN"/>
        </w:rPr>
      </w:pPr>
      <w:r>
        <w:rPr>
          <w:rFonts w:hint="eastAsia"/>
          <w:b/>
          <w:bCs/>
          <w:sz w:val="24"/>
          <w:szCs w:val="32"/>
          <w:lang w:val="en-US" w:eastAsia="zh-CN"/>
        </w:rPr>
        <w:t>第三产业</w:t>
      </w:r>
    </w:p>
    <w:p w14:paraId="3F24DDFD">
      <w:pPr>
        <w:widowControl w:val="0"/>
        <w:numPr>
          <w:ilvl w:val="0"/>
          <w:numId w:val="0"/>
        </w:numPr>
        <w:ind w:firstLine="420" w:firstLineChars="0"/>
        <w:jc w:val="both"/>
        <w:rPr>
          <w:rFonts w:hint="eastAsia"/>
          <w:sz w:val="24"/>
          <w:szCs w:val="32"/>
          <w:lang w:val="en-US" w:eastAsia="zh-CN"/>
        </w:rPr>
      </w:pPr>
      <w:r>
        <w:rPr>
          <w:rFonts w:hint="eastAsia"/>
          <w:sz w:val="24"/>
          <w:szCs w:val="32"/>
          <w:lang w:val="en-US" w:eastAsia="zh-CN"/>
        </w:rPr>
        <w:t>1. 特色农贸</w:t>
      </w:r>
    </w:p>
    <w:p w14:paraId="00434ED2">
      <w:pPr>
        <w:widowControl w:val="0"/>
        <w:numPr>
          <w:ilvl w:val="0"/>
          <w:numId w:val="0"/>
        </w:numPr>
        <w:ind w:firstLine="420" w:firstLineChars="0"/>
        <w:jc w:val="both"/>
        <w:rPr>
          <w:rFonts w:hint="eastAsia"/>
          <w:sz w:val="24"/>
          <w:szCs w:val="32"/>
          <w:lang w:val="en-US" w:eastAsia="zh-CN"/>
        </w:rPr>
      </w:pPr>
      <w:r>
        <w:rPr>
          <w:rFonts w:hint="eastAsia"/>
          <w:sz w:val="24"/>
          <w:szCs w:val="32"/>
          <w:lang w:val="en-US" w:eastAsia="zh-CN"/>
        </w:rPr>
        <w:t>农夫集市：汇集村内特色产品，打造线下交易市场、特产商店和市集活动，形成金田特色农贸品牌。</w:t>
      </w:r>
    </w:p>
    <w:p w14:paraId="6F29C4AA">
      <w:pPr>
        <w:widowControl w:val="0"/>
        <w:numPr>
          <w:ilvl w:val="0"/>
          <w:numId w:val="0"/>
        </w:numPr>
        <w:ind w:firstLine="420" w:firstLineChars="0"/>
        <w:jc w:val="both"/>
        <w:rPr>
          <w:rFonts w:hint="eastAsia"/>
          <w:sz w:val="24"/>
          <w:szCs w:val="32"/>
          <w:lang w:val="en-US" w:eastAsia="zh-CN"/>
        </w:rPr>
      </w:pPr>
      <w:r>
        <w:rPr>
          <w:rFonts w:hint="eastAsia"/>
          <w:sz w:val="24"/>
          <w:szCs w:val="32"/>
          <w:lang w:val="en-US" w:eastAsia="zh-CN"/>
        </w:rPr>
        <w:t>IP形象打造：设计金田特色IP形象，用于产品包装和纪念品，提升品牌辨识度。</w:t>
      </w:r>
    </w:p>
    <w:p w14:paraId="3FCB9B23">
      <w:pPr>
        <w:widowControl w:val="0"/>
        <w:numPr>
          <w:ilvl w:val="0"/>
          <w:numId w:val="0"/>
        </w:numPr>
        <w:ind w:firstLine="420" w:firstLineChars="0"/>
        <w:jc w:val="both"/>
        <w:rPr>
          <w:rFonts w:hint="eastAsia"/>
          <w:sz w:val="24"/>
          <w:szCs w:val="32"/>
          <w:lang w:val="en-US" w:eastAsia="zh-CN"/>
        </w:rPr>
      </w:pPr>
      <w:r>
        <w:rPr>
          <w:rFonts w:hint="eastAsia"/>
          <w:sz w:val="24"/>
          <w:szCs w:val="32"/>
          <w:lang w:val="en-US" w:eastAsia="zh-CN"/>
        </w:rPr>
        <w:t>乡村电商：利用网络直播、短视频带货，开设特色网店，完善物流仓储配套，降低物流成本。</w:t>
      </w:r>
    </w:p>
    <w:p w14:paraId="139A8912">
      <w:pPr>
        <w:widowControl w:val="0"/>
        <w:numPr>
          <w:ilvl w:val="0"/>
          <w:numId w:val="0"/>
        </w:numPr>
        <w:ind w:firstLine="420" w:firstLineChars="0"/>
        <w:jc w:val="both"/>
        <w:rPr>
          <w:rFonts w:hint="eastAsia"/>
          <w:sz w:val="24"/>
          <w:szCs w:val="32"/>
          <w:lang w:val="en-US" w:eastAsia="zh-CN"/>
        </w:rPr>
      </w:pPr>
      <w:r>
        <w:rPr>
          <w:rFonts w:hint="eastAsia"/>
          <w:sz w:val="24"/>
          <w:szCs w:val="32"/>
          <w:lang w:val="en-US" w:eastAsia="zh-CN"/>
        </w:rPr>
        <w:t>2. 休闲农业</w:t>
      </w:r>
    </w:p>
    <w:p w14:paraId="77FD1CC5">
      <w:pPr>
        <w:widowControl w:val="0"/>
        <w:numPr>
          <w:ilvl w:val="0"/>
          <w:numId w:val="0"/>
        </w:numPr>
        <w:ind w:firstLine="420" w:firstLineChars="0"/>
        <w:jc w:val="both"/>
        <w:rPr>
          <w:rFonts w:hint="eastAsia"/>
          <w:sz w:val="24"/>
          <w:szCs w:val="32"/>
          <w:lang w:val="en-US" w:eastAsia="zh-CN"/>
        </w:rPr>
      </w:pPr>
      <w:r>
        <w:rPr>
          <w:rFonts w:hint="eastAsia"/>
          <w:sz w:val="24"/>
          <w:szCs w:val="32"/>
          <w:lang w:val="en-US" w:eastAsia="zh-CN"/>
        </w:rPr>
        <w:t>农事体验：在黄竹村组织游客参与南药种植、家禽养殖、农业采摘等活动。</w:t>
      </w:r>
    </w:p>
    <w:p w14:paraId="0291BED5">
      <w:pPr>
        <w:widowControl w:val="0"/>
        <w:numPr>
          <w:ilvl w:val="0"/>
          <w:numId w:val="0"/>
        </w:numPr>
        <w:ind w:firstLine="420" w:firstLineChars="0"/>
        <w:jc w:val="both"/>
        <w:rPr>
          <w:rFonts w:hint="eastAsia"/>
          <w:sz w:val="24"/>
          <w:szCs w:val="32"/>
          <w:lang w:val="en-US" w:eastAsia="zh-CN"/>
        </w:rPr>
      </w:pPr>
      <w:r>
        <w:rPr>
          <w:rFonts w:hint="eastAsia"/>
          <w:sz w:val="24"/>
          <w:szCs w:val="32"/>
          <w:lang w:val="en-US" w:eastAsia="zh-CN"/>
        </w:rPr>
        <w:t>加工体验：在肩丰村发展旅游纪念品加工产业，增强游客互动体验。</w:t>
      </w:r>
    </w:p>
    <w:p w14:paraId="4813AF7C">
      <w:pPr>
        <w:widowControl w:val="0"/>
        <w:numPr>
          <w:ilvl w:val="0"/>
          <w:numId w:val="0"/>
        </w:numPr>
        <w:ind w:firstLine="420" w:firstLineChars="0"/>
        <w:jc w:val="both"/>
        <w:rPr>
          <w:rFonts w:hint="eastAsia"/>
          <w:sz w:val="24"/>
          <w:szCs w:val="32"/>
          <w:lang w:val="en-US" w:eastAsia="zh-CN"/>
        </w:rPr>
      </w:pPr>
      <w:r>
        <w:rPr>
          <w:rFonts w:hint="eastAsia"/>
          <w:sz w:val="24"/>
          <w:szCs w:val="32"/>
          <w:lang w:val="en-US" w:eastAsia="zh-CN"/>
        </w:rPr>
        <w:t>3. 生态旅游</w:t>
      </w:r>
    </w:p>
    <w:p w14:paraId="3E5A720D">
      <w:pPr>
        <w:widowControl w:val="0"/>
        <w:numPr>
          <w:ilvl w:val="0"/>
          <w:numId w:val="0"/>
        </w:numPr>
        <w:ind w:firstLine="420" w:firstLineChars="0"/>
        <w:jc w:val="both"/>
        <w:rPr>
          <w:rFonts w:hint="eastAsia"/>
          <w:sz w:val="24"/>
          <w:szCs w:val="32"/>
          <w:lang w:val="en-US" w:eastAsia="zh-CN"/>
        </w:rPr>
      </w:pPr>
      <w:r>
        <w:rPr>
          <w:rFonts w:hint="eastAsia"/>
          <w:sz w:val="24"/>
          <w:szCs w:val="32"/>
          <w:lang w:val="en-US" w:eastAsia="zh-CN"/>
        </w:rPr>
        <w:t>田家民宿：改造营子里村民房屋，建设特色田间民宿。</w:t>
      </w:r>
    </w:p>
    <w:p w14:paraId="2E05FD50">
      <w:pPr>
        <w:widowControl w:val="0"/>
        <w:numPr>
          <w:ilvl w:val="0"/>
          <w:numId w:val="0"/>
        </w:numPr>
        <w:ind w:firstLine="420" w:firstLineChars="0"/>
        <w:jc w:val="both"/>
        <w:rPr>
          <w:rFonts w:hint="eastAsia"/>
          <w:sz w:val="24"/>
          <w:szCs w:val="32"/>
          <w:lang w:val="en-US" w:eastAsia="zh-CN"/>
        </w:rPr>
      </w:pPr>
      <w:r>
        <w:rPr>
          <w:rFonts w:hint="eastAsia"/>
          <w:sz w:val="24"/>
          <w:szCs w:val="32"/>
          <w:lang w:val="en-US" w:eastAsia="zh-CN"/>
        </w:rPr>
        <w:t>南药养生：结合民宿分布，提供南药养生服务与产品。</w:t>
      </w:r>
    </w:p>
    <w:p w14:paraId="0F54076C">
      <w:pPr>
        <w:widowControl w:val="0"/>
        <w:numPr>
          <w:ilvl w:val="0"/>
          <w:numId w:val="0"/>
        </w:numPr>
        <w:ind w:firstLine="420" w:firstLineChars="0"/>
        <w:jc w:val="both"/>
        <w:rPr>
          <w:rFonts w:hint="eastAsia"/>
          <w:sz w:val="24"/>
          <w:szCs w:val="32"/>
          <w:lang w:val="en-US" w:eastAsia="zh-CN"/>
        </w:rPr>
      </w:pPr>
      <w:r>
        <w:rPr>
          <w:rFonts w:hint="eastAsia"/>
          <w:sz w:val="24"/>
          <w:szCs w:val="32"/>
          <w:lang w:val="en-US" w:eastAsia="zh-CN"/>
        </w:rPr>
        <w:t>森林康养：在自然林区设置森林驿站和森林公园，提供康养服务。</w:t>
      </w:r>
    </w:p>
    <w:p w14:paraId="4BAA07C2">
      <w:pPr>
        <w:widowControl w:val="0"/>
        <w:numPr>
          <w:ilvl w:val="0"/>
          <w:numId w:val="0"/>
        </w:numPr>
        <w:ind w:firstLine="420" w:firstLineChars="0"/>
        <w:jc w:val="both"/>
        <w:rPr>
          <w:rFonts w:hint="eastAsia"/>
          <w:sz w:val="24"/>
          <w:szCs w:val="32"/>
          <w:lang w:val="en-US" w:eastAsia="zh-CN"/>
        </w:rPr>
      </w:pPr>
      <w:r>
        <w:rPr>
          <w:rFonts w:hint="eastAsia"/>
          <w:sz w:val="24"/>
          <w:szCs w:val="32"/>
          <w:lang w:val="en-US" w:eastAsia="zh-CN"/>
        </w:rPr>
        <w:t>古树观光：保护古檀树林，打造观光线路和互动空间，讲好古檀故事。</w:t>
      </w:r>
    </w:p>
    <w:p w14:paraId="211CBCE5">
      <w:pPr>
        <w:widowControl w:val="0"/>
        <w:numPr>
          <w:ilvl w:val="0"/>
          <w:numId w:val="0"/>
        </w:numPr>
        <w:ind w:firstLine="420" w:firstLineChars="0"/>
        <w:jc w:val="both"/>
        <w:rPr>
          <w:rFonts w:hint="eastAsia"/>
          <w:sz w:val="24"/>
          <w:szCs w:val="32"/>
          <w:lang w:val="en-US" w:eastAsia="zh-CN"/>
        </w:rPr>
      </w:pPr>
    </w:p>
    <w:p w14:paraId="282C0D63">
      <w:pPr>
        <w:widowControl w:val="0"/>
        <w:numPr>
          <w:ilvl w:val="0"/>
          <w:numId w:val="0"/>
        </w:numPr>
        <w:ind w:firstLine="420" w:firstLineChars="0"/>
        <w:jc w:val="both"/>
        <w:rPr>
          <w:rFonts w:hint="eastAsia"/>
          <w:sz w:val="24"/>
          <w:szCs w:val="32"/>
          <w:lang w:val="en-US" w:eastAsia="zh-CN"/>
        </w:rPr>
      </w:pPr>
    </w:p>
    <w:p w14:paraId="7AB38848">
      <w:pPr>
        <w:numPr>
          <w:ilvl w:val="0"/>
          <w:numId w:val="1"/>
        </w:numPr>
        <w:rPr>
          <w:rFonts w:hint="eastAsia"/>
          <w:b/>
          <w:bCs/>
          <w:sz w:val="24"/>
          <w:szCs w:val="32"/>
          <w:lang w:val="en-US" w:eastAsia="zh-CN"/>
        </w:rPr>
      </w:pPr>
      <w:r>
        <w:rPr>
          <w:rFonts w:hint="eastAsia"/>
          <w:b/>
          <w:bCs/>
          <w:sz w:val="24"/>
          <w:szCs w:val="32"/>
          <w:lang w:val="en-US" w:eastAsia="zh-CN"/>
        </w:rPr>
        <w:t>产业项目布局</w:t>
      </w:r>
    </w:p>
    <w:p w14:paraId="5843B7CC">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三心带动，五区联动。</w:t>
      </w:r>
    </w:p>
    <w:p w14:paraId="79127A76">
      <w:pPr>
        <w:widowControl w:val="0"/>
        <w:numPr>
          <w:ilvl w:val="0"/>
          <w:numId w:val="0"/>
        </w:numPr>
        <w:ind w:firstLine="420" w:firstLineChars="0"/>
        <w:jc w:val="both"/>
        <w:rPr>
          <w:rFonts w:hint="eastAsia"/>
          <w:sz w:val="22"/>
          <w:szCs w:val="22"/>
          <w:lang w:val="en-US" w:eastAsia="zh-CN"/>
        </w:rPr>
      </w:pPr>
    </w:p>
    <w:p w14:paraId="79EE41FF">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园寨加工中心：主要发展南药与预制菜加工，同时，打造产研基地，助力成果，服务农业生产,带动金田西部发展。</w:t>
      </w:r>
    </w:p>
    <w:p w14:paraId="2DBEBBBC">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黄竹旅游中心：金田村游客服务中心，主要提供餐饮、特产销售等服务。作为全村旅游业的核心区，带动金田中部、北部发展。</w:t>
      </w:r>
    </w:p>
    <w:p w14:paraId="20416117">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肩丰加工中心：以南药加工、林业加工为核心，带动金田东部发展。</w:t>
      </w:r>
    </w:p>
    <w:p w14:paraId="4744F7DC">
      <w:pPr>
        <w:widowControl w:val="0"/>
        <w:numPr>
          <w:ilvl w:val="0"/>
          <w:numId w:val="0"/>
        </w:numPr>
        <w:ind w:firstLine="420" w:firstLineChars="0"/>
        <w:jc w:val="both"/>
        <w:rPr>
          <w:rFonts w:hint="eastAsia"/>
          <w:sz w:val="22"/>
          <w:szCs w:val="22"/>
          <w:lang w:val="en-US" w:eastAsia="zh-CN"/>
        </w:rPr>
      </w:pPr>
    </w:p>
    <w:p w14:paraId="7D807CB4">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农业生产区：以合作经营的形式进行规模化的农业生产。</w:t>
      </w:r>
    </w:p>
    <w:p w14:paraId="19F20DBC">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林下开发区：以家庭农场为形态探索种养一体的林下经济模式</w:t>
      </w:r>
    </w:p>
    <w:p w14:paraId="234FBCC6">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休闲农业区：综合特产销售、田园餐饮、农事体验，发展休闲农业，聚集乡村人气。</w:t>
      </w:r>
    </w:p>
    <w:p w14:paraId="22569E2F">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康养旅游区：依托金田森林、田园自然资源禀赋，以康养为目的，结合南药文化，发展乡村民宿，留住乡村人气。</w:t>
      </w:r>
    </w:p>
    <w:p w14:paraId="42E4DE64">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森林保育区：十分珍惜，切实保护金田林业资源，守护好金田发展的金山银山。</w:t>
      </w:r>
    </w:p>
    <w:p w14:paraId="39C96492">
      <w:pPr>
        <w:widowControl w:val="0"/>
        <w:numPr>
          <w:ilvl w:val="0"/>
          <w:numId w:val="0"/>
        </w:numPr>
        <w:ind w:firstLine="420" w:firstLineChars="0"/>
        <w:jc w:val="both"/>
        <w:rPr>
          <w:rFonts w:hint="eastAsia"/>
          <w:sz w:val="22"/>
          <w:szCs w:val="22"/>
          <w:lang w:val="en-US" w:eastAsia="zh-CN"/>
        </w:rPr>
      </w:pPr>
    </w:p>
    <w:p w14:paraId="73FC0B10">
      <w:pPr>
        <w:widowControl w:val="0"/>
        <w:numPr>
          <w:ilvl w:val="0"/>
          <w:numId w:val="0"/>
        </w:numPr>
        <w:jc w:val="both"/>
        <w:rPr>
          <w:rFonts w:hint="eastAsia"/>
          <w:b/>
          <w:bCs/>
          <w:sz w:val="24"/>
          <w:szCs w:val="32"/>
          <w:lang w:val="en-US" w:eastAsia="zh-CN"/>
        </w:rPr>
      </w:pPr>
    </w:p>
    <w:p w14:paraId="4624DE42">
      <w:pPr>
        <w:widowControl w:val="0"/>
        <w:numPr>
          <w:ilvl w:val="0"/>
          <w:numId w:val="0"/>
        </w:numPr>
        <w:jc w:val="both"/>
        <w:rPr>
          <w:rFonts w:hint="eastAsia"/>
          <w:b/>
          <w:bCs/>
          <w:sz w:val="24"/>
          <w:szCs w:val="32"/>
          <w:lang w:val="en-US" w:eastAsia="zh-CN"/>
        </w:rPr>
      </w:pPr>
      <w:r>
        <w:drawing>
          <wp:inline distT="0" distB="0" distL="114300" distR="114300">
            <wp:extent cx="5215255" cy="4443095"/>
            <wp:effectExtent l="0" t="0" r="12065" b="6985"/>
            <wp:docPr id="4" name="图片 3" descr="88cc60486b2eafa40a20459bb5c4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88cc60486b2eafa40a20459bb5c4365"/>
                    <pic:cNvPicPr>
                      <a:picLocks noChangeAspect="1"/>
                    </pic:cNvPicPr>
                  </pic:nvPicPr>
                  <pic:blipFill>
                    <a:blip r:embed="rId5">
                      <a:clrChange>
                        <a:clrFrom>
                          <a:srgbClr val="FFFFFF">
                            <a:alpha val="100000"/>
                          </a:srgbClr>
                        </a:clrFrom>
                        <a:clrTo>
                          <a:srgbClr val="FFFFFF">
                            <a:alpha val="100000"/>
                            <a:alpha val="0"/>
                          </a:srgbClr>
                        </a:clrTo>
                      </a:clrChange>
                    </a:blip>
                    <a:srcRect l="16979"/>
                    <a:stretch>
                      <a:fillRect/>
                    </a:stretch>
                  </pic:blipFill>
                  <pic:spPr>
                    <a:xfrm>
                      <a:off x="0" y="0"/>
                      <a:ext cx="5215255" cy="4443095"/>
                    </a:xfrm>
                    <a:prstGeom prst="rect">
                      <a:avLst/>
                    </a:prstGeom>
                  </pic:spPr>
                </pic:pic>
              </a:graphicData>
            </a:graphic>
          </wp:inline>
        </w:drawing>
      </w:r>
    </w:p>
    <w:p w14:paraId="0BAFFB32">
      <w:pPr>
        <w:widowControl w:val="0"/>
        <w:numPr>
          <w:ilvl w:val="0"/>
          <w:numId w:val="0"/>
        </w:numPr>
        <w:jc w:val="both"/>
        <w:rPr>
          <w:rFonts w:hint="default"/>
          <w:sz w:val="24"/>
          <w:szCs w:val="32"/>
          <w:lang w:val="en-US" w:eastAsia="zh-CN"/>
        </w:rPr>
      </w:pPr>
      <w:r>
        <w:drawing>
          <wp:inline distT="0" distB="0" distL="114300" distR="114300">
            <wp:extent cx="5272405" cy="2900045"/>
            <wp:effectExtent l="0" t="0" r="635" b="1079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6"/>
                    <a:stretch>
                      <a:fillRect/>
                    </a:stretch>
                  </pic:blipFill>
                  <pic:spPr>
                    <a:xfrm>
                      <a:off x="0" y="0"/>
                      <a:ext cx="5272405" cy="2900045"/>
                    </a:xfrm>
                    <a:prstGeom prst="rect">
                      <a:avLst/>
                    </a:prstGeom>
                    <a:noFill/>
                    <a:ln>
                      <a:noFill/>
                    </a:ln>
                  </pic:spPr>
                </pic:pic>
              </a:graphicData>
            </a:graphic>
          </wp:inline>
        </w:drawing>
      </w:r>
      <w:r>
        <w:drawing>
          <wp:inline distT="0" distB="0" distL="114300" distR="114300">
            <wp:extent cx="5271770" cy="2901950"/>
            <wp:effectExtent l="0" t="0" r="1270" b="889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7"/>
                    <a:stretch>
                      <a:fillRect/>
                    </a:stretch>
                  </pic:blipFill>
                  <pic:spPr>
                    <a:xfrm>
                      <a:off x="0" y="0"/>
                      <a:ext cx="5271770" cy="2901950"/>
                    </a:xfrm>
                    <a:prstGeom prst="rect">
                      <a:avLst/>
                    </a:prstGeom>
                    <a:noFill/>
                    <a:ln>
                      <a:noFill/>
                    </a:ln>
                  </pic:spPr>
                </pic:pic>
              </a:graphicData>
            </a:graphic>
          </wp:inline>
        </w:drawing>
      </w:r>
      <w:r>
        <w:drawing>
          <wp:inline distT="0" distB="0" distL="114300" distR="114300">
            <wp:extent cx="5273675" cy="1722755"/>
            <wp:effectExtent l="0" t="0" r="14605" b="1460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8"/>
                    <a:stretch>
                      <a:fillRect/>
                    </a:stretch>
                  </pic:blipFill>
                  <pic:spPr>
                    <a:xfrm>
                      <a:off x="0" y="0"/>
                      <a:ext cx="5273675" cy="1722755"/>
                    </a:xfrm>
                    <a:prstGeom prst="rect">
                      <a:avLst/>
                    </a:prstGeom>
                    <a:noFill/>
                    <a:ln>
                      <a:noFill/>
                    </a:ln>
                  </pic:spPr>
                </pic:pic>
              </a:graphicData>
            </a:graphic>
          </wp:inline>
        </w:drawing>
      </w:r>
    </w:p>
    <w:p w14:paraId="48EE0672">
      <w:pPr>
        <w:widowControl w:val="0"/>
        <w:numPr>
          <w:ilvl w:val="0"/>
          <w:numId w:val="0"/>
        </w:numPr>
        <w:jc w:val="both"/>
        <w:rPr>
          <w:rFonts w:hint="default"/>
          <w:sz w:val="24"/>
          <w:szCs w:val="32"/>
          <w:lang w:val="en-US" w:eastAsia="zh-CN"/>
        </w:rPr>
      </w:pPr>
    </w:p>
    <w:p w14:paraId="16C0DE27">
      <w:pPr>
        <w:ind w:firstLine="420" w:firstLineChars="0"/>
        <w:rPr>
          <w:rFonts w:hint="default"/>
          <w:lang w:val="en-US" w:eastAsia="zh-CN"/>
        </w:rPr>
      </w:pPr>
    </w:p>
    <w:p w14:paraId="12E3A826">
      <w:pPr>
        <w:ind w:firstLine="420" w:firstLineChars="0"/>
        <w:rPr>
          <w:rFonts w:hint="default"/>
          <w:lang w:val="en-US" w:eastAsia="zh-CN"/>
        </w:rPr>
      </w:pPr>
    </w:p>
    <w:p w14:paraId="55068D56">
      <w:pPr>
        <w:rPr>
          <w:rFonts w:hint="eastAsia" w:ascii="黑体" w:hAnsi="黑体" w:eastAsia="黑体" w:cs="黑体"/>
          <w:b/>
          <w:bCs/>
          <w:sz w:val="24"/>
          <w:szCs w:val="32"/>
          <w:lang w:val="en-US" w:eastAsia="zh-CN"/>
        </w:rPr>
      </w:pPr>
      <w:r>
        <w:rPr>
          <w:rFonts w:hint="eastAsia" w:ascii="黑体" w:hAnsi="黑体" w:eastAsia="黑体" w:cs="黑体"/>
          <w:b/>
          <w:bCs/>
          <w:sz w:val="24"/>
          <w:szCs w:val="32"/>
          <w:lang w:val="en-US" w:eastAsia="zh-CN"/>
        </w:rPr>
        <w:t>【村庄总体规划】</w:t>
      </w:r>
    </w:p>
    <w:p w14:paraId="489365A7">
      <w:pPr>
        <w:rPr>
          <w:rFonts w:hint="default"/>
          <w:lang w:val="en-US" w:eastAsia="zh-CN"/>
        </w:rPr>
      </w:pPr>
    </w:p>
    <w:p w14:paraId="474952D1">
      <w:pPr>
        <w:numPr>
          <w:ilvl w:val="0"/>
          <w:numId w:val="3"/>
        </w:numPr>
        <w:rPr>
          <w:rFonts w:hint="eastAsia"/>
          <w:b/>
          <w:bCs/>
          <w:sz w:val="24"/>
          <w:szCs w:val="32"/>
          <w:lang w:val="en-US" w:eastAsia="zh-CN"/>
        </w:rPr>
      </w:pPr>
      <w:r>
        <w:rPr>
          <w:rFonts w:hint="eastAsia"/>
          <w:b/>
          <w:bCs/>
          <w:sz w:val="24"/>
          <w:szCs w:val="32"/>
          <w:lang w:val="en-US" w:eastAsia="zh-CN"/>
        </w:rPr>
        <w:t>空间格局</w:t>
      </w:r>
    </w:p>
    <w:p w14:paraId="1C21E266">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“二心二轴四区”</w:t>
      </w:r>
    </w:p>
    <w:p w14:paraId="5D466950">
      <w:pPr>
        <w:widowControl w:val="0"/>
        <w:numPr>
          <w:ilvl w:val="0"/>
          <w:numId w:val="0"/>
        </w:numPr>
        <w:ind w:firstLine="420" w:firstLineChars="0"/>
        <w:jc w:val="both"/>
        <w:rPr>
          <w:rFonts w:hint="eastAsia"/>
          <w:sz w:val="22"/>
          <w:szCs w:val="22"/>
          <w:lang w:val="en-US" w:eastAsia="zh-CN"/>
        </w:rPr>
      </w:pPr>
    </w:p>
    <w:p w14:paraId="189D17C5">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园寨村民中心：位于金田中南部，主要面对村民提供服务，提供村庄治理、产业发展、医疗卫生等用地。</w:t>
      </w:r>
    </w:p>
    <w:p w14:paraId="402C737F">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黄竹游客中心：位于金田中东部，主要面对游客提供服务，提供文化宣传、旅游服务等用地。</w:t>
      </w:r>
    </w:p>
    <w:p w14:paraId="23BD8EDD">
      <w:pPr>
        <w:widowControl w:val="0"/>
        <w:numPr>
          <w:ilvl w:val="0"/>
          <w:numId w:val="0"/>
        </w:numPr>
        <w:ind w:firstLine="420" w:firstLineChars="0"/>
        <w:jc w:val="both"/>
        <w:rPr>
          <w:rFonts w:hint="eastAsia"/>
          <w:sz w:val="22"/>
          <w:szCs w:val="22"/>
          <w:lang w:val="en-US" w:eastAsia="zh-CN"/>
        </w:rPr>
      </w:pPr>
    </w:p>
    <w:p w14:paraId="262A844E">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旅游休闲轴：依托优质生态资源和南药产业，形成以森林康养和休闲农业为代表的旅游休闲区域。</w:t>
      </w:r>
    </w:p>
    <w:p w14:paraId="069D62D4">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综合发展轴：沿122乡道，推动形成以南药种植为中心的集农业生产、农产加工为一体的产业聚集区域,，以及综合服务发展区域。</w:t>
      </w:r>
    </w:p>
    <w:p w14:paraId="777E06A5">
      <w:pPr>
        <w:widowControl w:val="0"/>
        <w:numPr>
          <w:ilvl w:val="0"/>
          <w:numId w:val="0"/>
        </w:numPr>
        <w:ind w:firstLine="420" w:firstLineChars="0"/>
        <w:jc w:val="both"/>
        <w:rPr>
          <w:rFonts w:hint="eastAsia"/>
          <w:sz w:val="22"/>
          <w:szCs w:val="22"/>
          <w:lang w:val="en-US" w:eastAsia="zh-CN"/>
        </w:rPr>
      </w:pPr>
    </w:p>
    <w:p w14:paraId="4439F671">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田园生活区：位于金田村中部，为村民聚居的区域，引导村庄宅基地集中建设，集约发展。</w:t>
      </w:r>
    </w:p>
    <w:p w14:paraId="10C01574">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产业发展区：位于金田村东北部与西南部，布局生产加工中心，形成以南药种植为中心的产业发展区域。</w:t>
      </w:r>
    </w:p>
    <w:p w14:paraId="415D741B">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青山林海区：位于金田村西部与东部，拥有丰富的林海资源，是金田村的生态基石。</w:t>
      </w:r>
    </w:p>
    <w:p w14:paraId="2DF4DE6C">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旅游观光区：位于金田村中部和北部，发展集生态旅游、休闲农业的农旅发展区域。</w:t>
      </w:r>
    </w:p>
    <w:p w14:paraId="0C4CA22B">
      <w:pPr>
        <w:widowControl w:val="0"/>
        <w:numPr>
          <w:ilvl w:val="0"/>
          <w:numId w:val="0"/>
        </w:numPr>
        <w:jc w:val="both"/>
        <w:rPr>
          <w:rFonts w:hint="eastAsia"/>
          <w:sz w:val="22"/>
          <w:szCs w:val="22"/>
          <w:lang w:val="en-US" w:eastAsia="zh-CN"/>
        </w:rPr>
      </w:pPr>
      <w:r>
        <w:drawing>
          <wp:inline distT="0" distB="0" distL="114300" distR="114300">
            <wp:extent cx="5036185" cy="4648200"/>
            <wp:effectExtent l="0" t="0" r="12065" b="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9"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7433"/>
                    <a:stretch>
                      <a:fillRect/>
                    </a:stretch>
                  </pic:blipFill>
                  <pic:spPr>
                    <a:xfrm>
                      <a:off x="0" y="0"/>
                      <a:ext cx="5036185" cy="4648200"/>
                    </a:xfrm>
                    <a:prstGeom prst="rect">
                      <a:avLst/>
                    </a:prstGeom>
                  </pic:spPr>
                </pic:pic>
              </a:graphicData>
            </a:graphic>
          </wp:inline>
        </w:drawing>
      </w:r>
    </w:p>
    <w:p w14:paraId="6B6894FF">
      <w:pPr>
        <w:widowControl w:val="0"/>
        <w:numPr>
          <w:ilvl w:val="0"/>
          <w:numId w:val="0"/>
        </w:numPr>
        <w:ind w:firstLine="420" w:firstLineChars="0"/>
        <w:jc w:val="both"/>
        <w:rPr>
          <w:rFonts w:hint="eastAsia"/>
          <w:sz w:val="22"/>
          <w:szCs w:val="22"/>
          <w:lang w:val="en-US" w:eastAsia="zh-CN"/>
        </w:rPr>
      </w:pPr>
    </w:p>
    <w:p w14:paraId="34A0B5C7">
      <w:pPr>
        <w:numPr>
          <w:ilvl w:val="0"/>
          <w:numId w:val="3"/>
        </w:numPr>
        <w:rPr>
          <w:rFonts w:hint="eastAsia"/>
          <w:b/>
          <w:bCs/>
          <w:sz w:val="24"/>
          <w:szCs w:val="32"/>
          <w:lang w:val="en-US" w:eastAsia="zh-CN"/>
        </w:rPr>
      </w:pPr>
      <w:r>
        <w:rPr>
          <w:rFonts w:hint="eastAsia"/>
          <w:b/>
          <w:bCs/>
          <w:sz w:val="24"/>
          <w:szCs w:val="32"/>
          <w:lang w:val="en-US" w:eastAsia="zh-CN"/>
        </w:rPr>
        <w:t>土地利用规划</w:t>
      </w:r>
    </w:p>
    <w:p w14:paraId="7712256B">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土地总用地面积约2352.89公顷，其中，</w:t>
      </w:r>
    </w:p>
    <w:p w14:paraId="7EB605F4">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农业用地1949.63公顷，占比达 82.83%；</w:t>
      </w:r>
    </w:p>
    <w:p w14:paraId="07744A50">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 xml:space="preserve">建设用地34.03公顷，占比达1.45%； </w:t>
      </w:r>
    </w:p>
    <w:p w14:paraId="2B17900B">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生态用地369.23公顷，占比达15.69%。</w:t>
      </w:r>
    </w:p>
    <w:p w14:paraId="6BA93881">
      <w:pPr>
        <w:widowControl w:val="0"/>
        <w:numPr>
          <w:ilvl w:val="0"/>
          <w:numId w:val="0"/>
        </w:numPr>
        <w:jc w:val="both"/>
        <w:rPr>
          <w:rFonts w:hint="eastAsia"/>
          <w:b/>
          <w:bCs/>
          <w:sz w:val="24"/>
          <w:szCs w:val="32"/>
          <w:lang w:val="en-US" w:eastAsia="zh-CN"/>
        </w:rPr>
      </w:pPr>
      <w:r>
        <w:drawing>
          <wp:inline distT="0" distB="0" distL="114300" distR="114300">
            <wp:extent cx="5017135" cy="3602990"/>
            <wp:effectExtent l="0" t="0" r="12065" b="1651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0"/>
                    <a:stretch>
                      <a:fillRect/>
                    </a:stretch>
                  </pic:blipFill>
                  <pic:spPr>
                    <a:xfrm>
                      <a:off x="0" y="0"/>
                      <a:ext cx="5017135" cy="3602990"/>
                    </a:xfrm>
                    <a:prstGeom prst="rect">
                      <a:avLst/>
                    </a:prstGeom>
                  </pic:spPr>
                </pic:pic>
              </a:graphicData>
            </a:graphic>
          </wp:inline>
        </w:drawing>
      </w:r>
    </w:p>
    <w:p w14:paraId="3FC58362">
      <w:pPr>
        <w:widowControl w:val="0"/>
        <w:numPr>
          <w:numId w:val="0"/>
        </w:numPr>
        <w:jc w:val="both"/>
        <w:rPr>
          <w:rFonts w:hint="eastAsia"/>
          <w:b/>
          <w:bCs/>
          <w:sz w:val="24"/>
          <w:szCs w:val="32"/>
          <w:lang w:val="en-US" w:eastAsia="zh-CN"/>
        </w:rPr>
      </w:pPr>
    </w:p>
    <w:p w14:paraId="2657E4E5">
      <w:pPr>
        <w:numPr>
          <w:ilvl w:val="0"/>
          <w:numId w:val="3"/>
        </w:numPr>
        <w:rPr>
          <w:rFonts w:hint="eastAsia"/>
          <w:b/>
          <w:bCs/>
          <w:sz w:val="24"/>
          <w:szCs w:val="32"/>
          <w:lang w:val="en-US" w:eastAsia="zh-CN"/>
        </w:rPr>
      </w:pPr>
      <w:r>
        <w:rPr>
          <w:rFonts w:hint="eastAsia"/>
          <w:b/>
          <w:bCs/>
          <w:sz w:val="24"/>
          <w:szCs w:val="32"/>
          <w:lang w:val="en-US" w:eastAsia="zh-CN"/>
        </w:rPr>
        <w:t>村庄用地控制</w:t>
      </w:r>
    </w:p>
    <w:p w14:paraId="70CB1B06">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村庄增长边界线：在尊重现有村庄自然村分布情况的基础，合理划定村庄增长边界，引导村庄集约发展。</w:t>
      </w:r>
    </w:p>
    <w:p w14:paraId="5297CCA1">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生态保护红线：属于严格控制保护开发区域，严禁开发建设，为保障村庄基本生态安全，维护生态系统的科学性、完整性和连续性，防止村庄建设无序蔓延，在尊重村庄自然生态系统和合理环境承载力的前提下，根据有关法律、法规，结台村庄实际情况划定的生态保护红线。</w:t>
      </w:r>
    </w:p>
    <w:p w14:paraId="2271E76D">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永久基本农田保护控制线：永久基本农田实行永久性保护，永久基本农田的划定和管护，必须采取行政、法律、经济、技术等综合手段，加强管理，以实现永久基本农田的质量、数量、生态等全方面管护。</w:t>
      </w:r>
    </w:p>
    <w:p w14:paraId="52C2CE77">
      <w:pPr>
        <w:widowControl w:val="0"/>
        <w:numPr>
          <w:numId w:val="0"/>
        </w:numPr>
        <w:jc w:val="both"/>
        <w:rPr>
          <w:rFonts w:hint="eastAsia"/>
          <w:b/>
          <w:bCs/>
          <w:sz w:val="24"/>
          <w:szCs w:val="32"/>
          <w:lang w:val="en-US" w:eastAsia="zh-CN"/>
        </w:rPr>
      </w:pPr>
    </w:p>
    <w:p w14:paraId="09930299">
      <w:pPr>
        <w:numPr>
          <w:ilvl w:val="0"/>
          <w:numId w:val="3"/>
        </w:numPr>
        <w:rPr>
          <w:rFonts w:hint="eastAsia"/>
          <w:b/>
          <w:bCs/>
          <w:sz w:val="24"/>
          <w:szCs w:val="32"/>
          <w:lang w:val="en-US" w:eastAsia="zh-CN"/>
        </w:rPr>
      </w:pPr>
      <w:r>
        <w:rPr>
          <w:rFonts w:hint="eastAsia"/>
          <w:b/>
          <w:bCs/>
          <w:sz w:val="24"/>
          <w:szCs w:val="32"/>
          <w:lang w:val="en-US" w:eastAsia="zh-CN"/>
        </w:rPr>
        <w:t>道路交通规划</w:t>
      </w:r>
    </w:p>
    <w:p w14:paraId="1D3A580D">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对外交通主要通过122乡道连接，同时对宽度不足8米的原有乡道进行拓宽。</w:t>
      </w:r>
    </w:p>
    <w:p w14:paraId="3FE72635">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内部交通主要通过村道相连接，本次道路交通规划将村道划分为两个等级， 一级村道宽度为6米，二级村道宽度为4米。同时对宽度不足6米的原有村道也进行了拓宽处理。</w:t>
      </w:r>
    </w:p>
    <w:p w14:paraId="62C1E54C">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对于金田村原有的停车场和公交车站进行了保留和修缮。同时结合了村庄现有发展诉求和发展目标，完善了村内公共交通系统。同时，对村中的122乡道以及重要的村道进行保留和新增路灯设施。</w:t>
      </w:r>
    </w:p>
    <w:p w14:paraId="5488230F">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依托金田村丰富的森林资源，在保护好森岭资源的前提下，根据地形的起伏，在田坑村西侧规划森林步道，营仔村作为森林步道最重要的起始服务点。森林步道通过穿越生态保护较好、原真性较好的森林区域，增加游客体验自然的机会。同时，利用金田村丰富的农田资源与水文条件，构建农田步道与滨水步道，满足不同人群对步道系统的需求。</w:t>
      </w:r>
    </w:p>
    <w:p w14:paraId="488B4C6F">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农田步道穿越了园寨、营仔、黄竹三个主要农业生产区，并且沿途设置驿站、研学基地，让游客体验农事生产的乐趣。</w:t>
      </w:r>
    </w:p>
    <w:p w14:paraId="71ECBA7B">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滨水步道沿金田河园寨—黄竹段设立，并依据自然条件设立观景平台与亲水平台。</w:t>
      </w:r>
    </w:p>
    <w:p w14:paraId="7F836DD7">
      <w:pPr>
        <w:widowControl w:val="0"/>
        <w:numPr>
          <w:numId w:val="0"/>
        </w:numPr>
        <w:jc w:val="both"/>
        <w:rPr>
          <w:rFonts w:hint="eastAsia"/>
          <w:b/>
          <w:bCs/>
          <w:sz w:val="24"/>
          <w:szCs w:val="32"/>
          <w:lang w:val="en-US" w:eastAsia="zh-CN"/>
        </w:rPr>
      </w:pPr>
    </w:p>
    <w:p w14:paraId="2E4406DE">
      <w:pPr>
        <w:numPr>
          <w:ilvl w:val="0"/>
          <w:numId w:val="3"/>
        </w:numPr>
        <w:rPr>
          <w:rFonts w:hint="eastAsia"/>
          <w:b/>
          <w:bCs/>
          <w:sz w:val="24"/>
          <w:szCs w:val="32"/>
          <w:lang w:val="en-US" w:eastAsia="zh-CN"/>
        </w:rPr>
      </w:pPr>
      <w:r>
        <w:rPr>
          <w:rFonts w:hint="eastAsia"/>
          <w:b/>
          <w:bCs/>
          <w:sz w:val="24"/>
          <w:szCs w:val="32"/>
          <w:lang w:val="en-US" w:eastAsia="zh-CN"/>
        </w:rPr>
        <w:t>公共服务设施规划</w:t>
      </w:r>
    </w:p>
    <w:p w14:paraId="3538D698">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基于村庄发展需求，对村庄公共服务设施进行集约化建设。在园寨，改造废弃小学，集中建设包括公共服务中心、文化服务中心、养老中心在内的村民服务综合体，与原有的村委会、卫生站等形成村庄公共服务的集聚区。在黄竹，结合地理区位，建设游客服务中心。</w:t>
      </w:r>
    </w:p>
    <w:p w14:paraId="2098DE73">
      <w:pPr>
        <w:widowControl w:val="0"/>
        <w:numPr>
          <w:ilvl w:val="0"/>
          <w:numId w:val="0"/>
        </w:numPr>
        <w:ind w:firstLine="420" w:firstLineChars="0"/>
        <w:jc w:val="both"/>
        <w:rPr>
          <w:rFonts w:hint="eastAsia"/>
          <w:b/>
          <w:bCs/>
          <w:sz w:val="24"/>
          <w:szCs w:val="32"/>
          <w:lang w:val="en-US" w:eastAsia="zh-CN"/>
        </w:rPr>
      </w:pPr>
      <w:r>
        <w:rPr>
          <w:rFonts w:hint="eastAsia"/>
          <w:sz w:val="22"/>
          <w:szCs w:val="22"/>
          <w:lang w:val="en-US" w:eastAsia="zh-CN"/>
        </w:rPr>
        <w:t>同时，基于公共服务的普惠性，考虑各自然村的现状，适当补充了一些篮球场、健身设施和垃圾收集点，更好满足村民日常生活的需要。</w:t>
      </w:r>
    </w:p>
    <w:p w14:paraId="57673305">
      <w:pPr>
        <w:widowControl w:val="0"/>
        <w:numPr>
          <w:numId w:val="0"/>
        </w:numPr>
        <w:jc w:val="both"/>
        <w:rPr>
          <w:rFonts w:hint="eastAsia"/>
          <w:b/>
          <w:bCs/>
          <w:sz w:val="24"/>
          <w:szCs w:val="32"/>
          <w:lang w:val="en-US" w:eastAsia="zh-CN"/>
        </w:rPr>
      </w:pPr>
    </w:p>
    <w:p w14:paraId="152F326B">
      <w:pPr>
        <w:numPr>
          <w:ilvl w:val="0"/>
          <w:numId w:val="3"/>
        </w:numPr>
        <w:rPr>
          <w:rFonts w:hint="eastAsia"/>
          <w:b/>
          <w:bCs/>
          <w:sz w:val="24"/>
          <w:szCs w:val="32"/>
          <w:lang w:val="en-US" w:eastAsia="zh-CN"/>
        </w:rPr>
      </w:pPr>
      <w:r>
        <w:rPr>
          <w:rFonts w:hint="eastAsia"/>
          <w:b/>
          <w:bCs/>
          <w:sz w:val="24"/>
          <w:szCs w:val="32"/>
          <w:lang w:val="en-US" w:eastAsia="zh-CN"/>
        </w:rPr>
        <w:t>基础设施规划</w:t>
      </w:r>
    </w:p>
    <w:p w14:paraId="3B541220">
      <w:pPr>
        <w:widowControl w:val="0"/>
        <w:numPr>
          <w:ilvl w:val="0"/>
          <w:numId w:val="0"/>
        </w:numPr>
        <w:ind w:firstLine="420" w:firstLineChars="0"/>
        <w:jc w:val="both"/>
        <w:rPr>
          <w:rFonts w:hint="eastAsia"/>
          <w:b/>
          <w:bCs/>
          <w:sz w:val="24"/>
          <w:szCs w:val="32"/>
          <w:lang w:val="en-US" w:eastAsia="zh-CN"/>
        </w:rPr>
      </w:pPr>
      <w:r>
        <w:rPr>
          <w:rFonts w:hint="eastAsia"/>
          <w:sz w:val="22"/>
          <w:szCs w:val="22"/>
          <w:lang w:val="en-US" w:eastAsia="zh-CN"/>
        </w:rPr>
        <w:t>拟在黄竹、肩丰等村增设污水处理池，全村范围铺设污水处理管道，在肩丰、炉池、田坑增设公共厕所。通过增设服务覆盖全村的基础服务设施，改善村落基础服务设施缺乏且分布不均的现状，从而提升村民居住体验，切实为村民生活带来便利。</w:t>
      </w:r>
    </w:p>
    <w:p w14:paraId="62B416E1">
      <w:pPr>
        <w:widowControl w:val="0"/>
        <w:numPr>
          <w:numId w:val="0"/>
        </w:numPr>
        <w:jc w:val="both"/>
        <w:rPr>
          <w:rFonts w:hint="eastAsia"/>
          <w:b/>
          <w:bCs/>
          <w:sz w:val="24"/>
          <w:szCs w:val="32"/>
          <w:lang w:val="en-US" w:eastAsia="zh-CN"/>
        </w:rPr>
      </w:pPr>
    </w:p>
    <w:p w14:paraId="41D65189">
      <w:pPr>
        <w:numPr>
          <w:ilvl w:val="0"/>
          <w:numId w:val="3"/>
        </w:numPr>
        <w:rPr>
          <w:rFonts w:hint="eastAsia"/>
          <w:b/>
          <w:bCs/>
          <w:sz w:val="24"/>
          <w:szCs w:val="32"/>
          <w:lang w:val="en-US" w:eastAsia="zh-CN"/>
        </w:rPr>
      </w:pPr>
      <w:r>
        <w:rPr>
          <w:rFonts w:hint="eastAsia"/>
          <w:b/>
          <w:bCs/>
          <w:sz w:val="24"/>
          <w:szCs w:val="32"/>
          <w:lang w:val="en-US" w:eastAsia="zh-CN"/>
        </w:rPr>
        <w:t>生态绿地规划</w:t>
      </w:r>
    </w:p>
    <w:p w14:paraId="0E1F5512">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根据实际情况，拟在每个自然村增设不同规模的村民活动场地。在建设用地范围内增设公园绿地和活动广场，在范围外划定森林公园区、生态保育绿地等区域，根据各自定位采取不同的保护措施。最终打造以村域整体保护为前提，以山林保护为主体，以村落风貌提升为抓手的生态宜居、绿色和谐的金田村绿地系统和村庄生态格局。</w:t>
      </w:r>
    </w:p>
    <w:p w14:paraId="0429008F">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水域方面的生态修复保护措施主要为砌河护坡、河道绿化与河底整治，计划在公王河黄竹、田坑、园寨河段开展生态整治工作，整治面积约54公顷。通过土石堆砌达到巩固河堤的效果，考虑采用生态河岸、种植乡土植物等形式绿化河边人行道。通过河底清淤疏通，提升河道水质。由此重振金田村水生态。</w:t>
      </w:r>
    </w:p>
    <w:p w14:paraId="208F03CF">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将生态保护红线范围内的绿地及其外围一定范围的绿地规划成生态保育绿地区，区内多为林地，以保护、恢复金田村自然生态为主要功能。生态保育区内禁止开发活动，减少人类活动干预，以形成天然绿色的生态环境。</w:t>
      </w:r>
    </w:p>
    <w:p w14:paraId="61072A17">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依托古檀林资源，坚持保护优先原则，将营子里部分林地划定为古檀林主题森林公园。充分利用与盘活林地和林下资源。通过规划林下观光步道、设置标识牌等必要设施等举措，满足游客观光、游乐等旅游活动要求，给游客以亲近自然、领略古檀之美的旅游体验。</w:t>
      </w:r>
    </w:p>
    <w:p w14:paraId="03238C89">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除以上区域之外的林地，均划为一般林地。一般林地区面积较大，在日常生活中应坚持保护优先原则，不随意砍伐林木。营造生态绿色、自然和谐的林地格局，实现人与自然和谐相处，生态资源得到良好保护。</w:t>
      </w:r>
    </w:p>
    <w:p w14:paraId="1AD734FA">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耕地保护：坚决遏制耕地“非农化”现象，对耕地实施严格的管控：严禁违规占用耕地进行绿化造林、超标准建设绿色通道、挖湖造景、从事非农建设、自建农房等行为。对于确有需要，不可避免占用耕地的项目，应经过专家论证，且严禁占用永久基本农田。深入推进耕地污染防治，采取严禁向耕地排放生活生产污水和垃圾，控制农药化肥使用，及时回收农膜等措施，避免在生产生活中对耕地土壤造成污染。同时，实行耕地轮作休耕制度，保护耕地地力。</w:t>
      </w:r>
    </w:p>
    <w:p w14:paraId="50499FED">
      <w:pPr>
        <w:widowControl w:val="0"/>
        <w:numPr>
          <w:ilvl w:val="0"/>
          <w:numId w:val="0"/>
        </w:numPr>
        <w:ind w:firstLine="420" w:firstLineChars="0"/>
        <w:jc w:val="both"/>
        <w:rPr>
          <w:rFonts w:hint="eastAsia"/>
          <w:b/>
          <w:bCs/>
          <w:sz w:val="24"/>
          <w:szCs w:val="32"/>
          <w:lang w:val="en-US" w:eastAsia="zh-CN"/>
        </w:rPr>
      </w:pPr>
      <w:r>
        <w:rPr>
          <w:rFonts w:hint="eastAsia"/>
          <w:sz w:val="22"/>
          <w:szCs w:val="22"/>
          <w:lang w:val="en-US" w:eastAsia="zh-CN"/>
        </w:rPr>
        <w:t>根据实际情况，在建设用地范围内增设公园绿地、文化广场、活动场地。每个自然村增设不同规模、不同类型的村民活动场地。如在林木资源丰富的营子里建设面积超千平的古檀公园，在用地较为紧张的清明建设小范围活动场地。充分考虑建设可行性，竭力满足村民活动健体的日常需求。</w:t>
      </w:r>
    </w:p>
    <w:p w14:paraId="5A3D845B">
      <w:pPr>
        <w:widowControl w:val="0"/>
        <w:numPr>
          <w:numId w:val="0"/>
        </w:numPr>
        <w:jc w:val="both"/>
        <w:rPr>
          <w:rFonts w:hint="eastAsia"/>
          <w:b/>
          <w:bCs/>
          <w:sz w:val="24"/>
          <w:szCs w:val="32"/>
          <w:lang w:val="en-US" w:eastAsia="zh-CN"/>
        </w:rPr>
      </w:pPr>
    </w:p>
    <w:p w14:paraId="1D398A3B">
      <w:pPr>
        <w:numPr>
          <w:ilvl w:val="0"/>
          <w:numId w:val="3"/>
        </w:numPr>
        <w:rPr>
          <w:rFonts w:hint="eastAsia"/>
          <w:b/>
          <w:bCs/>
          <w:sz w:val="24"/>
          <w:szCs w:val="32"/>
          <w:lang w:val="en-US" w:eastAsia="zh-CN"/>
        </w:rPr>
      </w:pPr>
      <w:r>
        <w:rPr>
          <w:rFonts w:hint="eastAsia"/>
          <w:b/>
          <w:bCs/>
          <w:sz w:val="24"/>
          <w:szCs w:val="32"/>
          <w:lang w:val="en-US" w:eastAsia="zh-CN"/>
        </w:rPr>
        <w:t>防震减灾规划</w:t>
      </w:r>
    </w:p>
    <w:p w14:paraId="1EECA76D">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保留利用原有的3处坑塘，将其作为调蓄池，作为储水空间。通过GIS软件进行水位上涨模拟，在村庄的低点规划设计了3处调蓄池，减缓村庄被洪水淹没。在村庄集聚区规划设计水渠，加快雨水的排放。完善河道整治措施，保证河道通畅。</w:t>
      </w:r>
    </w:p>
    <w:p w14:paraId="20506485">
      <w:pPr>
        <w:widowControl w:val="0"/>
        <w:numPr>
          <w:ilvl w:val="0"/>
          <w:numId w:val="0"/>
        </w:numPr>
        <w:ind w:firstLine="420" w:firstLineChars="0"/>
        <w:jc w:val="both"/>
        <w:rPr>
          <w:rFonts w:hint="eastAsia"/>
          <w:b/>
          <w:bCs/>
          <w:sz w:val="24"/>
          <w:szCs w:val="32"/>
          <w:lang w:val="en-US" w:eastAsia="zh-CN"/>
        </w:rPr>
      </w:pPr>
      <w:r>
        <w:rPr>
          <w:rFonts w:hint="eastAsia"/>
          <w:sz w:val="22"/>
          <w:szCs w:val="22"/>
          <w:lang w:val="en-US" w:eastAsia="zh-CN"/>
        </w:rPr>
        <w:t>规划122乡道为主要的逃生和消防救援道路，村道为次要的逃生和消防救援道路。将规划后拥有8处广场和2处村名公园作为抗震设施。黄竹作为122乡道金田段的中部区位，在此设立村庄微型消防站有利于村中的消防救援。选取防洪排涝规划中靠近自然村的调蓄池作为消防的蓄水池，为消防救援提供易得的水资源。</w:t>
      </w:r>
    </w:p>
    <w:p w14:paraId="7968F1F9">
      <w:pPr>
        <w:widowControl w:val="0"/>
        <w:numPr>
          <w:numId w:val="0"/>
        </w:numPr>
        <w:jc w:val="both"/>
        <w:rPr>
          <w:rFonts w:hint="eastAsia"/>
          <w:b/>
          <w:bCs/>
          <w:sz w:val="24"/>
          <w:szCs w:val="32"/>
          <w:lang w:val="en-US" w:eastAsia="zh-CN"/>
        </w:rPr>
      </w:pPr>
    </w:p>
    <w:p w14:paraId="2875E9AA">
      <w:pPr>
        <w:numPr>
          <w:ilvl w:val="0"/>
          <w:numId w:val="3"/>
        </w:numPr>
        <w:rPr>
          <w:rFonts w:hint="eastAsia"/>
          <w:b/>
          <w:bCs/>
          <w:sz w:val="24"/>
          <w:szCs w:val="32"/>
          <w:lang w:val="en-US" w:eastAsia="zh-CN"/>
        </w:rPr>
      </w:pPr>
      <w:r>
        <w:rPr>
          <w:rFonts w:hint="eastAsia"/>
          <w:b/>
          <w:bCs/>
          <w:sz w:val="24"/>
          <w:szCs w:val="32"/>
          <w:lang w:val="en-US" w:eastAsia="zh-CN"/>
        </w:rPr>
        <w:t>近期建设项目库</w:t>
      </w:r>
    </w:p>
    <w:p w14:paraId="3594F46F">
      <w:pPr>
        <w:widowControl w:val="0"/>
        <w:numPr>
          <w:numId w:val="0"/>
        </w:numPr>
        <w:jc w:val="both"/>
      </w:pPr>
      <w:r>
        <w:drawing>
          <wp:inline distT="0" distB="0" distL="114300" distR="114300">
            <wp:extent cx="5272405" cy="2944495"/>
            <wp:effectExtent l="0" t="0" r="4445" b="825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1"/>
                    <a:stretch>
                      <a:fillRect/>
                    </a:stretch>
                  </pic:blipFill>
                  <pic:spPr>
                    <a:xfrm>
                      <a:off x="0" y="0"/>
                      <a:ext cx="5272405" cy="2944495"/>
                    </a:xfrm>
                    <a:prstGeom prst="rect">
                      <a:avLst/>
                    </a:prstGeom>
                    <a:noFill/>
                    <a:ln>
                      <a:noFill/>
                    </a:ln>
                  </pic:spPr>
                </pic:pic>
              </a:graphicData>
            </a:graphic>
          </wp:inline>
        </w:drawing>
      </w:r>
      <w:r>
        <w:drawing>
          <wp:inline distT="0" distB="0" distL="114300" distR="114300">
            <wp:extent cx="5271770" cy="2955290"/>
            <wp:effectExtent l="0" t="0" r="5080" b="1651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2"/>
                    <a:stretch>
                      <a:fillRect/>
                    </a:stretch>
                  </pic:blipFill>
                  <pic:spPr>
                    <a:xfrm>
                      <a:off x="0" y="0"/>
                      <a:ext cx="5271770" cy="2955290"/>
                    </a:xfrm>
                    <a:prstGeom prst="rect">
                      <a:avLst/>
                    </a:prstGeom>
                    <a:noFill/>
                    <a:ln>
                      <a:noFill/>
                    </a:ln>
                  </pic:spPr>
                </pic:pic>
              </a:graphicData>
            </a:graphic>
          </wp:inline>
        </w:drawing>
      </w:r>
    </w:p>
    <w:p w14:paraId="3A4CD88C">
      <w:pPr>
        <w:widowControl w:val="0"/>
        <w:numPr>
          <w:numId w:val="0"/>
        </w:numPr>
        <w:jc w:val="both"/>
        <w:rPr>
          <w:rFonts w:hint="eastAsia"/>
          <w:lang w:val="en-US" w:eastAsia="zh-CN"/>
        </w:rPr>
      </w:pPr>
    </w:p>
    <w:p w14:paraId="2F23786B">
      <w:pPr>
        <w:numPr>
          <w:ilvl w:val="0"/>
          <w:numId w:val="3"/>
        </w:numPr>
        <w:rPr>
          <w:rFonts w:hint="eastAsia"/>
          <w:b/>
          <w:bCs/>
          <w:sz w:val="24"/>
          <w:szCs w:val="32"/>
          <w:lang w:val="en-US" w:eastAsia="zh-CN"/>
        </w:rPr>
      </w:pPr>
      <w:r>
        <w:rPr>
          <w:rFonts w:hint="eastAsia"/>
          <w:b/>
          <w:bCs/>
          <w:sz w:val="24"/>
          <w:szCs w:val="32"/>
          <w:lang w:val="en-US" w:eastAsia="zh-CN"/>
        </w:rPr>
        <w:t>远期建设项目库</w:t>
      </w:r>
    </w:p>
    <w:p w14:paraId="6FB3B047">
      <w:pPr>
        <w:widowControl w:val="0"/>
        <w:numPr>
          <w:numId w:val="0"/>
        </w:numPr>
        <w:jc w:val="both"/>
      </w:pPr>
      <w:r>
        <w:drawing>
          <wp:inline distT="0" distB="0" distL="114300" distR="114300">
            <wp:extent cx="5268595" cy="2471420"/>
            <wp:effectExtent l="0" t="0" r="8255"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5268595" cy="2471420"/>
                    </a:xfrm>
                    <a:prstGeom prst="rect">
                      <a:avLst/>
                    </a:prstGeom>
                    <a:noFill/>
                    <a:ln>
                      <a:noFill/>
                    </a:ln>
                  </pic:spPr>
                </pic:pic>
              </a:graphicData>
            </a:graphic>
          </wp:inline>
        </w:drawing>
      </w:r>
    </w:p>
    <w:p w14:paraId="52774298">
      <w:pPr>
        <w:widowControl w:val="0"/>
        <w:numPr>
          <w:numId w:val="0"/>
        </w:numPr>
        <w:jc w:val="both"/>
      </w:pPr>
    </w:p>
    <w:p w14:paraId="21A63E56">
      <w:pPr>
        <w:widowControl w:val="0"/>
        <w:numPr>
          <w:numId w:val="0"/>
        </w:numPr>
        <w:jc w:val="both"/>
        <w:rPr>
          <w:rFonts w:hint="eastAsia"/>
          <w:lang w:val="en-US" w:eastAsia="zh-CN"/>
        </w:rPr>
      </w:pPr>
    </w:p>
    <w:p w14:paraId="3B9C4316">
      <w:pPr>
        <w:rPr>
          <w:rFonts w:hint="eastAsia" w:ascii="黑体" w:hAnsi="黑体" w:eastAsia="黑体" w:cs="黑体"/>
          <w:b/>
          <w:bCs/>
          <w:sz w:val="24"/>
          <w:szCs w:val="32"/>
          <w:lang w:val="en-US" w:eastAsia="zh-CN"/>
        </w:rPr>
      </w:pPr>
      <w:r>
        <w:rPr>
          <w:rFonts w:hint="eastAsia" w:ascii="黑体" w:hAnsi="黑体" w:eastAsia="黑体" w:cs="黑体"/>
          <w:b/>
          <w:bCs/>
          <w:sz w:val="24"/>
          <w:szCs w:val="32"/>
          <w:lang w:val="en-US" w:eastAsia="zh-CN"/>
        </w:rPr>
        <w:t>【历史文化保护规划】</w:t>
      </w:r>
    </w:p>
    <w:p w14:paraId="10B5B8A6">
      <w:pPr>
        <w:rPr>
          <w:rFonts w:hint="default"/>
          <w:lang w:val="en-US" w:eastAsia="zh-CN"/>
        </w:rPr>
      </w:pPr>
    </w:p>
    <w:p w14:paraId="4FCABA1C">
      <w:pPr>
        <w:numPr>
          <w:ilvl w:val="0"/>
          <w:numId w:val="4"/>
        </w:numPr>
        <w:rPr>
          <w:rFonts w:hint="eastAsia"/>
          <w:b/>
          <w:bCs/>
          <w:sz w:val="24"/>
          <w:szCs w:val="32"/>
          <w:lang w:val="en-US" w:eastAsia="zh-CN"/>
        </w:rPr>
      </w:pPr>
      <w:r>
        <w:rPr>
          <w:rFonts w:hint="eastAsia"/>
          <w:b/>
          <w:bCs/>
          <w:sz w:val="24"/>
          <w:szCs w:val="32"/>
          <w:lang w:val="en-US" w:eastAsia="zh-CN"/>
        </w:rPr>
        <w:t>保护思路</w:t>
      </w:r>
    </w:p>
    <w:p w14:paraId="69D21B59">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深入挖掘乡村历史文化资源，提出历史文化景观整体保护措施，明确管制规则。</w:t>
      </w:r>
    </w:p>
    <w:p w14:paraId="4B21C6A6">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保护历史建筑与文化的前提下提出整合串联沿线历史文化遗产、生态、旅游等资源的策略。</w:t>
      </w:r>
    </w:p>
    <w:p w14:paraId="5596D670">
      <w:pPr>
        <w:widowControl w:val="0"/>
        <w:numPr>
          <w:numId w:val="0"/>
        </w:numPr>
        <w:jc w:val="both"/>
        <w:rPr>
          <w:rFonts w:hint="eastAsia"/>
          <w:b/>
          <w:bCs/>
          <w:sz w:val="24"/>
          <w:szCs w:val="32"/>
          <w:lang w:val="en-US" w:eastAsia="zh-CN"/>
        </w:rPr>
      </w:pPr>
    </w:p>
    <w:p w14:paraId="2B0B0E2F">
      <w:pPr>
        <w:widowControl w:val="0"/>
        <w:numPr>
          <w:numId w:val="0"/>
        </w:numPr>
        <w:jc w:val="both"/>
        <w:rPr>
          <w:rFonts w:hint="eastAsia"/>
          <w:b/>
          <w:bCs/>
          <w:sz w:val="24"/>
          <w:szCs w:val="32"/>
          <w:lang w:val="en-US" w:eastAsia="zh-CN"/>
        </w:rPr>
      </w:pPr>
    </w:p>
    <w:p w14:paraId="2781A9DE">
      <w:pPr>
        <w:numPr>
          <w:ilvl w:val="0"/>
          <w:numId w:val="4"/>
        </w:numPr>
        <w:rPr>
          <w:rFonts w:hint="eastAsia"/>
          <w:sz w:val="22"/>
          <w:szCs w:val="22"/>
          <w:lang w:val="en-US" w:eastAsia="zh-CN"/>
        </w:rPr>
      </w:pPr>
      <w:r>
        <w:rPr>
          <w:rFonts w:hint="eastAsia"/>
          <w:b/>
          <w:bCs/>
          <w:sz w:val="24"/>
          <w:szCs w:val="32"/>
          <w:lang w:val="en-US" w:eastAsia="zh-CN"/>
        </w:rPr>
        <w:t>保护活化利用规划</w:t>
      </w:r>
    </w:p>
    <w:p w14:paraId="06C89F93">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对于金田村内的祠堂建筑应结合实际需要加以修缮。在修缮过程中应维护其原有的主体结构外部风貌不变的前提下，进行维护加固，并统一各时期祠堂的外貌风格和空间尺度、形态等方面设计。对于祠堂内部的活化，一方面，修缮祠堂满足村内的祭祀等活动需求；另一方面，将闲置的祠堂修缮活化利用，修建公共文化设施如小书屋、自习室、村民文化活动中心以及优秀传统文化价值和现代核心价值宣传中心。</w:t>
      </w:r>
    </w:p>
    <w:p w14:paraId="1B882E90">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对于金田村的千年古檀树和古檀林，一方面要加以妥善保护；对村内部的古树名木挂牌保护，并定期检查，在发现病虫害等情况后及时联系专业人员救治等。另一方面要规划以树冠投影向外5米为保护范围，结合原有的历史景观资源特征，突出原汁原味的乡土特色。在保护的基础上将古檀林设计为主题公园，介绍古檀与金田的前世今生，作为金田历史文化建设的一部分。</w:t>
      </w:r>
    </w:p>
    <w:p w14:paraId="6B225986">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对于金田村的传统文化习俗，可推举村内有威望的乡贤作为添灯仪式的主持人，鼓励村内手艺人申请非遗专利，作为非遗传承人等，保护原生文化底蕴。一方面，改造废弃、闲置的祠堂成村内文化展示基地，在祠堂内举行添灯等具有金田特色的文化活动，彰显文化底蕴与特色。另一方面，将传统文化与现代元素相融合，策划举办如春日仙人粄文化节、添灯直播文化节等主题活动，吸引更多游客了解金田特色文化并参与其中，活化村内非物质文化。</w:t>
      </w:r>
    </w:p>
    <w:p w14:paraId="71653C29">
      <w:pPr>
        <w:widowControl w:val="0"/>
        <w:numPr>
          <w:numId w:val="0"/>
        </w:numPr>
        <w:ind w:firstLine="420" w:firstLineChars="0"/>
        <w:jc w:val="both"/>
        <w:rPr>
          <w:rFonts w:hint="eastAsia"/>
          <w:b/>
          <w:bCs/>
          <w:sz w:val="24"/>
          <w:szCs w:val="32"/>
          <w:lang w:val="en-US" w:eastAsia="zh-CN"/>
        </w:rPr>
      </w:pPr>
    </w:p>
    <w:p w14:paraId="529C2678">
      <w:pPr>
        <w:rPr>
          <w:rFonts w:hint="eastAsia" w:ascii="黑体" w:hAnsi="黑体" w:eastAsia="黑体" w:cs="黑体"/>
          <w:b/>
          <w:bCs/>
          <w:sz w:val="24"/>
          <w:szCs w:val="32"/>
          <w:lang w:val="en-US" w:eastAsia="zh-CN"/>
        </w:rPr>
      </w:pPr>
      <w:r>
        <w:rPr>
          <w:rFonts w:hint="eastAsia" w:ascii="黑体" w:hAnsi="黑体" w:eastAsia="黑体" w:cs="黑体"/>
          <w:b/>
          <w:bCs/>
          <w:sz w:val="24"/>
          <w:szCs w:val="32"/>
          <w:lang w:val="en-US" w:eastAsia="zh-CN"/>
        </w:rPr>
        <w:t>【村庄风貌指引】</w:t>
      </w:r>
    </w:p>
    <w:p w14:paraId="1B8F818B">
      <w:pPr>
        <w:rPr>
          <w:rFonts w:hint="default" w:ascii="黑体" w:hAnsi="黑体" w:eastAsia="黑体" w:cs="黑体"/>
          <w:b/>
          <w:bCs/>
          <w:sz w:val="24"/>
          <w:szCs w:val="32"/>
          <w:lang w:val="en-US" w:eastAsia="zh-CN"/>
        </w:rPr>
      </w:pPr>
    </w:p>
    <w:p w14:paraId="4F1865FA">
      <w:pPr>
        <w:numPr>
          <w:ilvl w:val="0"/>
          <w:numId w:val="5"/>
        </w:numPr>
        <w:rPr>
          <w:rFonts w:hint="eastAsia"/>
          <w:b/>
          <w:bCs/>
          <w:sz w:val="24"/>
          <w:szCs w:val="32"/>
          <w:lang w:val="en-US" w:eastAsia="zh-CN"/>
        </w:rPr>
      </w:pPr>
      <w:r>
        <w:rPr>
          <w:rFonts w:hint="eastAsia"/>
          <w:b/>
          <w:bCs/>
          <w:sz w:val="24"/>
          <w:szCs w:val="32"/>
          <w:lang w:val="en-US" w:eastAsia="zh-CN"/>
        </w:rPr>
        <w:t>景观风貌指引</w:t>
      </w:r>
    </w:p>
    <w:p w14:paraId="4F8B3B9E">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耕地景观：禁止占用基本农田，减少对其他农田的占用。通过种植不同种类的作物增加农田多样性；采取轮耕、间种等耕种手法种植农作物；提升农业生产设施美学价值。根据时令在各区内的农田地块种植不同的药材，并补充种植观赏性较强的农作物。农民在自然环境等影响下种植农作物，修建景观小品，形成简易完整却富有层次感的生产面。</w:t>
      </w:r>
    </w:p>
    <w:p w14:paraId="0F9FC38E">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林地景观：在保护好生态环境的前提下依形就势有序安排种植山林，结合实际按季相种植乡土植物，在不影响经济型的前提下增强山林可观赏。顺应山地形势肌理，根据高程、海拔气温变化种植适宜气候的植株，丰富景观层次。在林区种植对比较为明显但与总体环境协调的植物如罗汉松、台湾相思、杉木等，增强可观赏性。结合实际需要发展林下经济。</w:t>
      </w:r>
    </w:p>
    <w:p w14:paraId="44E0EF8C">
      <w:pPr>
        <w:widowControl w:val="0"/>
        <w:numPr>
          <w:ilvl w:val="0"/>
          <w:numId w:val="0"/>
        </w:numPr>
        <w:ind w:firstLine="420" w:firstLineChars="0"/>
        <w:jc w:val="both"/>
        <w:rPr>
          <w:rFonts w:hint="default"/>
          <w:sz w:val="22"/>
          <w:szCs w:val="22"/>
          <w:lang w:val="en-US" w:eastAsia="zh-CN"/>
        </w:rPr>
      </w:pPr>
      <w:r>
        <w:rPr>
          <w:rFonts w:hint="eastAsia"/>
          <w:sz w:val="22"/>
          <w:szCs w:val="22"/>
          <w:lang w:val="en-US" w:eastAsia="zh-CN"/>
        </w:rPr>
        <w:t>房前屋后景观：宅旁和庭院绿化因充分尊重村民的意愿喜好。绿化植物必须具有易管理性和实用性，种植种类须采用乡土树种和攀缘植物，景观需保持一定的整体性。禁止房前屋后废弃杂物和垃圾的堆放，禁止随意粘贴广告或涂鸦，维持宅旁整洁。</w:t>
      </w:r>
      <w:r>
        <w:rPr>
          <w:rFonts w:hint="default"/>
          <w:sz w:val="22"/>
          <w:szCs w:val="22"/>
          <w:lang w:val="en-US" w:eastAsia="zh-CN"/>
        </w:rPr>
        <w:t>适当种植经济作物，发展庭院经济。庭院围墙的外墙可以用攀缘植物进行覆盖美化点缀。公共建筑可考虑种植观赏性植物进行美化。可根据村民发展意愿，结合村民的经济情况，适度发展屋顶绿化。花基、树池等物品需用富含乡土特色的材料进行建设。合理摆放农业工具杂物和家具小品进一步展现金田村的农家氛围。</w:t>
      </w:r>
    </w:p>
    <w:p w14:paraId="2DF098CF">
      <w:pPr>
        <w:widowControl w:val="0"/>
        <w:numPr>
          <w:ilvl w:val="0"/>
          <w:numId w:val="0"/>
        </w:numPr>
        <w:ind w:firstLine="420" w:firstLineChars="0"/>
        <w:jc w:val="both"/>
        <w:rPr>
          <w:rFonts w:hint="default"/>
          <w:sz w:val="22"/>
          <w:szCs w:val="22"/>
          <w:lang w:val="en-US" w:eastAsia="zh-CN"/>
        </w:rPr>
      </w:pPr>
      <w:r>
        <w:rPr>
          <w:rFonts w:hint="eastAsia"/>
          <w:sz w:val="22"/>
          <w:szCs w:val="22"/>
          <w:lang w:val="en-US" w:eastAsia="zh-CN"/>
        </w:rPr>
        <w:t>河流景观：村中河流景观绿化需尽量保留、利用现有的自然形态，以生态护坡的方式整治边坡和岸线。在景观较好的河流空间应设置亲水景观平台，挖掘景观的生态服务价值。</w:t>
      </w:r>
      <w:r>
        <w:rPr>
          <w:rFonts w:hint="default"/>
          <w:sz w:val="22"/>
          <w:szCs w:val="22"/>
          <w:lang w:val="en-US" w:eastAsia="zh-CN"/>
        </w:rPr>
        <w:t>水深低于1.5米的水体宜种植挺水植物，水深高于1.5米的水体宜种植沉水植物，充分利用植物的净化作用和景观美化作用。村中河流绿化可采用村庄现有传统农业植物，选用经济树种，增加一定的经济收益。</w:t>
      </w:r>
    </w:p>
    <w:p w14:paraId="03A3601F">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坑塘景观：保护村中现有的坑塘，改善坑塘的水质，维持水流的汇入，保证坑塘的蓄水量。部分坑塘可以设置如荷花的水生植物，增加坑塘的净化能力，增加池塘的绿化效果。在池塘周围布置现有的乡土植物，保护坑塘的环境；在坑塘边坡采用生态驳岸设计，铺设保持水土的植物；在池塘中央设置荷花等观赏植物，增强景观效果。沿坑塘建设滨水步道或滨水公园，为人们提供休闲环境。</w:t>
      </w:r>
    </w:p>
    <w:p w14:paraId="43398442">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村庄入口景观：坚持整体出发原则，设计从金田村整体形象出发，彰显金田村特色，展现金田村魅力；坚持因地制宜原则，选用乡土材质，如瓦片、文化石、青砖、夯土等进行创意重构，融入乡村环境；坚持以人为本原则，入口景观小品和设施的空间布局应满足人体尺度和人的行为需求。与村落内部保持一定距离，保证村落内安静有序的生活环境；打造不同层次的入口景观，移步换景，与交通环境相匹配。</w:t>
      </w:r>
    </w:p>
    <w:p w14:paraId="75112145">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四小园”：对村内房前屋后的小菜园、小果园、小花园、小游园进行改造，根据不同村落的定位方向打造不同形式的“四小园”风貌。以小微尺度建设“口袋公园”、小微绿地、美丽菜园；选用具有乡村特色的建材，如青砖、竹条等；增设相关基础设施和服务设施。</w:t>
      </w:r>
    </w:p>
    <w:p w14:paraId="79E7D211">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祠堂：对传统祠堂进行加固、外观整饬，保持和恢复传统风貌和特色，并赋予其新的功用。祠堂可活化为农家书屋、乡村历史文化展览馆、村民活动中心以及传统作坊等。充分尊重现状，保留祠堂现有古韵，在此基础上再进行功能赋予和场地活化。</w:t>
      </w:r>
    </w:p>
    <w:p w14:paraId="073EC563">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村民活动交流场地：生态化建设，硬质铺装与生态透水铺装相结合，打造自然和谐生态化的植物景观；人本化建设，增设桌凳、健身、环卫等设施，符合人体工学。提高村民活动交流时的体验；集约化建设，打造集健体、交流、日常活动、晾晒等功能于一体的多功能活动场地，提高使用频率。优先选择粤北乡土植物进行种植，如紫薇、桂花等；在建设时应选择合适的铺装，注意防滑、儿童友好等要求。</w:t>
      </w:r>
    </w:p>
    <w:p w14:paraId="419CB8A4">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乡道：基本实现乡道路面硬底化，逐步推进乡村道路面黑底化建设。根据道路原有的景观情况，宜保留和美化景观性较好的道路绿化的同时，采取清除杂草，裸地复绿，补植行道树等方式，优化道路景观；对于那些景观资源较好的路段，宜留出视觉通廊，与周围环境相呼应。修整山体切坡，建议采用植物型护坡与硬质型护坡相结合的方式进行护坡处理。对于道路的滨水空间，建议采用硬质化的驳岸处理方式，加配防护栏，保障行车安全。</w:t>
      </w:r>
    </w:p>
    <w:p w14:paraId="50C58D98">
      <w:pPr>
        <w:widowControl w:val="0"/>
        <w:numPr>
          <w:ilvl w:val="0"/>
          <w:numId w:val="0"/>
        </w:numPr>
        <w:ind w:firstLine="420" w:firstLineChars="0"/>
        <w:jc w:val="both"/>
        <w:rPr>
          <w:rFonts w:hint="default"/>
          <w:sz w:val="22"/>
          <w:szCs w:val="22"/>
          <w:lang w:val="en-US" w:eastAsia="zh-CN"/>
        </w:rPr>
      </w:pPr>
      <w:r>
        <w:rPr>
          <w:rFonts w:hint="eastAsia"/>
          <w:sz w:val="22"/>
          <w:szCs w:val="22"/>
          <w:lang w:val="en-US" w:eastAsia="zh-CN"/>
        </w:rPr>
        <w:t>村道：逐步实现村道硬底化。对原有植物景观不佳或土地裸露的路段进行绿化整治。位于村庄生活空间内的村道，可以打造集乡风、乡韵为一体的景观小品，提升道路景观的趣味性。建议结合金田南药种植特色，路旁种植既具景观性又易打理的南药草本，如：野菊花、蒲公英、溪黄草等。</w:t>
      </w:r>
    </w:p>
    <w:p w14:paraId="2EB84B20">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巷道：巷道路面应因地制宜采用块石、预制混凝土方砖或当地传统铺装（如：麻石板、青砖）等进行硬化，体现乡土特色。建议利用巷道路旁的空置地块，打造小公园、小花园、小菜园，美化巷道景观的同时形成街巷的休闲交往空间。</w:t>
      </w:r>
    </w:p>
    <w:p w14:paraId="10378F86">
      <w:pPr>
        <w:widowControl w:val="0"/>
        <w:numPr>
          <w:ilvl w:val="0"/>
          <w:numId w:val="0"/>
        </w:numPr>
        <w:ind w:firstLine="420" w:firstLineChars="0"/>
        <w:jc w:val="both"/>
        <w:rPr>
          <w:rFonts w:hint="default"/>
          <w:sz w:val="22"/>
          <w:szCs w:val="22"/>
          <w:lang w:val="en-US" w:eastAsia="zh-CN"/>
        </w:rPr>
      </w:pPr>
      <w:r>
        <w:rPr>
          <w:rFonts w:hint="eastAsia"/>
          <w:sz w:val="22"/>
          <w:szCs w:val="22"/>
          <w:lang w:val="en-US" w:eastAsia="zh-CN"/>
        </w:rPr>
        <w:t>步道：田间步道结合步道生产功能和路旁农田大地景观，打造既具景观观赏性又具实用性的田间步道。以森林康养为主题打造特色森林步道，建议采用既有康养功能，又具景观观赏功能的乡土树种（如：香樟、悬铃木、竹等）进行沿路绿化布置；同时，在适应处设置座椅、休息亭等以供人休憩。</w:t>
      </w:r>
    </w:p>
    <w:p w14:paraId="55D920CA">
      <w:pPr>
        <w:widowControl w:val="0"/>
        <w:numPr>
          <w:numId w:val="0"/>
        </w:numPr>
        <w:jc w:val="both"/>
        <w:rPr>
          <w:rFonts w:hint="eastAsia"/>
          <w:b/>
          <w:bCs/>
          <w:sz w:val="24"/>
          <w:szCs w:val="32"/>
          <w:lang w:val="en-US" w:eastAsia="zh-CN"/>
        </w:rPr>
      </w:pPr>
    </w:p>
    <w:p w14:paraId="5822B37A">
      <w:pPr>
        <w:numPr>
          <w:ilvl w:val="0"/>
          <w:numId w:val="5"/>
        </w:numPr>
        <w:rPr>
          <w:rFonts w:hint="eastAsia"/>
          <w:b/>
          <w:bCs/>
          <w:sz w:val="24"/>
          <w:szCs w:val="32"/>
          <w:lang w:val="en-US" w:eastAsia="zh-CN"/>
        </w:rPr>
      </w:pPr>
      <w:r>
        <w:rPr>
          <w:rFonts w:hint="eastAsia"/>
          <w:b/>
          <w:bCs/>
          <w:sz w:val="24"/>
          <w:szCs w:val="32"/>
          <w:lang w:val="en-US" w:eastAsia="zh-CN"/>
        </w:rPr>
        <w:t>建筑风貌指引</w:t>
      </w:r>
    </w:p>
    <w:p w14:paraId="1AB4FEE0">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风格定位：雅致、和谐的现代客家乡村风格</w:t>
      </w:r>
    </w:p>
    <w:p w14:paraId="59098DBF">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主体风格：主要采用客家民居屋面双向坡面，覆盖阴阳瓦的屋顶形式，营造建筑屋面高低错落，建筑轮廓起伏有致的风格特点；色彩上以中高明度、中低彩度的色调为主，以高彩度的色彩加以点缀。</w:t>
      </w:r>
    </w:p>
    <w:p w14:paraId="69962858">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立面风格：基于乡村本土的地域特色，抽取客家建筑立面虚实对比强烈，风格整齐划一的特点，加以高彩度色彩点缀，对乡村进行立面风格规划，赋予乡村亲切之感。</w:t>
      </w:r>
    </w:p>
    <w:p w14:paraId="7792A902">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本土融合：金田村是农业型乡村，拥有着浓厚的农耕文化氛围，现有建筑为中国传统乡村样式，将围绕其拥有的南药资源、古檀林资源，打造适宜、独特的金田村自身乡村建筑风貌。基于新建筑规划要求融合客家风格，为对原有建筑进行改造，以活化原有建筑，使其与新村相融，该建筑为一层坡顶建筑，我们主要采用客家风格阴阳瓦、门窗进行翻新，同时外立面进行粉刷白墙处理。</w:t>
      </w:r>
    </w:p>
    <w:p w14:paraId="53842DC1">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控制原则：新建、改建、扩建住房与建筑整治应符合建筑卫生、安全要求,注重与环境协调;宜选择具有乡村特色和地域风格的建筑图样;倡导建设绿色农房。保持和延续传统格局和历史风貌,维护历史文化遗产的完整性.真实性、延续性和原始性。整治影响景观的棚舍、残破或倒塌的墙体，清除临时搭盖,美化影响村庄空间外观视觉的外墙、屋顶、窗户、栏杆等,规范太阳能热水器、屋顶空调等设施的安装。</w:t>
      </w:r>
    </w:p>
    <w:p w14:paraId="51E2E529">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色彩管控：有悠久历史的传统民居保留其原来的颜色搭配并进行修缮，使用当地材料，保持原有色彩对村庄的历史的呈现。住宅外立面引导用灰白色作为填充，整村风格统一，色彩搭配和谐。村内公共建筑色彩以淡黄色为主，以期营造温馨的、活泼的氛围。（RGB:220,224,227/ 108,111,118/ 112,98,88）</w:t>
      </w:r>
    </w:p>
    <w:p w14:paraId="5C2F89D6">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新建建筑指引：</w:t>
      </w:r>
    </w:p>
    <w:p w14:paraId="04249F54">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1) 农房类型：四室四厅四卫 面积270m</w:t>
      </w:r>
      <w:r>
        <w:rPr>
          <w:rFonts w:hint="eastAsia"/>
          <w:sz w:val="22"/>
          <w:szCs w:val="22"/>
          <w:vertAlign w:val="superscript"/>
          <w:lang w:val="en-US" w:eastAsia="zh-CN"/>
        </w:rPr>
        <w:t>2</w:t>
      </w:r>
      <w:bookmarkStart w:id="0" w:name="_GoBack"/>
      <w:bookmarkEnd w:id="0"/>
    </w:p>
    <w:p w14:paraId="73936542">
      <w:pPr>
        <w:widowControl w:val="0"/>
        <w:numPr>
          <w:ilvl w:val="0"/>
          <w:numId w:val="0"/>
        </w:numPr>
        <w:ind w:firstLine="420" w:firstLineChars="0"/>
        <w:jc w:val="both"/>
        <w:rPr>
          <w:rFonts w:hint="eastAsia"/>
          <w:sz w:val="22"/>
          <w:szCs w:val="22"/>
          <w:lang w:val="en-US" w:eastAsia="zh-CN"/>
        </w:rPr>
      </w:pPr>
      <w:r>
        <w:rPr>
          <w:rFonts w:hint="eastAsia"/>
          <w:sz w:val="22"/>
          <w:szCs w:val="22"/>
          <w:lang w:val="en-US" w:eastAsia="zh-CN"/>
        </w:rPr>
        <w:t>设计说明：采用以单栋独院式的规划住宅为主，使每户都有独自的花园庭院，适合中、高层收入的农户建设居住。设计从传统客家住宅中吸取元素，采用坡屋顶，具有隔热性能好，防渗水等特点。体现地方特色，融合传统与现代，体现客家文化。入户玄关的设计解决使 用需求，首层主要以会客厅、厨房、餐厅功能为主，二层以卧室休息为主，有明显的动静分区，主卧室带独立卫生间设计，干湿分区。屋顶大露台设计,为住户提供灵活的自由空间。</w:t>
      </w:r>
    </w:p>
    <w:p w14:paraId="6B137E35">
      <w:pPr>
        <w:widowControl w:val="0"/>
        <w:numPr>
          <w:ilvl w:val="0"/>
          <w:numId w:val="0"/>
        </w:numPr>
        <w:ind w:firstLine="420" w:firstLineChars="0"/>
        <w:jc w:val="both"/>
        <w:rPr>
          <w:rFonts w:hint="default"/>
          <w:sz w:val="22"/>
          <w:szCs w:val="22"/>
          <w:lang w:val="en-US" w:eastAsia="zh-CN"/>
        </w:rPr>
      </w:pPr>
      <w:r>
        <w:rPr>
          <w:rFonts w:hint="default"/>
          <w:sz w:val="22"/>
          <w:szCs w:val="22"/>
          <w:lang w:val="en-US" w:eastAsia="zh-CN"/>
        </w:rPr>
        <w:t>2) 农房类型：五室三厅两卫 面积:230m</w:t>
      </w:r>
      <w:r>
        <w:rPr>
          <w:rFonts w:hint="default"/>
          <w:sz w:val="22"/>
          <w:szCs w:val="22"/>
          <w:vertAlign w:val="superscript"/>
          <w:lang w:val="en-US" w:eastAsia="zh-CN"/>
        </w:rPr>
        <w:t>2</w:t>
      </w:r>
    </w:p>
    <w:p w14:paraId="70EA5C85">
      <w:pPr>
        <w:widowControl w:val="0"/>
        <w:numPr>
          <w:ilvl w:val="0"/>
          <w:numId w:val="0"/>
        </w:numPr>
        <w:ind w:firstLine="420" w:firstLineChars="0"/>
        <w:jc w:val="both"/>
        <w:rPr>
          <w:rFonts w:hint="default"/>
          <w:sz w:val="22"/>
          <w:szCs w:val="22"/>
          <w:lang w:val="en-US" w:eastAsia="zh-CN"/>
        </w:rPr>
      </w:pPr>
      <w:r>
        <w:rPr>
          <w:rFonts w:hint="default"/>
          <w:sz w:val="22"/>
          <w:szCs w:val="22"/>
          <w:lang w:val="en-US" w:eastAsia="zh-CN"/>
        </w:rPr>
        <w:t>设计说明：设计紧扣“新农居”三字来深入，在考虑农村传统和农民经济能力的前提下，结合粤东地区传统民居建筑风格和岭南文化特色，从农村新的生产生活方式出发，充分满足了新时代农村对住宅功能的要求。总平面布局上，充分考虑到粤东地区地少人多的现状，本着节地、节能、节材、安全的设计核心，采用以一梯四户的组团形式，可进行多组团的拼接。建筑的布局可由组团为单位的多个组团构成一个区，在区里面进行节能、节水的利用、太阳能利用、生活污废水、生活垃圾处理利用，并能提供现代的物业和安保管理。</w:t>
      </w:r>
    </w:p>
    <w:p w14:paraId="0E8E00AA">
      <w:pPr>
        <w:widowControl w:val="0"/>
        <w:numPr>
          <w:ilvl w:val="0"/>
          <w:numId w:val="0"/>
        </w:numPr>
        <w:ind w:firstLine="420" w:firstLineChars="0"/>
        <w:jc w:val="both"/>
        <w:rPr>
          <w:rFonts w:hint="default"/>
          <w:sz w:val="22"/>
          <w:szCs w:val="22"/>
          <w:lang w:val="en-US" w:eastAsia="zh-CN"/>
        </w:rPr>
      </w:pPr>
      <w:r>
        <w:rPr>
          <w:rFonts w:hint="eastAsia"/>
          <w:sz w:val="22"/>
          <w:szCs w:val="22"/>
          <w:lang w:val="en-US" w:eastAsia="zh-CN"/>
        </w:rPr>
        <w:t>3）</w:t>
      </w:r>
      <w:r>
        <w:rPr>
          <w:rFonts w:hint="default"/>
          <w:sz w:val="22"/>
          <w:szCs w:val="22"/>
          <w:lang w:val="en-US" w:eastAsia="zh-CN"/>
        </w:rPr>
        <w:t>农房类型：七室三厅五卫 面积：288.9m</w:t>
      </w:r>
      <w:r>
        <w:rPr>
          <w:rFonts w:hint="default"/>
          <w:sz w:val="22"/>
          <w:szCs w:val="22"/>
          <w:vertAlign w:val="superscript"/>
          <w:lang w:val="en-US" w:eastAsia="zh-CN"/>
        </w:rPr>
        <w:t>2</w:t>
      </w:r>
    </w:p>
    <w:p w14:paraId="09D2960E">
      <w:pPr>
        <w:widowControl w:val="0"/>
        <w:numPr>
          <w:ilvl w:val="0"/>
          <w:numId w:val="0"/>
        </w:numPr>
        <w:ind w:firstLine="420" w:firstLineChars="0"/>
        <w:jc w:val="both"/>
        <w:rPr>
          <w:rFonts w:hint="default"/>
          <w:sz w:val="22"/>
          <w:szCs w:val="22"/>
          <w:lang w:val="en-US" w:eastAsia="zh-CN"/>
        </w:rPr>
      </w:pPr>
      <w:r>
        <w:rPr>
          <w:rFonts w:hint="default"/>
          <w:sz w:val="22"/>
          <w:szCs w:val="22"/>
          <w:lang w:val="en-US" w:eastAsia="zh-CN"/>
        </w:rPr>
        <w:t>建筑定位为小型家庭建筑，一楼有会客厅、餐厅、厨房、书房、卧室（老人房）、公共卫生间等；二楼主要是建筑主人私人空间，包括一个主卧室，两个次卧室，一个客厅，前后各一个露天阳台；三楼主要以居住功能为主，包括一个主卧室，两个次卧室。同时三楼设置一处露台。建筑外立面借鉴岭南地区传统居住建筑风格，建筑采用前庭后院式的设计，实现动静分离、食寝分离、干湿分离，满足日常生活习惯。本方案旨在打破常规的农村住宅的组成形式，追求居住环境与周围环境有机地结合在一起。设计在建筑三层的大露台，给予了住户非凡的视野，也可以在阳台上养花种草、晾晒。</w:t>
      </w:r>
    </w:p>
    <w:p w14:paraId="09F54856">
      <w:pPr>
        <w:widowControl w:val="0"/>
        <w:numPr>
          <w:ilvl w:val="0"/>
          <w:numId w:val="0"/>
        </w:numPr>
        <w:ind w:firstLine="420" w:firstLineChars="0"/>
        <w:jc w:val="both"/>
        <w:rPr>
          <w:rFonts w:hint="default"/>
          <w:sz w:val="22"/>
          <w:szCs w:val="22"/>
          <w:lang w:val="en-US" w:eastAsia="zh-CN"/>
        </w:rPr>
      </w:pPr>
    </w:p>
    <w:p w14:paraId="6B0F96DB">
      <w:pPr>
        <w:widowControl w:val="0"/>
        <w:numPr>
          <w:ilvl w:val="0"/>
          <w:numId w:val="0"/>
        </w:numPr>
        <w:ind w:firstLine="420" w:firstLineChars="0"/>
        <w:jc w:val="both"/>
        <w:rPr>
          <w:rFonts w:hint="default"/>
          <w:sz w:val="22"/>
          <w:szCs w:val="22"/>
          <w:lang w:val="en-US" w:eastAsia="zh-CN"/>
        </w:rPr>
      </w:pPr>
    </w:p>
    <w:p w14:paraId="4C3E9F19">
      <w:pPr>
        <w:widowControl w:val="0"/>
        <w:numPr>
          <w:ilvl w:val="0"/>
          <w:numId w:val="0"/>
        </w:numPr>
        <w:ind w:firstLine="420" w:firstLineChars="0"/>
        <w:jc w:val="both"/>
        <w:rPr>
          <w:rFonts w:hint="default"/>
          <w:sz w:val="22"/>
          <w:szCs w:val="22"/>
          <w:lang w:val="en-US" w:eastAsia="zh-CN"/>
        </w:rPr>
      </w:pPr>
    </w:p>
    <w:p w14:paraId="6943244B">
      <w:pPr>
        <w:widowControl w:val="0"/>
        <w:numPr>
          <w:ilvl w:val="0"/>
          <w:numId w:val="0"/>
        </w:numPr>
        <w:ind w:firstLine="420" w:firstLineChars="0"/>
        <w:jc w:val="both"/>
        <w:rPr>
          <w:rFonts w:hint="default"/>
          <w:sz w:val="22"/>
          <w:szCs w:val="22"/>
          <w:lang w:val="en-US" w:eastAsia="zh-CN"/>
        </w:rPr>
      </w:pPr>
    </w:p>
    <w:p w14:paraId="3738F470">
      <w:pPr>
        <w:widowControl w:val="0"/>
        <w:numPr>
          <w:ilvl w:val="0"/>
          <w:numId w:val="0"/>
        </w:numPr>
        <w:ind w:firstLine="420" w:firstLineChars="0"/>
        <w:jc w:val="both"/>
        <w:rPr>
          <w:rFonts w:hint="eastAsia"/>
          <w:sz w:val="22"/>
          <w:szCs w:val="22"/>
          <w:lang w:val="en-US" w:eastAsia="zh-CN"/>
        </w:rPr>
      </w:pPr>
    </w:p>
    <w:p w14:paraId="327D05DA">
      <w:pPr>
        <w:widowControl w:val="0"/>
        <w:numPr>
          <w:ilvl w:val="0"/>
          <w:numId w:val="0"/>
        </w:numPr>
        <w:ind w:firstLine="420" w:firstLineChars="0"/>
        <w:jc w:val="both"/>
        <w:rPr>
          <w:rFonts w:hint="default"/>
          <w:sz w:val="22"/>
          <w:szCs w:val="22"/>
          <w:lang w:val="en-US" w:eastAsia="zh-CN"/>
        </w:rPr>
      </w:pPr>
    </w:p>
    <w:p w14:paraId="77A0E09A">
      <w:pPr>
        <w:widowControl w:val="0"/>
        <w:numPr>
          <w:ilvl w:val="0"/>
          <w:numId w:val="0"/>
        </w:numPr>
        <w:ind w:firstLine="420" w:firstLineChars="0"/>
        <w:jc w:val="both"/>
        <w:rPr>
          <w:rFonts w:hint="default"/>
          <w:sz w:val="22"/>
          <w:szCs w:val="22"/>
          <w:lang w:val="en-US" w:eastAsia="zh-CN"/>
        </w:rPr>
      </w:pPr>
    </w:p>
    <w:p w14:paraId="0EAB341E">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A7A0DA"/>
    <w:multiLevelType w:val="singleLevel"/>
    <w:tmpl w:val="AAA7A0DA"/>
    <w:lvl w:ilvl="0" w:tentative="0">
      <w:start w:val="1"/>
      <w:numFmt w:val="chineseCounting"/>
      <w:suff w:val="nothing"/>
      <w:lvlText w:val="%1、"/>
      <w:lvlJc w:val="left"/>
      <w:rPr>
        <w:rFonts w:hint="eastAsia"/>
      </w:rPr>
    </w:lvl>
  </w:abstractNum>
  <w:abstractNum w:abstractNumId="1">
    <w:nsid w:val="CB22764F"/>
    <w:multiLevelType w:val="singleLevel"/>
    <w:tmpl w:val="CB22764F"/>
    <w:lvl w:ilvl="0" w:tentative="0">
      <w:start w:val="1"/>
      <w:numFmt w:val="decimal"/>
      <w:suff w:val="space"/>
      <w:lvlText w:val="%1."/>
      <w:lvlJc w:val="left"/>
    </w:lvl>
  </w:abstractNum>
  <w:abstractNum w:abstractNumId="2">
    <w:nsid w:val="2175D931"/>
    <w:multiLevelType w:val="singleLevel"/>
    <w:tmpl w:val="2175D931"/>
    <w:lvl w:ilvl="0" w:tentative="0">
      <w:start w:val="1"/>
      <w:numFmt w:val="chineseCounting"/>
      <w:suff w:val="nothing"/>
      <w:lvlText w:val="%1、"/>
      <w:lvlJc w:val="left"/>
      <w:rPr>
        <w:rFonts w:hint="eastAsia"/>
      </w:rPr>
    </w:lvl>
  </w:abstractNum>
  <w:abstractNum w:abstractNumId="3">
    <w:nsid w:val="351F1405"/>
    <w:multiLevelType w:val="singleLevel"/>
    <w:tmpl w:val="351F1405"/>
    <w:lvl w:ilvl="0" w:tentative="0">
      <w:start w:val="1"/>
      <w:numFmt w:val="chineseCounting"/>
      <w:suff w:val="nothing"/>
      <w:lvlText w:val="%1、"/>
      <w:lvlJc w:val="left"/>
      <w:rPr>
        <w:rFonts w:hint="eastAsia"/>
      </w:rPr>
    </w:lvl>
  </w:abstractNum>
  <w:abstractNum w:abstractNumId="4">
    <w:nsid w:val="7B2D5BA7"/>
    <w:multiLevelType w:val="singleLevel"/>
    <w:tmpl w:val="7B2D5BA7"/>
    <w:lvl w:ilvl="0" w:tentative="0">
      <w:start w:val="1"/>
      <w:numFmt w:val="chineseCounting"/>
      <w:suff w:val="nothing"/>
      <w:lvlText w:val="%1、"/>
      <w:lvlJc w:val="left"/>
      <w:rPr>
        <w:rFonts w:hint="eastAsia"/>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43468"/>
    <w:rsid w:val="03D549B7"/>
    <w:rsid w:val="05590832"/>
    <w:rsid w:val="05D86EA4"/>
    <w:rsid w:val="061D286A"/>
    <w:rsid w:val="084E1401"/>
    <w:rsid w:val="08C118FD"/>
    <w:rsid w:val="0A1017D3"/>
    <w:rsid w:val="0D397A5A"/>
    <w:rsid w:val="0DB51026"/>
    <w:rsid w:val="1374410A"/>
    <w:rsid w:val="14DE3F33"/>
    <w:rsid w:val="16FA2753"/>
    <w:rsid w:val="1875452B"/>
    <w:rsid w:val="1D623E20"/>
    <w:rsid w:val="1E2E3FC6"/>
    <w:rsid w:val="1FCB52F8"/>
    <w:rsid w:val="1FE41A04"/>
    <w:rsid w:val="201451F7"/>
    <w:rsid w:val="216D3EB1"/>
    <w:rsid w:val="222D5B7B"/>
    <w:rsid w:val="231B38A8"/>
    <w:rsid w:val="23EA606D"/>
    <w:rsid w:val="260D0777"/>
    <w:rsid w:val="28B80200"/>
    <w:rsid w:val="2A1F00A4"/>
    <w:rsid w:val="2A7228D5"/>
    <w:rsid w:val="2AAB0D01"/>
    <w:rsid w:val="308A13EE"/>
    <w:rsid w:val="35676411"/>
    <w:rsid w:val="36221F90"/>
    <w:rsid w:val="36A4092B"/>
    <w:rsid w:val="371239CE"/>
    <w:rsid w:val="3991173B"/>
    <w:rsid w:val="3C13054C"/>
    <w:rsid w:val="3C942B7F"/>
    <w:rsid w:val="3CB60639"/>
    <w:rsid w:val="3F0C46A6"/>
    <w:rsid w:val="3F165ACD"/>
    <w:rsid w:val="3F676329"/>
    <w:rsid w:val="43E43E98"/>
    <w:rsid w:val="448636F5"/>
    <w:rsid w:val="45020EF2"/>
    <w:rsid w:val="45C5024D"/>
    <w:rsid w:val="48BC071B"/>
    <w:rsid w:val="4A607364"/>
    <w:rsid w:val="4AF36B33"/>
    <w:rsid w:val="4C38297E"/>
    <w:rsid w:val="54275B11"/>
    <w:rsid w:val="5487287E"/>
    <w:rsid w:val="54A656ED"/>
    <w:rsid w:val="552D2A4F"/>
    <w:rsid w:val="55374779"/>
    <w:rsid w:val="56F269C8"/>
    <w:rsid w:val="571378BA"/>
    <w:rsid w:val="58EC6CE0"/>
    <w:rsid w:val="598451E3"/>
    <w:rsid w:val="59F8443E"/>
    <w:rsid w:val="5C1A6838"/>
    <w:rsid w:val="5C61301A"/>
    <w:rsid w:val="5D224E7C"/>
    <w:rsid w:val="5D397D9D"/>
    <w:rsid w:val="5EBE66CE"/>
    <w:rsid w:val="5FE22C37"/>
    <w:rsid w:val="60A93AF6"/>
    <w:rsid w:val="61D155F9"/>
    <w:rsid w:val="621912AD"/>
    <w:rsid w:val="62214BCD"/>
    <w:rsid w:val="63A63014"/>
    <w:rsid w:val="64D76766"/>
    <w:rsid w:val="661605B9"/>
    <w:rsid w:val="6992305E"/>
    <w:rsid w:val="6A364414"/>
    <w:rsid w:val="6B470B0F"/>
    <w:rsid w:val="6BA73AAA"/>
    <w:rsid w:val="6BB31511"/>
    <w:rsid w:val="6BF95081"/>
    <w:rsid w:val="6C847C6A"/>
    <w:rsid w:val="6F1A48B6"/>
    <w:rsid w:val="6FC1574C"/>
    <w:rsid w:val="70725FDF"/>
    <w:rsid w:val="70E231B1"/>
    <w:rsid w:val="71074DB7"/>
    <w:rsid w:val="724E32D1"/>
    <w:rsid w:val="73844AB9"/>
    <w:rsid w:val="75BB6901"/>
    <w:rsid w:val="75E26B52"/>
    <w:rsid w:val="7660403B"/>
    <w:rsid w:val="76AA579A"/>
    <w:rsid w:val="76FE35A2"/>
    <w:rsid w:val="78D420CA"/>
    <w:rsid w:val="7BDE0750"/>
    <w:rsid w:val="7CBD5F0A"/>
    <w:rsid w:val="7E6C76CB"/>
    <w:rsid w:val="7E98034C"/>
    <w:rsid w:val="7F737D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1295</Words>
  <Characters>1302</Characters>
  <Lines>0</Lines>
  <Paragraphs>0</Paragraphs>
  <TotalTime>23</TotalTime>
  <ScaleCrop>false</ScaleCrop>
  <LinksUpToDate>false</LinksUpToDate>
  <CharactersWithSpaces>1308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2022-09-12T09:15:00Z</dcterms:created>
  <dc:creator>Horace Chi</dc:creator>
  <cp:lastModifiedBy>981093859</cp:lastModifiedBy>
  <dcterms:modified xsi:type="dcterms:W3CDTF">2025-07-30T08:58:26Z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3295CE9FF094430D9250492EB8FC2F8E_13</vt:lpwstr>
  </property>
  <property fmtid="{D5CDD505-2E9C-101B-9397-08002B2CF9AE}" pid="4" name="KSOTemplateDocerSaveRecord">
    <vt:lpwstr>eyJoZGlkIjoiMDdmYWJhYTNiZDExYmE1ZWY5NjJhMGY5MTY5MzczM2IiLCJ1c2VySWQiOiIyMDgwMjUyMjUifQ==</vt:lpwstr>
  </property>
</Properties>
</file>