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rPr>
      </w:r>
    </w:p>
    <w:p>
      <w:pPr>
        <w:spacing w:after="160"/>
        <w:jc w:val="center"/>
      </w:pPr>
      <w:r>
        <w:rPr>
          <w:rFonts w:ascii="Times New Roman" w:hAnsi="Times New Roman"/>
          <w:b/>
          <w:i w:val="0"/>
          <w:sz w:val="32"/>
        </w:rPr>
        <w:t>Protein Complex Membership Governs the Sign and Detectability of Epistasis at Physical Interaction Interfaces in Yeast</w:t>
      </w:r>
    </w:p>
    <w:p>
      <w:pPr>
        <w:spacing w:after="40"/>
      </w:pPr>
      <w:r>
        <w:rPr>
          <w:rFonts w:ascii="Times New Roman" w:hAnsi="Times New Roman"/>
        </w:rPr>
      </w:r>
    </w:p>
    <w:p>
      <w:pPr>
        <w:spacing w:after="80"/>
        <w:jc w:val="center"/>
      </w:pPr>
      <w:r>
        <w:rPr>
          <w:rFonts w:ascii="Times New Roman" w:hAnsi="Times New Roman"/>
          <w:b w:val="0"/>
          <w:i/>
          <w:sz w:val="24"/>
        </w:rPr>
        <w:t>A genome-scale comparison of the Saccharomyces cerevisiae synthetic genetic array and proteome-scale protein interactome</w:t>
      </w:r>
    </w:p>
    <w:p>
      <w:pPr>
        <w:spacing w:after="40"/>
      </w:pPr>
      <w:r>
        <w:rPr>
          <w:rFonts w:ascii="Times New Roman" w:hAnsi="Times New Roman"/>
        </w:rPr>
      </w:r>
    </w:p>
    <w:p>
      <w:pPr>
        <w:spacing w:after="40"/>
      </w:pPr>
      <w:r>
        <w:rPr>
          <w:rFonts w:ascii="Times New Roman" w:hAnsi="Times New Roman"/>
        </w:rPr>
      </w:r>
    </w:p>
    <w:p>
      <w:pPr>
        <w:spacing w:before="280" w:after="80"/>
        <w:jc w:val="left"/>
      </w:pPr>
      <w:r>
        <w:rPr>
          <w:rFonts w:ascii="Times New Roman" w:hAnsi="Times New Roman"/>
          <w:b/>
          <w:i w:val="0"/>
          <w:sz w:val="28"/>
        </w:rPr>
        <w:t>Abstract</w:t>
      </w:r>
    </w:p>
    <w:p>
      <w:pPr>
        <w:spacing w:before="0" w:after="120"/>
        <w:jc w:val="both"/>
      </w:pPr>
      <w:r>
        <w:rPr>
          <w:rFonts w:ascii="Times New Roman" w:hAnsi="Times New Roman"/>
          <w:b w:val="0"/>
          <w:i w:val="0"/>
          <w:sz w:val="24"/>
        </w:rPr>
        <w:t>Genetic interactions and protein-protein interactions (PPIs) each reflect how genes and proteins cooperate to sustain cellular function, yet their quantitative relationship remains poorly defined. We compared the near-complete yeast synthetic genetic array (SGA) dataset of Costanzo et al. (2016) with the proteome-scale PPI map of Michaelis et al. (2023), which covers 31,004 physical interactions among 3,927 proteins. Using the standard SGA significance threshold (|epsilon| &gt;= 0.08, p &lt; 0.05), PPI interfaces concentrate genetic interactions at 4.0-fold the genome-wide background rate (1,044 of 8,997 tested pairs; z = 49.1). Within-complex protein pairs are 2.4-fold more enriched at this intersection than between-complex pairs (Fisher exact, OR = 2.39, p = 2.3 x 10^-32). Within-complex physical contacts are strongly enriched for positive epistasis (55.2% positive versus 35.6% genome-wide background; OR = 2.23, p = 7.0 x 10^-30), whereas between-complex contacts show no departure from the background sign distribution (34.3% positive, OR = 0.95, p = 0.73). Physical interaction score significantly predicts genetic interaction magnitude within complexes (Spearman r = 0.143, p = 4.6 x 10^-5) but not between complexes (r = 0.044, p = 0.50). These findings establish that protein complex membership, rather than the fact of physical association, is the primary determinant of both the likelihood and the sign of epistasis at physical interaction interfaces.</w:t>
      </w:r>
    </w:p>
    <w:p>
      <w:pPr>
        <w:spacing w:after="40"/>
      </w:pPr>
      <w:r>
        <w:rPr>
          <w:rFonts w:ascii="Times New Roman" w:hAnsi="Times New Roman"/>
        </w:rPr>
      </w:r>
    </w:p>
    <w:p>
      <w:pPr>
        <w:spacing w:after="80"/>
        <w:jc w:val="both"/>
      </w:pPr>
      <w:r>
        <w:rPr>
          <w:rFonts w:ascii="Times New Roman" w:hAnsi="Times New Roman"/>
          <w:b/>
          <w:i w:val="0"/>
          <w:sz w:val="24"/>
        </w:rPr>
        <w:t xml:space="preserve">Keywords: </w:t>
      </w:r>
      <w:r>
        <w:rPr>
          <w:rFonts w:ascii="Times New Roman" w:hAnsi="Times New Roman"/>
          <w:b w:val="0"/>
          <w:i w:val="0"/>
          <w:sz w:val="24"/>
        </w:rPr>
        <w:t>genetic interactions, protein-protein interactions, Saccharomyces cerevisiae, epistasis, protein complexes, SGA, interactome</w:t>
      </w:r>
    </w:p>
    <w:p>
      <w:r>
        <w:br w:type="page"/>
      </w:r>
    </w:p>
    <w:p>
      <w:pPr>
        <w:spacing w:before="280" w:after="80"/>
        <w:jc w:val="left"/>
      </w:pPr>
      <w:r>
        <w:rPr>
          <w:rFonts w:ascii="Times New Roman" w:hAnsi="Times New Roman"/>
          <w:b/>
          <w:i w:val="0"/>
          <w:sz w:val="28"/>
        </w:rPr>
        <w:t>Introduction</w:t>
      </w:r>
    </w:p>
    <w:p>
      <w:pPr>
        <w:spacing w:before="0" w:after="120"/>
        <w:jc w:val="both"/>
      </w:pPr>
      <w:r>
        <w:rPr>
          <w:rFonts w:ascii="Times New Roman" w:hAnsi="Times New Roman"/>
          <w:b w:val="0"/>
          <w:i w:val="0"/>
          <w:sz w:val="24"/>
        </w:rPr>
        <w:t>Two large-scale technologies have mapped the functional organization of Saccharomyces cerevisiae. Synthetic genetic array (SGA) analysis detects functional redundancies by measuring fitness defects in double-deletion strains [1,2]. Affinity-based proteomics catalogs direct physical contacts between proteins [3,4,5]. Together, these approaches have generated the most comprehensive functional genomics datasets available for any eukaryote. Because they interrogate fundamentally different properties, the degree to which their networks agree or diverge, and what disagreements imply biologically, has remained largely unresolved.</w:t>
      </w:r>
    </w:p>
    <w:p>
      <w:pPr>
        <w:spacing w:before="0" w:after="120"/>
        <w:jc w:val="both"/>
      </w:pPr>
      <w:r>
        <w:rPr>
          <w:rFonts w:ascii="Times New Roman" w:hAnsi="Times New Roman"/>
          <w:b w:val="0"/>
          <w:i w:val="0"/>
          <w:sz w:val="24"/>
        </w:rPr>
        <w:t>SGA quantifies genetic interactions (GIs) as epsilon scores: the deviation of a double mutant's fitness from the product of its single-mutant fitnesses [1]. Negative epsilon values (synthetic sick or lethal) indicate that the two genes buffer each other's loss, typically through parallel or redundant mechanisms. Positive values indicate that both genes impair the same functional pathway, rendering the second mutation phenotypically inconsequential. Costanzo et al. (2010) and Costanzo et al. (2016) applied this approach at genome scale, generating approximately 23 million double-mutant measurements across the non-essential gene space and revealing that functionally related genes cluster by GI profile, with protein complexes occupying the cores of dense intra-cluster modules [2,6].</w:t>
      </w:r>
    </w:p>
    <w:p>
      <w:pPr>
        <w:spacing w:before="0" w:after="120"/>
        <w:jc w:val="both"/>
      </w:pPr>
      <w:r>
        <w:rPr>
          <w:rFonts w:ascii="Times New Roman" w:hAnsi="Times New Roman"/>
          <w:b w:val="0"/>
          <w:i w:val="0"/>
          <w:sz w:val="24"/>
        </w:rPr>
        <w:t>Protein-protein interaction maps have undergone parallel expansions. Krogan et al. (2006) and Gavin et al. (2006) used tandem affinity purification coupled with mass spectrometry to resolve the yeast protein complex landscape [3,4]. Michaelis et al. (2023) extended this to a near-complete interactome of 31,004 interactions among 3,927 proteins, using three independent evidence layers to produce a composite confidence score and organizing the network into 617 Markov clusters that define functional complex assignments [5]. This dataset offers the first opportunity to test, at near-complete resolution, how physical interaction strength maps onto genetic coupling at both global and per-complex levels.</w:t>
      </w:r>
    </w:p>
    <w:p>
      <w:pPr>
        <w:spacing w:before="0" w:after="120"/>
        <w:jc w:val="both"/>
      </w:pPr>
      <w:r>
        <w:rPr>
          <w:rFonts w:ascii="Times New Roman" w:hAnsi="Times New Roman"/>
          <w:b w:val="0"/>
          <w:i w:val="0"/>
          <w:sz w:val="24"/>
        </w:rPr>
        <w:t>Conceptually, the between-pathway model predicts that proteins within the same complex show positive GIs, because any subunit loss impairs the same functional unit, whereas proteins in parallel pathways show negative GIs through mutual functional buffering [2,7]. Whether this model applies uniformly to the subset of between-pathway pairs that make physical contact, and whether physical interaction confidence predicts GI magnitude within and between complexes, are questions that prior work has not addressed with continuous, proteome-scale data. Here we perform this comparison directly and find that protein complex membership, not the fact of physical contact, determines both the likelihood and the sign of epistasis at a physical interface.</w:t>
      </w:r>
    </w:p>
    <w:p>
      <w:pPr>
        <w:spacing w:before="280" w:after="80"/>
        <w:jc w:val="left"/>
      </w:pPr>
      <w:r>
        <w:rPr>
          <w:rFonts w:ascii="Times New Roman" w:hAnsi="Times New Roman"/>
          <w:b/>
          <w:i w:val="0"/>
          <w:sz w:val="28"/>
        </w:rPr>
        <w:t>Results</w:t>
      </w:r>
    </w:p>
    <w:p>
      <w:pPr>
        <w:spacing w:before="200" w:after="80"/>
        <w:jc w:val="left"/>
      </w:pPr>
      <w:r>
        <w:rPr>
          <w:rFonts w:ascii="Times New Roman" w:hAnsi="Times New Roman"/>
          <w:b/>
          <w:i w:val="0"/>
          <w:sz w:val="24"/>
        </w:rPr>
        <w:t>PPI interfaces concentrate genetic interactions at 4-fold the genome-wide background rate</w:t>
      </w:r>
    </w:p>
    <w:p>
      <w:pPr>
        <w:spacing w:before="0" w:after="120"/>
        <w:jc w:val="both"/>
      </w:pPr>
      <w:r>
        <w:rPr>
          <w:rFonts w:ascii="Times New Roman" w:hAnsi="Times New Roman"/>
          <w:b w:val="0"/>
          <w:i w:val="0"/>
          <w:sz w:val="24"/>
        </w:rPr>
        <w:t>The Michaelis et al. (2023) dataset contains 31,004 physical interactions among 3,927 S. cerevisiae proteins organized into 617 Markov clusters. Of 12,698,939 SGA gene-pair measurements, 10,707,139 involve at least one gene product present in the PPI network, yielding 7,721,253 unique tested pairs. Using the standard significance threshold of |epsilon| &gt;= 0.08 and p &lt; 0.05 [2], 223,155 pairs carry a significant GI (background rate: 2.90%).</w:t>
      </w:r>
    </w:p>
    <w:p>
      <w:pPr>
        <w:spacing w:before="0" w:after="120"/>
        <w:jc w:val="both"/>
      </w:pPr>
      <w:r>
        <w:rPr>
          <w:rFonts w:ascii="Times New Roman" w:hAnsi="Times New Roman"/>
          <w:b w:val="0"/>
          <w:i w:val="0"/>
          <w:sz w:val="24"/>
        </w:rPr>
        <w:t>Of the 31,004 PPI pairs, 8,997 are directly tested by SGA: 1,044 carry a significant GI (3.4%) and 7,953 are measured but below threshold (Figure 1). Under a binomial null model at the 2.90% background rate, only 261 overlapping pairs are expected by chance. The observed 1,044 represent a 4.0-fold enrichment (z = 49.1, p &lt; 10^-100). The remaining 22,007 PPI pairs (71.0%) lack SGA measurements, predominantly because one or both partners are essential genes excluded from the non-essential SGA screen. In the other direction, 223,155 significant GI pairs lack a PPI counterpart, confirming that most genetic buffering operates between non-contacting proteins.</w:t>
      </w:r>
    </w:p>
    <w:p>
      <w:pPr>
        <w:spacing w:before="200" w:after="80"/>
        <w:jc w:val="left"/>
      </w:pPr>
      <w:r>
        <w:rPr>
          <w:rFonts w:ascii="Times New Roman" w:hAnsi="Times New Roman"/>
          <w:b/>
          <w:i w:val="0"/>
          <w:sz w:val="24"/>
        </w:rPr>
        <w:t>Discordant PPI pairs carry sub-threshold genetic signal</w:t>
      </w:r>
    </w:p>
    <w:p>
      <w:pPr>
        <w:spacing w:before="0" w:after="120"/>
        <w:jc w:val="both"/>
      </w:pPr>
      <w:r>
        <w:rPr>
          <w:rFonts w:ascii="Times New Roman" w:hAnsi="Times New Roman"/>
          <w:b w:val="0"/>
          <w:i w:val="0"/>
          <w:sz w:val="24"/>
        </w:rPr>
        <w:t>Among PPI pairs with direct SGA measurements, those lacking a significant GI are not biologically silent. The mean absolute epsilon for PPI-measured but non-significant pairs is 0.027, compared with 0.204 for concordant (Both) pairs (Mann-Whitney U, p &lt; 10^-100; Figure 2). This 7.5-fold difference establishes that discordant pairs retain residual genetic signal below the detection threshold. Concordant pairs also receive higher PPI interaction scores (mean 4.74 versus 3.44; Mann-Whitney U, p = 4.2 x 10^-49; Figure 3), indicating that higher-confidence physical interactions are modestly more likely to produce detectable genetic coupling.</w:t>
      </w:r>
    </w:p>
    <w:p>
      <w:pPr>
        <w:spacing w:before="0" w:after="120"/>
        <w:jc w:val="both"/>
      </w:pPr>
      <w:r>
        <w:rPr>
          <w:rFonts w:ascii="Times New Roman" w:hAnsi="Times New Roman"/>
          <w:b w:val="0"/>
          <w:i w:val="0"/>
          <w:sz w:val="24"/>
        </w:rPr>
        <w:t>A receiver operating characteristic analysis using PPI score to predict GI significance in the 8,997 measured pairs yields an AUC of 0.630 (Figure 5). Although significantly above chance, this value establishes that PPI confidence alone explains only a modest fraction of the variance in genetic coupling. Pathway architecture and the availability of compensatory routes are likely the predominant determinants of whether a physical contact generates a detectable GI.</w:t>
      </w:r>
    </w:p>
    <w:p>
      <w:pPr>
        <w:spacing w:before="200" w:after="80"/>
        <w:jc w:val="left"/>
      </w:pPr>
      <w:r>
        <w:rPr>
          <w:rFonts w:ascii="Times New Roman" w:hAnsi="Times New Roman"/>
          <w:b/>
          <w:i w:val="0"/>
          <w:sz w:val="24"/>
        </w:rPr>
        <w:t>Within-complex contacts are enriched for positive epistasis; between-complex contacts are not</w:t>
      </w:r>
    </w:p>
    <w:p>
      <w:pPr>
        <w:spacing w:before="0" w:after="120"/>
        <w:jc w:val="both"/>
      </w:pPr>
      <w:r>
        <w:rPr>
          <w:rFonts w:ascii="Times New Roman" w:hAnsi="Times New Roman"/>
          <w:b w:val="0"/>
          <w:i w:val="0"/>
          <w:sz w:val="24"/>
        </w:rPr>
        <w:t>Among the 1,044 concordant pairs, 811 involve proteins from the same Markov cluster (within-complex, 77.7%) and 233 involve proteins from different clusters (between-complex, 22.3%). Within-complex pairs are 2.4-fold more enriched among concordant than among non-significant pairs (Fisher exact, OR = 2.39, p = 2.3 x 10^-32), establishing that intra-complex physical contacts are substantially more likely to generate detectable genetic interactions.</w:t>
      </w:r>
    </w:p>
    <w:p>
      <w:pPr>
        <w:spacing w:before="0" w:after="120"/>
        <w:jc w:val="both"/>
      </w:pPr>
      <w:r>
        <w:rPr>
          <w:rFonts w:ascii="Times New Roman" w:hAnsi="Times New Roman"/>
          <w:b w:val="0"/>
          <w:i w:val="0"/>
          <w:sz w:val="24"/>
        </w:rPr>
        <w:t>GI sign distributions for the two interface classes diverge in a functionally informative way (Figure 6). Within-complex Both pairs are 55.2% positive, a 1.55-fold enrichment over the genome-wide positive-GI rate of 35.6% among all significant SGA pairs (Fisher exact, OR = 2.23, p = 7.0 x 10^-30; [2]). Within-complex physical contacts thus strongly recapitulate the same-pathway positive epistasis signature. Between-complex Both pairs, by contrast, are 34.3% positive, statistically indistinguishable from the genome-wide background (OR = 0.95, p = 0.73). Physical contacts that bridge different functional modules therefore generate GIs at 4-fold the background rate, but with the same sign distribution as non-interacting gene pairs. These inter-complex bridging contacts appear to participate in between-pathway genetic buffering without any additional sign bias attributable to the physical contact itself.</w:t>
      </w:r>
    </w:p>
    <w:p>
      <w:pPr>
        <w:spacing w:before="200" w:after="80"/>
        <w:jc w:val="left"/>
      </w:pPr>
      <w:r>
        <w:rPr>
          <w:rFonts w:ascii="Times New Roman" w:hAnsi="Times New Roman"/>
          <w:b/>
          <w:i w:val="0"/>
          <w:sz w:val="24"/>
        </w:rPr>
        <w:t>Physical interaction strength predicts GI magnitude within but not between complexes</w:t>
      </w:r>
    </w:p>
    <w:p>
      <w:pPr>
        <w:spacing w:before="0" w:after="120"/>
        <w:jc w:val="both"/>
      </w:pPr>
      <w:r>
        <w:rPr>
          <w:rFonts w:ascii="Times New Roman" w:hAnsi="Times New Roman"/>
          <w:b w:val="0"/>
          <w:i w:val="0"/>
          <w:sz w:val="24"/>
        </w:rPr>
        <w:t>Across all 1,044 concordant pairs, PPI score and absolute GI epsilon show a modest but significant positive correlation (Spearman r = 0.150, p = 1.1 x 10^-6; Pearson r = 0.140, p = 5.8 x 10^-6; Figure 4). The correlation is stronger for positive GIs (Spearman r = 0.258, p = 1.7 x 10^-9, n = 528) than for negative GIs (r = 0.185, p = 2.5 x 10^-5, n = 516).</w:t>
      </w:r>
    </w:p>
    <w:p>
      <w:pPr>
        <w:spacing w:before="0" w:after="120"/>
        <w:jc w:val="both"/>
      </w:pPr>
      <w:r>
        <w:rPr>
          <w:rFonts w:ascii="Times New Roman" w:hAnsi="Times New Roman"/>
          <w:b w:val="0"/>
          <w:i w:val="0"/>
          <w:sz w:val="24"/>
        </w:rPr>
        <w:t>Stratifying by complex membership reveals a critical asymmetry. Within-complex pairs show a significant correlation (Spearman r = 0.143, p = 4.6 x 10^-5, n = 811; mean |epsilon| = 0.212), whereas between-complex pairs do not (r = 0.044, p = 0.50, n = 233; mean |epsilon| = 0.176). Physical interaction confidence therefore tracks genetic interaction magnitude only within functional modules, where co-purification efficiency plausibly reflects structural indispensability. At inter-complex interfaces, the determinants of GI magnitude are decoupled from interaction confidence.</w:t>
      </w:r>
    </w:p>
    <w:p>
      <w:pPr>
        <w:spacing w:before="200" w:after="80"/>
        <w:jc w:val="left"/>
      </w:pPr>
      <w:r>
        <w:rPr>
          <w:rFonts w:ascii="Times New Roman" w:hAnsi="Times New Roman"/>
          <w:b/>
          <w:i w:val="0"/>
          <w:sz w:val="24"/>
        </w:rPr>
        <w:t>Complex identity shapes the epistasis landscape at physical interfaces</w:t>
      </w:r>
    </w:p>
    <w:p>
      <w:pPr>
        <w:spacing w:before="0" w:after="120"/>
        <w:jc w:val="both"/>
      </w:pPr>
      <w:r>
        <w:rPr>
          <w:rFonts w:ascii="Times New Roman" w:hAnsi="Times New Roman"/>
          <w:b w:val="0"/>
          <w:i w:val="0"/>
          <w:sz w:val="24"/>
        </w:rPr>
        <w:t>Grouping within-complex concordant pairs by Markov cluster identified 214 clusters with at least one Both pair, of which 68 contained five or more pairs for per-cluster analysis (Figures 7, 8). Per-cluster Spearman correlations between PPI score and |GI epsilon| vary widely. The mitochondrial ribosome (MRPL19/MRPL10/MRPL24; n = 75) shows the strongest significant positive correlation (r = 0.297, p = 0.010), suggesting that mitochondrial ribosomal contacts vary in functional indispensability in proportion to co-purification efficiency. The large and small cytoplasmic ribosomal subunit clusters (n = 91 and 99) show no significant correlation (r = 0.096 and r = 0.115), consistent with all cytoplasmic ribosomal contacts being uniformly indispensable.</w:t>
      </w:r>
    </w:p>
    <w:p>
      <w:pPr>
        <w:spacing w:before="0" w:after="120"/>
        <w:jc w:val="both"/>
      </w:pPr>
      <w:r>
        <w:rPr>
          <w:rFonts w:ascii="Times New Roman" w:hAnsi="Times New Roman"/>
          <w:b w:val="0"/>
          <w:i w:val="0"/>
          <w:sz w:val="24"/>
        </w:rPr>
        <w:t>The fraction of positive GIs within each complex also varies systematically with complex function. The spliceosome (PRP4/DIB1/SNU66; n = 43) shows 91% negative GI, and the nuclear pore complex (POM152/MTR2/NUP188; n = 14) shows 100% negative GI. We note that both complexes contain near-essential components, so some of this pattern may reflect the near-essential gene context rather than a distinctive property of the physical contacts themselves; further analysis with essential-gene GI data will be needed to fully disentangle these contributions. In contrast, the Sin3-associated chromatin regulatory cluster (STB3/CTI6/SIN3; n = 24) shows 96% positive GI and the elongator complex (ELP2/ELP3/ELP4; n = 16) shows 100% positive GI, consistent with these modules functioning as integrated units in which any component loss produces the same partial functional deficit. This pattern implies that the balance of positive and negative GI within a complex primarily reflects whether individual components are rate-limiting for complex activity, not whether they physically contact each other.</w:t>
      </w:r>
    </w:p>
    <w:p>
      <w:pPr>
        <w:spacing w:before="280" w:after="80"/>
        <w:jc w:val="left"/>
      </w:pPr>
      <w:r>
        <w:rPr>
          <w:rFonts w:ascii="Times New Roman" w:hAnsi="Times New Roman"/>
          <w:b/>
          <w:i w:val="0"/>
          <w:sz w:val="28"/>
        </w:rPr>
        <w:t>Discussion</w:t>
      </w:r>
    </w:p>
    <w:p>
      <w:pPr>
        <w:spacing w:before="0" w:after="120"/>
        <w:jc w:val="both"/>
      </w:pPr>
      <w:r>
        <w:rPr>
          <w:rFonts w:ascii="Times New Roman" w:hAnsi="Times New Roman"/>
          <w:b w:val="0"/>
          <w:i w:val="0"/>
          <w:sz w:val="24"/>
        </w:rPr>
        <w:t>Physical interaction interfaces in yeast are 4-fold enriched for genetic interactions, but this enrichment is not uniform: within-complex contacts are 2.4-fold more enriched than between-complex contacts, and only within-complex contacts shift the balance toward positive epistasis. Between-complex contacts generate GIs at 4-fold the background rate but with the same sign distribution as the rest of the GI network, revealing that physical contact at an inter-complex interface is neither necessary nor sufficient to bias epistasis sign. Protein complex membership, not the existence of a physical contact, governs the direction of genetic coupling.</w:t>
      </w:r>
    </w:p>
    <w:p>
      <w:pPr>
        <w:spacing w:before="0" w:after="120"/>
        <w:jc w:val="both"/>
      </w:pPr>
      <w:r>
        <w:rPr>
          <w:rFonts w:ascii="Times New Roman" w:hAnsi="Times New Roman"/>
          <w:b w:val="0"/>
          <w:i w:val="0"/>
          <w:sz w:val="24"/>
        </w:rPr>
        <w:t>The within-complex enrichment for positive GI (1.55x; p = 7.0 x 10^-30) directly quantifies, for the first time at near-proteome scale, the same-pathway epistasis logic central to network biology: proteins that physically associate within a complex tend to function in the same pathway, so disrupting both produces no additional phenotypic cost beyond either single mutant. That this enrichment is specific to within-complex contacts and absent from between-complex contacts indicates that the spatial context of a physical interface, whether within one module or bridging two, is as informative as the interaction itself. Future interaction scoring systems that incorporate complex membership alongside co-purification confidence may therefore better capture the functional context of a physical contact.</w:t>
      </w:r>
    </w:p>
    <w:p>
      <w:pPr>
        <w:spacing w:before="0" w:after="120"/>
        <w:jc w:val="both"/>
      </w:pPr>
      <w:r>
        <w:rPr>
          <w:rFonts w:ascii="Times New Roman" w:hAnsi="Times New Roman"/>
          <w:b w:val="0"/>
          <w:i w:val="0"/>
          <w:sz w:val="24"/>
        </w:rPr>
        <w:t>The behavior of between-complex contacts is equally informative by its neutrality. These contacts generate GIs at above-background rates yet show no bias in epistasis sign, implying that the physical bridge between two modules does not, on its own, impose a same-pathway or between-pathway logic. A plausible interpretation is that inter-complex bridging contacts are functionally heterogeneous: some connect proteins in truly parallel pathways (generating negative GIs), others connect proteins with shared outputs (generating positive GIs), and the two cancel at the population level. A testable prediction of this model is that inter-complex bridging proteins with high structural conservation across species will show more biased GI sign distributions than lineage-specific bridging contacts, because structural conservation would select for functionally homogeneous bridge types. This prediction can be tested by integrating cross-species epistasis maps [9] with the current interactome data.</w:t>
      </w:r>
    </w:p>
    <w:p>
      <w:pPr>
        <w:spacing w:before="0" w:after="120"/>
        <w:jc w:val="both"/>
      </w:pPr>
      <w:r>
        <w:rPr>
          <w:rFonts w:ascii="Times New Roman" w:hAnsi="Times New Roman"/>
          <w:b w:val="0"/>
          <w:i w:val="0"/>
          <w:sz w:val="24"/>
        </w:rPr>
        <w:t>The complex-specific heterogeneity in epistasis architecture further refines the between-pathway model of GIs [7]. It was previously known that complex membership predicts GI sign at the population level; the present data reveal that this rule has substantial within-complex variance controlled by the essentiality of complex function and the degree of individual component dispensability. Complexes involved in near-essential processes, such as splicing and nuclear transport, are enriched for negative GIs because any pair of subunit mutations together collapses an essential function. Complexes that tolerate partial loss of individual components, such as elongator and the Sin3 complex, are enriched for positive GIs because any component loss produces the same partial impairment. This distinction, between essential-complex negative epistasis and dispensable-complex positive epistasis, is likely to generalize to other organisms given the conservation of epistasis patterns observed in fission yeast [9].</w:t>
      </w:r>
    </w:p>
    <w:p>
      <w:pPr>
        <w:spacing w:before="0" w:after="120"/>
        <w:jc w:val="both"/>
      </w:pPr>
      <w:r>
        <w:rPr>
          <w:rFonts w:ascii="Times New Roman" w:hAnsi="Times New Roman"/>
          <w:b w:val="0"/>
          <w:i w:val="0"/>
          <w:sz w:val="24"/>
        </w:rPr>
        <w:t>The modest PPI-to-GI correlation (r = 0.150 globally; AUC = 0.630) has clear implications for multi-omic network integration. PPI data can prioritize candidate gene pairs for targeted GI screening, particularly within well-defined complexes such as the mitochondrial ribosome, where confidence score genuinely tracks GI magnitude. However, PPI data are not reliable proxies for GI data in general: the AUC of 0.630 means that a substantial fraction of high-confidence PPI pairs will not yield significant GIs, and the 223,155 significant GI pairs with no PPI counterpart represent a large, accessible space of functional relationships entirely invisible to co-purification approaches. Treating the two networks as orthogonal evidence layers in integrative models will therefore capture more functional information than treating one as a proxy for the other.</w:t>
      </w:r>
    </w:p>
    <w:p>
      <w:pPr>
        <w:spacing w:before="0" w:after="120"/>
        <w:jc w:val="both"/>
      </w:pPr>
      <w:r>
        <w:rPr>
          <w:rFonts w:ascii="Times New Roman" w:hAnsi="Times New Roman"/>
          <w:b w:val="0"/>
          <w:i w:val="0"/>
          <w:sz w:val="24"/>
        </w:rPr>
        <w:t>Several limitations bound this analysis. The SGA dataset covers only non-essential gene pairs; the 71% of PPI pairs lacking SGA measurements are enriched for essential proteins that the current screen does not cover. Incorporating temperature-sensitive and DAmP allele data [6] would substantially increase coverage and may reveal higher overlap fractions. GI profiles are also condition-dependent [8]; interactions that are sub-threshold under standard growth conditions may reach significance under stress. Finally, co-purification efficiency is a proxy for, not a direct measure of, binding affinity; direct quantitative structural data on interface strength would enable a more mechanistic interpretation of the within-complex PPI-to-GI correlation.</w:t>
      </w:r>
    </w:p>
    <w:p>
      <w:pPr>
        <w:spacing w:before="280" w:after="80"/>
        <w:jc w:val="left"/>
      </w:pPr>
      <w:r>
        <w:rPr>
          <w:rFonts w:ascii="Times New Roman" w:hAnsi="Times New Roman"/>
          <w:b/>
          <w:i w:val="0"/>
          <w:sz w:val="28"/>
        </w:rPr>
        <w:t>Methods</w:t>
      </w:r>
    </w:p>
    <w:p>
      <w:pPr>
        <w:spacing w:before="200" w:after="80"/>
        <w:jc w:val="left"/>
      </w:pPr>
      <w:r>
        <w:rPr>
          <w:rFonts w:ascii="Times New Roman" w:hAnsi="Times New Roman"/>
          <w:b/>
          <w:i w:val="0"/>
          <w:sz w:val="24"/>
        </w:rPr>
        <w:t>Data acquisition</w:t>
      </w:r>
    </w:p>
    <w:p>
      <w:pPr>
        <w:spacing w:before="0" w:after="120"/>
        <w:jc w:val="both"/>
      </w:pPr>
      <w:r>
        <w:rPr>
          <w:rFonts w:ascii="Times New Roman" w:hAnsi="Times New Roman"/>
          <w:b w:val="0"/>
          <w:i w:val="0"/>
          <w:sz w:val="24"/>
        </w:rPr>
        <w:t>Genetic interaction data were downloaded from thecellmap.org (Costanzo et al., 2016). The file SGA_NxN.txt contains 12,698,939 measurements for non-essential S. cerevisiae gene pairs, with columns for query and array strain identifiers, epsilon score, p-value, single-mutant fitnesses, and double-mutant fitness. Protein-protein interaction data were taken from Supplementary Data 2 of Michaelis et al. (2023), comprising a semicolon-delimited edge file (31,004 edges) and a node file (3,927 proteins), both using SGD ORF identifiers as primary keys. Markov cluster assignments from the node file (617 clusters) defined protein complex membership throughout.</w:t>
      </w:r>
    </w:p>
    <w:p>
      <w:pPr>
        <w:spacing w:before="200" w:after="80"/>
        <w:jc w:val="left"/>
      </w:pPr>
      <w:r>
        <w:rPr>
          <w:rFonts w:ascii="Times New Roman" w:hAnsi="Times New Roman"/>
          <w:b/>
          <w:i w:val="0"/>
          <w:sz w:val="24"/>
        </w:rPr>
        <w:t>Data preprocessing</w:t>
      </w:r>
    </w:p>
    <w:p>
      <w:pPr>
        <w:spacing w:before="0" w:after="120"/>
        <w:jc w:val="both"/>
      </w:pPr>
      <w:r>
        <w:rPr>
          <w:rFonts w:ascii="Times New Roman" w:hAnsi="Times New Roman"/>
          <w:b w:val="0"/>
          <w:i w:val="0"/>
          <w:sz w:val="24"/>
        </w:rPr>
        <w:t>SGA strain identifiers (format YXXXXX_sn123) were parsed to extract ORF identifiers using a regular expression matching the SGD ORF pattern. SGA data were processed in 200,000-row chunks; rows in which at least one partner ORF appeared in the PPI network were retained (10,707,139 rows). Multiple SGA measurements per gene pair were aggregated by computing the mean epsilon score and minimum p-value across replicates. Gene pairs and PPI edges were represented as frozensets of sorted ORF identifiers for direction-independent matching. A GI was classified as significant if |epsilon| &gt;= 0.08 and p &lt; 0.05, following Costanzo et al. (2016) [2]. All analyses were performed in Python 3 using pandas, scipy.stats, numpy, scikit-learn, matplotlib, and seaborn.</w:t>
      </w:r>
    </w:p>
    <w:p>
      <w:pPr>
        <w:spacing w:before="200" w:after="80"/>
        <w:jc w:val="left"/>
      </w:pPr>
      <w:r>
        <w:rPr>
          <w:rFonts w:ascii="Times New Roman" w:hAnsi="Times New Roman"/>
          <w:b/>
          <w:i w:val="0"/>
          <w:sz w:val="24"/>
        </w:rPr>
        <w:t>Statistical analyses</w:t>
      </w:r>
    </w:p>
    <w:p>
      <w:pPr>
        <w:spacing w:before="0" w:after="120"/>
        <w:jc w:val="both"/>
      </w:pPr>
      <w:r>
        <w:rPr>
          <w:rFonts w:ascii="Times New Roman" w:hAnsi="Times New Roman"/>
          <w:b w:val="0"/>
          <w:i w:val="0"/>
          <w:sz w:val="24"/>
        </w:rPr>
        <w:t>The expected null-model overlap was computed as a binomial expectation: background_rate x n_measured_PPI_pairs, where background_rate = 223,155 / 7,721,253 = 2.90%. Enrichment significance used a normal approximation to the binomial (z-statistic). Distribution differences were assessed by two-sided Mann-Whitney U test. Within-complex versus between-complex enrichment in concordant pairs was tested by Fisher's exact test (2x2 table: [Both-within, Both-between; Nonsig-within, Nonsig-between]). GI sign enrichment relative to the genome-wide background (35.6% positive among all significant SGA pairs) was tested by Fisher's exact test with a 2x2 table of [observed-positive, observed-negative; background-positive, background-negative]. Spearman and Pearson correlations were computed with scipy.stats. Per-cluster correlations required a minimum of five concordant pairs. The ROC AUC used scikit-learn.metrics.roc_auc_score.</w:t>
      </w:r>
    </w:p>
    <w:p>
      <w:pPr>
        <w:spacing w:before="200" w:after="80"/>
        <w:jc w:val="left"/>
      </w:pPr>
      <w:r>
        <w:rPr>
          <w:rFonts w:ascii="Times New Roman" w:hAnsi="Times New Roman"/>
          <w:b/>
          <w:i w:val="0"/>
          <w:sz w:val="24"/>
        </w:rPr>
        <w:t>Data and code availability</w:t>
      </w:r>
    </w:p>
    <w:p>
      <w:pPr>
        <w:spacing w:before="0" w:after="120"/>
        <w:jc w:val="both"/>
      </w:pPr>
      <w:r>
        <w:rPr>
          <w:rFonts w:ascii="Times New Roman" w:hAnsi="Times New Roman"/>
          <w:b w:val="0"/>
          <w:i w:val="0"/>
          <w:sz w:val="24"/>
        </w:rPr>
        <w:t>All analysis scripts are available at https://github.com/hanyingjhuang/Genetic-interaction. SGA data are available at thecellmap.org (Costanzo et al., 2016). PPI data are available in Supplementary Data 2 of Michaelis et al. (2023) and at www.yeast-interactome.org.</w:t>
      </w:r>
    </w:p>
    <w:p>
      <w:pPr>
        <w:spacing w:before="280" w:after="80"/>
        <w:jc w:val="left"/>
      </w:pPr>
      <w:r>
        <w:rPr>
          <w:rFonts w:ascii="Times New Roman" w:hAnsi="Times New Roman"/>
          <w:b/>
          <w:i w:val="0"/>
          <w:sz w:val="28"/>
        </w:rPr>
        <w:t>References</w:t>
      </w:r>
    </w:p>
    <w:p>
      <w:pPr>
        <w:spacing w:after="80"/>
        <w:ind w:left="360" w:hanging="360"/>
        <w:jc w:val="both"/>
      </w:pPr>
      <w:r>
        <w:rPr>
          <w:rFonts w:ascii="Times New Roman" w:hAnsi="Times New Roman"/>
          <w:b w:val="0"/>
          <w:i w:val="0"/>
          <w:sz w:val="20"/>
        </w:rPr>
        <w:t>1. Tong AH, Evangelista M, Parsons AB, et al. Systematic genetic analysis with ordered arrays of yeast deletion mutants. Science. 2001;294(5550):2364-2368. PMID: 11743205</w:t>
      </w:r>
    </w:p>
    <w:p>
      <w:pPr>
        <w:spacing w:after="80"/>
        <w:ind w:left="360" w:hanging="360"/>
        <w:jc w:val="both"/>
      </w:pPr>
      <w:r>
        <w:rPr>
          <w:rFonts w:ascii="Times New Roman" w:hAnsi="Times New Roman"/>
          <w:b w:val="0"/>
          <w:i w:val="0"/>
          <w:sz w:val="20"/>
        </w:rPr>
        <w:t>2. Costanzo M, VanderSluis B, Koch EN, et al. A global genetic interaction network maps a wiring diagram of cellular function. Science. 2016;353(6306):aaf1420. PMID: 27708008</w:t>
      </w:r>
    </w:p>
    <w:p>
      <w:pPr>
        <w:spacing w:after="80"/>
        <w:ind w:left="360" w:hanging="360"/>
        <w:jc w:val="both"/>
      </w:pPr>
      <w:r>
        <w:rPr>
          <w:rFonts w:ascii="Times New Roman" w:hAnsi="Times New Roman"/>
          <w:b w:val="0"/>
          <w:i w:val="0"/>
          <w:sz w:val="20"/>
        </w:rPr>
        <w:t>3. Krogan NJ, Cagney G, Yu H, et al. Global landscape of protein complexes in the yeast Saccharomyces cerevisiae. Nature. 2006;440(7084):637-643. PMID: 16554755</w:t>
      </w:r>
    </w:p>
    <w:p>
      <w:pPr>
        <w:spacing w:after="80"/>
        <w:ind w:left="360" w:hanging="360"/>
        <w:jc w:val="both"/>
      </w:pPr>
      <w:r>
        <w:rPr>
          <w:rFonts w:ascii="Times New Roman" w:hAnsi="Times New Roman"/>
          <w:b w:val="0"/>
          <w:i w:val="0"/>
          <w:sz w:val="20"/>
        </w:rPr>
        <w:t>4. Gavin AC, Aloy P, Grandi P, et al. Proteome survey reveals modularity of the yeast cell machinery. Nature. 2006;440(7084):631-636. PMID: 16429126</w:t>
      </w:r>
    </w:p>
    <w:p>
      <w:pPr>
        <w:spacing w:after="80"/>
        <w:ind w:left="360" w:hanging="360"/>
        <w:jc w:val="both"/>
      </w:pPr>
      <w:r>
        <w:rPr>
          <w:rFonts w:ascii="Times New Roman" w:hAnsi="Times New Roman"/>
          <w:b w:val="0"/>
          <w:i w:val="0"/>
          <w:sz w:val="20"/>
        </w:rPr>
        <w:t>5. Michaelis AC, Brunner AD, Zwiebel M, et al. The social and structural architecture of the yeast protein interactome. Nature. 2023;624(7990):192-200. PMID: 37968396</w:t>
      </w:r>
    </w:p>
    <w:p>
      <w:pPr>
        <w:spacing w:after="80"/>
        <w:ind w:left="360" w:hanging="360"/>
        <w:jc w:val="both"/>
      </w:pPr>
      <w:r>
        <w:rPr>
          <w:rFonts w:ascii="Times New Roman" w:hAnsi="Times New Roman"/>
          <w:b w:val="0"/>
          <w:i w:val="0"/>
          <w:sz w:val="20"/>
        </w:rPr>
        <w:t>6. Costanzo M, Baryshnikova A, Bellay J, et al. The genetic landscape of a cell. Science. 2010;327(5964):425-431. PMID: 20093466</w:t>
      </w:r>
    </w:p>
    <w:p>
      <w:pPr>
        <w:spacing w:after="80"/>
        <w:ind w:left="360" w:hanging="360"/>
        <w:jc w:val="both"/>
      </w:pPr>
      <w:r>
        <w:rPr>
          <w:rFonts w:ascii="Times New Roman" w:hAnsi="Times New Roman"/>
          <w:b w:val="0"/>
          <w:i w:val="0"/>
          <w:sz w:val="20"/>
        </w:rPr>
        <w:t>7. Collins SR, Miller KM, Maas NL, et al. Functional dissection of protein complexes involved in yeast chromosome biology using a genetic interaction map. Nature. 2007;446(7137):806-810. PMID: 17314980</w:t>
      </w:r>
    </w:p>
    <w:p>
      <w:pPr>
        <w:spacing w:after="80"/>
        <w:ind w:left="360" w:hanging="360"/>
        <w:jc w:val="both"/>
      </w:pPr>
      <w:r>
        <w:rPr>
          <w:rFonts w:ascii="Times New Roman" w:hAnsi="Times New Roman"/>
          <w:b w:val="0"/>
          <w:i w:val="0"/>
          <w:sz w:val="20"/>
        </w:rPr>
        <w:t>8. Costanzo M, Hou J, Messier V, et al. Environmental robustness of the global yeast genetic interaction network. Science. 2021;372(6542):eabf8424. PMID: 33958448</w:t>
      </w:r>
    </w:p>
    <w:p>
      <w:pPr>
        <w:spacing w:after="80"/>
        <w:ind w:left="360" w:hanging="360"/>
        <w:jc w:val="both"/>
      </w:pPr>
      <w:r>
        <w:rPr>
          <w:rFonts w:ascii="Times New Roman" w:hAnsi="Times New Roman"/>
          <w:b w:val="0"/>
          <w:i w:val="0"/>
          <w:sz w:val="20"/>
        </w:rPr>
        <w:t>9. Roguev A, Bandyopadhyay S, Zofall M, et al. Conservation and rewiring of functional modules revealed by an epistasis map in fission yeast. Science. 2008;322(5900):405-410. PMID: 18818364</w:t>
      </w:r>
    </w:p>
    <w:p>
      <w:pPr>
        <w:spacing w:after="80"/>
        <w:ind w:left="360" w:hanging="360"/>
        <w:jc w:val="both"/>
      </w:pPr>
      <w:r>
        <w:rPr>
          <w:rFonts w:ascii="Times New Roman" w:hAnsi="Times New Roman"/>
          <w:b w:val="0"/>
          <w:i w:val="0"/>
          <w:sz w:val="20"/>
        </w:rPr>
        <w:t>10. van Leeuwen J, Pons C, Mellor JC, et al. Exploring genetic suppression interactions on a global scale. Science. 2016;354(6312):aag0839. PMID: 27811238</w:t>
      </w:r>
    </w:p>
    <w:p>
      <w:pPr>
        <w:spacing w:before="280" w:after="80"/>
        <w:jc w:val="left"/>
      </w:pPr>
      <w:r>
        <w:rPr>
          <w:rFonts w:ascii="Times New Roman" w:hAnsi="Times New Roman"/>
          <w:b/>
          <w:i w:val="0"/>
          <w:sz w:val="28"/>
        </w:rPr>
        <w:t>Figure Legends</w:t>
      </w:r>
    </w:p>
    <w:p>
      <w:pPr>
        <w:spacing w:after="120"/>
        <w:jc w:val="both"/>
      </w:pPr>
      <w:r>
        <w:rPr>
          <w:rFonts w:ascii="Times New Roman" w:hAnsi="Times New Roman"/>
          <w:b/>
          <w:i w:val="0"/>
          <w:sz w:val="24"/>
        </w:rPr>
        <w:t xml:space="preserve">Figure 1. </w:t>
      </w:r>
      <w:r>
        <w:rPr>
          <w:rFonts w:ascii="Times New Roman" w:hAnsi="Times New Roman"/>
          <w:b w:val="0"/>
          <w:i w:val="0"/>
          <w:sz w:val="24"/>
        </w:rPr>
        <w:t>PPI pair coverage in the SGA dataset. Of 31,004 PPI pairs, 1,044 (3.4%, dark blue) carry a significant GI (|epsilon|&gt;=0.08, p&lt;0.05), 7,953 (25.6%, gray) are measured but sub-threshold, and 22,007 (71.0%, green) have no SGA measurement. Expected by chance: 261 pairs; observed: 1,044 (4.0-fold enrichment; z=49.1, p&lt;10^-100).</w:t>
      </w:r>
    </w:p>
    <w:p>
      <w:pPr>
        <w:spacing w:after="120"/>
        <w:jc w:val="both"/>
      </w:pPr>
      <w:r>
        <w:rPr>
          <w:rFonts w:ascii="Times New Roman" w:hAnsi="Times New Roman"/>
          <w:b/>
          <w:i w:val="0"/>
          <w:sz w:val="24"/>
        </w:rPr>
        <w:t xml:space="preserve">Figure 2. </w:t>
      </w:r>
      <w:r>
        <w:rPr>
          <w:rFonts w:ascii="Times New Roman" w:hAnsi="Times New Roman"/>
          <w:b w:val="0"/>
          <w:i w:val="0"/>
          <w:sz w:val="24"/>
        </w:rPr>
        <w:t>Absolute GI epsilon for concordant and discordant PPI pairs. Violin plots of |epsilon| for Both pairs (significant GI, dark blue; mean=0.204) and PPI-plus-non-significant pairs (gray; mean=0.027). Black lines indicate medians. Mann-Whitney U, p&lt;10^-100.</w:t>
      </w:r>
    </w:p>
    <w:p>
      <w:pPr>
        <w:spacing w:after="120"/>
        <w:jc w:val="both"/>
      </w:pPr>
      <w:r>
        <w:rPr>
          <w:rFonts w:ascii="Times New Roman" w:hAnsi="Times New Roman"/>
          <w:b/>
          <w:i w:val="0"/>
          <w:sz w:val="24"/>
        </w:rPr>
        <w:t xml:space="preserve">Figure 3. </w:t>
      </w:r>
      <w:r>
        <w:rPr>
          <w:rFonts w:ascii="Times New Roman" w:hAnsi="Times New Roman"/>
          <w:b w:val="0"/>
          <w:i w:val="0"/>
          <w:sz w:val="24"/>
        </w:rPr>
        <w:t>PPI interaction scores across categories. Violin plots of PPI score (2-10) for Both pairs (mean=4.74), PPI-plus-nonsig pairs (mean=3.44), and PPI-only pairs. Mann-Whitney U for Both versus PPI-plus-nonsig: p=4.2x10^-49.</w:t>
      </w:r>
    </w:p>
    <w:p>
      <w:pPr>
        <w:spacing w:after="120"/>
        <w:jc w:val="both"/>
      </w:pPr>
      <w:r>
        <w:rPr>
          <w:rFonts w:ascii="Times New Roman" w:hAnsi="Times New Roman"/>
          <w:b/>
          <w:i w:val="0"/>
          <w:sz w:val="24"/>
        </w:rPr>
        <w:t xml:space="preserve">Figure 4. </w:t>
      </w:r>
      <w:r>
        <w:rPr>
          <w:rFonts w:ascii="Times New Roman" w:hAnsi="Times New Roman"/>
          <w:b w:val="0"/>
          <w:i w:val="0"/>
          <w:sz w:val="24"/>
        </w:rPr>
        <w:t>PPI score versus |GI epsilon| for concordant pairs. (Left) Scatter plot of 1,044 Both pairs colored by GI sign (blue: positive; red: negative; Spearman r=0.150, p=1.1x10^-6). (Right) Binned means with standard error bars.</w:t>
      </w:r>
    </w:p>
    <w:p>
      <w:pPr>
        <w:spacing w:after="120"/>
        <w:jc w:val="both"/>
      </w:pPr>
      <w:r>
        <w:rPr>
          <w:rFonts w:ascii="Times New Roman" w:hAnsi="Times New Roman"/>
          <w:b/>
          <w:i w:val="0"/>
          <w:sz w:val="24"/>
        </w:rPr>
        <w:t xml:space="preserve">Figure 5. </w:t>
      </w:r>
      <w:r>
        <w:rPr>
          <w:rFonts w:ascii="Times New Roman" w:hAnsi="Times New Roman"/>
          <w:b w:val="0"/>
          <w:i w:val="0"/>
          <w:sz w:val="24"/>
        </w:rPr>
        <w:t>ROC analysis for PPI score as a predictor of significant GI. Computed in the 8,997 PPI pairs with direct SGA measurement. AUC=0.630.</w:t>
      </w:r>
    </w:p>
    <w:p>
      <w:pPr>
        <w:spacing w:after="120"/>
        <w:jc w:val="both"/>
      </w:pPr>
      <w:r>
        <w:rPr>
          <w:rFonts w:ascii="Times New Roman" w:hAnsi="Times New Roman"/>
          <w:b/>
          <w:i w:val="0"/>
          <w:sz w:val="24"/>
        </w:rPr>
        <w:t xml:space="preserve">Figure 6. </w:t>
      </w:r>
      <w:r>
        <w:rPr>
          <w:rFonts w:ascii="Times New Roman" w:hAnsi="Times New Roman"/>
          <w:b w:val="0"/>
          <w:i w:val="0"/>
          <w:sz w:val="24"/>
        </w:rPr>
        <w:t>GI sign at within-complex versus between-complex interfaces. Histograms of GI epsilon for within-complex Both pairs (55.2% positive; OR=2.23 vs background, p=7.0x10^-30) and between-complex Both pairs (34.3% positive; OR=0.95, p=0.73). Dashed line at epsilon=0; red line: group mean.</w:t>
      </w:r>
    </w:p>
    <w:p>
      <w:pPr>
        <w:spacing w:after="120"/>
        <w:jc w:val="both"/>
      </w:pPr>
      <w:r>
        <w:rPr>
          <w:rFonts w:ascii="Times New Roman" w:hAnsi="Times New Roman"/>
          <w:b/>
          <w:i w:val="0"/>
          <w:sz w:val="24"/>
        </w:rPr>
        <w:t xml:space="preserve">Figure 7. </w:t>
      </w:r>
      <w:r>
        <w:rPr>
          <w:rFonts w:ascii="Times New Roman" w:hAnsi="Times New Roman"/>
          <w:b w:val="0"/>
          <w:i w:val="0"/>
          <w:sz w:val="24"/>
        </w:rPr>
        <w:t>Per-complex Spearman correlations (PPI score vs |GI epsilon|), top 15 within-complex clusters by Both-pair count (min n=5). Blue bars: p&lt;0.05; gray bars: p&gt;=0.05. Mitochondrial ribosome (MRPL cluster): r=0.297, p=0.010.</w:t>
      </w:r>
    </w:p>
    <w:p>
      <w:pPr>
        <w:spacing w:after="120"/>
        <w:jc w:val="both"/>
      </w:pPr>
      <w:r>
        <w:rPr>
          <w:rFonts w:ascii="Times New Roman" w:hAnsi="Times New Roman"/>
          <w:b/>
          <w:i w:val="0"/>
          <w:sz w:val="24"/>
        </w:rPr>
        <w:t xml:space="preserve">Figure 8. </w:t>
      </w:r>
      <w:r>
        <w:rPr>
          <w:rFonts w:ascii="Times New Roman" w:hAnsi="Times New Roman"/>
          <w:b w:val="0"/>
          <w:i w:val="0"/>
          <w:sz w:val="24"/>
        </w:rPr>
        <w:t>Complex-level epistasis architecture. Each bubble: one Markov cluster with &gt;=5 Both pairs. X-axis: Spearman r (PPI score vs |GI epsilon|); y-axis: percent positive GI; bubble size: number of Both pairs; color: number of pairs (blue scale). Reference lines at r=0 and 50% positive GI. Notable complexes annotated.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