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4592" w:rsidRDefault="00000000">
      <w:r>
        <w:br/>
      </w:r>
      <w:r>
        <w:br/>
      </w:r>
      <w:r>
        <w:br/>
      </w:r>
    </w:p>
    <w:p w:rsidR="00EB4592" w:rsidRDefault="00000000">
      <w:pPr>
        <w:jc w:val="center"/>
      </w:pPr>
      <w:r>
        <w:rPr>
          <w:b/>
          <w:sz w:val="48"/>
        </w:rPr>
        <w:t>Differential Expression Analysis Report</w:t>
      </w:r>
    </w:p>
    <w:p w:rsidR="00EB4592" w:rsidRDefault="00000000">
      <w:r>
        <w:br/>
      </w:r>
    </w:p>
    <w:p w:rsidR="00EB4592" w:rsidRDefault="00000000">
      <w:pPr>
        <w:jc w:val="center"/>
      </w:pPr>
      <w:r>
        <w:rPr>
          <w:sz w:val="28"/>
        </w:rPr>
        <w:t>Dataset: GSE174431 (Breast Cancer PBMCs)</w:t>
      </w:r>
    </w:p>
    <w:p w:rsidR="00EB4592" w:rsidRDefault="00000000">
      <w:r>
        <w:br/>
      </w:r>
      <w:r>
        <w:br/>
      </w:r>
    </w:p>
    <w:p w:rsidR="00EB4592" w:rsidRDefault="00000000">
      <w:pPr>
        <w:jc w:val="center"/>
        <w:rPr>
          <w:sz w:val="24"/>
        </w:rPr>
      </w:pPr>
      <w:r>
        <w:rPr>
          <w:sz w:val="24"/>
        </w:rPr>
        <w:t xml:space="preserve">Prepared by: </w:t>
      </w:r>
      <w:proofErr w:type="spellStart"/>
      <w:r w:rsidR="00867953">
        <w:rPr>
          <w:sz w:val="24"/>
        </w:rPr>
        <w:t>Hanieh</w:t>
      </w:r>
      <w:proofErr w:type="spellEnd"/>
      <w:r w:rsidR="00867953">
        <w:rPr>
          <w:sz w:val="24"/>
        </w:rPr>
        <w:t xml:space="preserve"> </w:t>
      </w:r>
      <w:proofErr w:type="spellStart"/>
      <w:r w:rsidR="00867953">
        <w:rPr>
          <w:sz w:val="24"/>
        </w:rPr>
        <w:t>Roodashty</w:t>
      </w:r>
      <w:proofErr w:type="spellEnd"/>
    </w:p>
    <w:p w:rsidR="007518E9" w:rsidRDefault="007518E9">
      <w:pPr>
        <w:jc w:val="center"/>
        <w:rPr>
          <w:sz w:val="24"/>
        </w:rPr>
      </w:pPr>
    </w:p>
    <w:p w:rsidR="00B11B6A" w:rsidRDefault="00B11B6A">
      <w:pPr>
        <w:jc w:val="center"/>
        <w:rPr>
          <w:sz w:val="24"/>
        </w:rPr>
      </w:pPr>
    </w:p>
    <w:p w:rsidR="00B11B6A" w:rsidRDefault="00867953" w:rsidP="00B11B6A">
      <w:pPr>
        <w:jc w:val="center"/>
        <w:rPr>
          <w:rStyle w:val="Hyperlink"/>
          <w:sz w:val="24"/>
        </w:rPr>
      </w:pPr>
      <w:r>
        <w:rPr>
          <w:sz w:val="24"/>
        </w:rPr>
        <w:t xml:space="preserve">GitHub: </w:t>
      </w:r>
      <w:hyperlink r:id="rId6" w:history="1">
        <w:r w:rsidR="00B11B6A" w:rsidRPr="00D46EF3">
          <w:rPr>
            <w:rStyle w:val="Hyperlink"/>
            <w:sz w:val="24"/>
          </w:rPr>
          <w:t>https://github.com/hanyroze/GSE174431_DESeq2_BreastCancer</w:t>
        </w:r>
      </w:hyperlink>
    </w:p>
    <w:p w:rsidR="007518E9" w:rsidRDefault="007518E9" w:rsidP="00B11B6A">
      <w:pPr>
        <w:jc w:val="center"/>
        <w:rPr>
          <w:sz w:val="24"/>
        </w:rPr>
      </w:pPr>
    </w:p>
    <w:p w:rsidR="00EB4592" w:rsidRDefault="00867953" w:rsidP="00B11B6A">
      <w:pPr>
        <w:jc w:val="center"/>
      </w:pPr>
      <w:r>
        <w:br/>
      </w:r>
    </w:p>
    <w:p w:rsidR="00EB4592" w:rsidRDefault="00000000">
      <w:pPr>
        <w:jc w:val="center"/>
      </w:pPr>
      <w:r>
        <w:rPr>
          <w:sz w:val="24"/>
        </w:rPr>
        <w:t>Date: August 30, 2025</w:t>
      </w:r>
    </w:p>
    <w:p w:rsidR="00EB4592" w:rsidRDefault="00000000">
      <w:r>
        <w:br w:type="page"/>
      </w:r>
    </w:p>
    <w:p w:rsidR="00EB4592" w:rsidRDefault="00000000">
      <w:pPr>
        <w:pStyle w:val="Heading1"/>
      </w:pPr>
      <w:r>
        <w:lastRenderedPageBreak/>
        <w:t>Introduction</w:t>
      </w:r>
    </w:p>
    <w:p w:rsidR="00EB4592" w:rsidRDefault="00000000">
      <w:r>
        <w:t>Dataset: GSE174431</w:t>
      </w:r>
      <w:r>
        <w:br/>
        <w:t>Context: RNA-seq analysis of PBMCs from metastatic breast cancer patients. Samples were separated into lineage-positive (Lin+) and lineage-negative (Lin–) populations.</w:t>
      </w:r>
      <w:r>
        <w:br/>
      </w:r>
      <w:r>
        <w:br/>
        <w:t>Objective: Identify differentially expressed genes between Lin+ (differentiated) and Lin– (stem-like/progenitor) cells.</w:t>
      </w:r>
    </w:p>
    <w:p w:rsidR="00EB4592" w:rsidRDefault="00000000">
      <w:pPr>
        <w:pStyle w:val="Heading1"/>
      </w:pPr>
      <w:r>
        <w:t>Methods</w:t>
      </w:r>
    </w:p>
    <w:p w:rsidR="00EB4592" w:rsidRDefault="00000000">
      <w:r>
        <w:t>- Downloaded raw exon count files from GEO (GSE174431).</w:t>
      </w:r>
      <w:r>
        <w:br/>
        <w:t>- Processed and merged counts into a single matrix in R.</w:t>
      </w:r>
      <w:r>
        <w:br/>
        <w:t>- Used DESeq2 for normalization and differential expression analysis.</w:t>
      </w:r>
      <w:r>
        <w:br/>
        <w:t>- Groups defined from sample metadata (LinPositive vs LinNegative).</w:t>
      </w:r>
      <w:r>
        <w:br/>
        <w:t>- Significance threshold: adjusted p-value (FDR) &lt; 0.05.</w:t>
      </w:r>
    </w:p>
    <w:p w:rsidR="00EB4592" w:rsidRDefault="00000000">
      <w:pPr>
        <w:pStyle w:val="Heading1"/>
      </w:pPr>
      <w:r>
        <w:t>Results</w:t>
      </w:r>
    </w:p>
    <w:p w:rsidR="00EB4592" w:rsidRDefault="00000000">
      <w:r>
        <w:t>- PCA shows clear separation between Lin+ and Lin– samples.</w:t>
      </w:r>
      <w:r>
        <w:br/>
        <w:t>- Volcano plot highlights significantly up- and down-regulated genes.</w:t>
      </w:r>
      <w:r>
        <w:br/>
        <w:t>- Heatmap of the top 20 DE genes reveals distinct clustering by condition.</w:t>
      </w:r>
    </w:p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 w:rsidP="007B5AFD">
      <w:pPr>
        <w:pStyle w:val="Heading2"/>
      </w:pPr>
      <w:r>
        <w:lastRenderedPageBreak/>
        <w:t>Figure 1. PCA Plot</w:t>
      </w:r>
    </w:p>
    <w:p w:rsidR="007B5AFD" w:rsidRDefault="007B5AFD"/>
    <w:p w:rsidR="00EB4592" w:rsidRDefault="00000000">
      <w:r>
        <w:rPr>
          <w:noProof/>
        </w:rPr>
        <w:drawing>
          <wp:inline distT="0" distB="0" distL="0" distR="0">
            <wp:extent cx="4572000" cy="45486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/>
    <w:p w:rsidR="007B5AFD" w:rsidRDefault="007B5AFD" w:rsidP="007B5AFD">
      <w:pPr>
        <w:pStyle w:val="Heading2"/>
      </w:pPr>
      <w:r>
        <w:lastRenderedPageBreak/>
        <w:t>Figure 2. Volcano Plot</w:t>
      </w:r>
    </w:p>
    <w:p w:rsidR="007B5AFD" w:rsidRDefault="007B5AFD"/>
    <w:p w:rsidR="00EB4592" w:rsidRDefault="00000000">
      <w:r>
        <w:rPr>
          <w:noProof/>
        </w:rPr>
        <w:drawing>
          <wp:inline distT="0" distB="0" distL="0" distR="0">
            <wp:extent cx="4572000" cy="45486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FD" w:rsidRDefault="007B5AFD">
      <w:pPr>
        <w:pStyle w:val="Heading2"/>
      </w:pPr>
    </w:p>
    <w:p w:rsidR="007B5AFD" w:rsidRDefault="007B5AFD">
      <w:pPr>
        <w:pStyle w:val="Heading2"/>
      </w:pPr>
    </w:p>
    <w:p w:rsidR="007B5AFD" w:rsidRDefault="007B5AFD">
      <w:pPr>
        <w:pStyle w:val="Heading2"/>
      </w:pPr>
    </w:p>
    <w:p w:rsidR="007B5AFD" w:rsidRDefault="007B5AFD">
      <w:pPr>
        <w:pStyle w:val="Heading2"/>
      </w:pPr>
    </w:p>
    <w:p w:rsidR="007B5AFD" w:rsidRDefault="007B5AFD">
      <w:pPr>
        <w:pStyle w:val="Heading2"/>
      </w:pPr>
    </w:p>
    <w:p w:rsidR="007B5AFD" w:rsidRDefault="007B5AFD">
      <w:pPr>
        <w:pStyle w:val="Heading2"/>
      </w:pPr>
    </w:p>
    <w:p w:rsidR="007B5AFD" w:rsidRDefault="007B5AFD">
      <w:pPr>
        <w:pStyle w:val="Heading2"/>
      </w:pPr>
    </w:p>
    <w:p w:rsidR="007B5AFD" w:rsidRDefault="007B5AFD">
      <w:pPr>
        <w:pStyle w:val="Heading2"/>
      </w:pPr>
    </w:p>
    <w:p w:rsidR="007B5AFD" w:rsidRDefault="007B5AFD" w:rsidP="007B5AFD"/>
    <w:p w:rsidR="007B5AFD" w:rsidRDefault="007B5AFD" w:rsidP="007B5AFD">
      <w:pPr>
        <w:pStyle w:val="Heading2"/>
      </w:pPr>
      <w:r>
        <w:lastRenderedPageBreak/>
        <w:t>Figure 3. Heatmap of Top 20 DE Genes</w:t>
      </w:r>
    </w:p>
    <w:p w:rsidR="007B5AFD" w:rsidRPr="007B5AFD" w:rsidRDefault="007B5AFD" w:rsidP="007B5AFD"/>
    <w:p w:rsidR="00EB4592" w:rsidRDefault="00000000">
      <w:r>
        <w:rPr>
          <w:noProof/>
        </w:rPr>
        <w:drawing>
          <wp:inline distT="0" distB="0" distL="0" distR="0">
            <wp:extent cx="4572000" cy="45486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AFD" w:rsidRDefault="007B5AFD"/>
    <w:p w:rsidR="007B5AFD" w:rsidRDefault="007B5AFD"/>
    <w:p w:rsidR="007B5AFD" w:rsidRDefault="007B5AFD"/>
    <w:p w:rsidR="007B5AFD" w:rsidRDefault="007B5AFD"/>
    <w:p w:rsidR="007B5AFD" w:rsidRDefault="007B5AFD">
      <w:pPr>
        <w:pStyle w:val="Heading2"/>
      </w:pPr>
    </w:p>
    <w:p w:rsidR="007B5AFD" w:rsidRDefault="007B5AFD">
      <w:pPr>
        <w:pStyle w:val="Heading2"/>
      </w:pPr>
    </w:p>
    <w:p w:rsidR="007B5AFD" w:rsidRDefault="007B5AFD">
      <w:pPr>
        <w:pStyle w:val="Heading2"/>
      </w:pPr>
    </w:p>
    <w:p w:rsidR="007B5AFD" w:rsidRDefault="007B5AFD" w:rsidP="007B5AFD"/>
    <w:p w:rsidR="007B5AFD" w:rsidRPr="007B5AFD" w:rsidRDefault="007B5AFD" w:rsidP="007B5AFD"/>
    <w:p w:rsidR="00EB4592" w:rsidRDefault="00000000">
      <w:pPr>
        <w:pStyle w:val="Heading2"/>
      </w:pPr>
      <w:r>
        <w:lastRenderedPageBreak/>
        <w:t>Table 1. Top 20 Differentially Expressed Genes</w:t>
      </w:r>
    </w:p>
    <w:p w:rsidR="007B5AFD" w:rsidRPr="007B5AFD" w:rsidRDefault="007B5AFD" w:rsidP="007B5AFD"/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4592" w:rsidTr="007B5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Gene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log2FC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Adj.P.Val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NM_030773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-11.07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4.89e-09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NM_004657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-11.10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2.07e-08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NM_000212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-10.48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2.11e-08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NM_001184740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-10.32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5.86e-08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NM_002704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-9.32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1.10e-06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XR_001748313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-9.73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3.51e-06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NM_000419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-8.97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3.85e-06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NM_031469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-8.94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5.48e-06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NM_000174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-10.45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1.45e-05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NM_001831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-8.71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1.45e-05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NM_015431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-8.44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1.45e-05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FK_AL662899.3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-9.45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1.99e-05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NM_002736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-8.42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2.55e-05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NM_001287347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-8.58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2.82e-05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NM_001184767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-8.31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3.11e-05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NM_005764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-9.26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3.11e-05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NM_001309443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-7.98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3.11e-05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FK_AL731557.1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-9.14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3.11e-05</w:t>
            </w:r>
          </w:p>
        </w:tc>
      </w:tr>
      <w:tr w:rsidR="00EB4592" w:rsidTr="007B5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NM_001080471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-8.35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4.88e-05</w:t>
            </w:r>
          </w:p>
        </w:tc>
      </w:tr>
      <w:tr w:rsidR="00EB4592" w:rsidTr="007B5A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EB4592" w:rsidRDefault="00000000" w:rsidP="007B5AFD">
            <w:pPr>
              <w:jc w:val="center"/>
            </w:pPr>
            <w:r>
              <w:t>NM_006097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-8.23</w:t>
            </w:r>
          </w:p>
        </w:tc>
        <w:tc>
          <w:tcPr>
            <w:tcW w:w="2880" w:type="dxa"/>
          </w:tcPr>
          <w:p w:rsidR="00EB4592" w:rsidRDefault="00000000" w:rsidP="007B5AF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5.35e-05</w:t>
            </w:r>
          </w:p>
        </w:tc>
      </w:tr>
    </w:tbl>
    <w:p w:rsidR="007B5AFD" w:rsidRDefault="007B5AFD">
      <w:pPr>
        <w:pStyle w:val="Heading1"/>
      </w:pPr>
    </w:p>
    <w:p w:rsidR="007B5AFD" w:rsidRDefault="007B5AFD">
      <w:pPr>
        <w:pStyle w:val="Heading1"/>
      </w:pPr>
    </w:p>
    <w:p w:rsidR="007B5AFD" w:rsidRDefault="007B5AFD">
      <w:pPr>
        <w:pStyle w:val="Heading1"/>
      </w:pPr>
    </w:p>
    <w:p w:rsidR="007B5AFD" w:rsidRDefault="007B5AFD">
      <w:pPr>
        <w:pStyle w:val="Heading1"/>
      </w:pPr>
    </w:p>
    <w:p w:rsidR="007B5AFD" w:rsidRDefault="007B5AFD">
      <w:pPr>
        <w:pStyle w:val="Heading1"/>
      </w:pPr>
    </w:p>
    <w:p w:rsidR="007B5AFD" w:rsidRDefault="007B5AFD">
      <w:pPr>
        <w:pStyle w:val="Heading1"/>
      </w:pPr>
    </w:p>
    <w:p w:rsidR="007B5AFD" w:rsidRDefault="007B5AFD"/>
    <w:p w:rsidR="007B5AFD" w:rsidRDefault="007B5AFD" w:rsidP="007B5AFD">
      <w:pPr>
        <w:pStyle w:val="Heading1"/>
      </w:pPr>
      <w:r>
        <w:lastRenderedPageBreak/>
        <w:t>Conclusion</w:t>
      </w:r>
    </w:p>
    <w:p w:rsidR="00EB4592" w:rsidRDefault="00000000">
      <w:r>
        <w:t>This analysis identified significant transcriptional differences between Lin+ and Lin– breast cancer cell populations.</w:t>
      </w:r>
      <w:r>
        <w:br/>
        <w:t>- Lin– cells (lineage negative) show expression patterns consistent with stem</w:t>
      </w:r>
      <w:r w:rsidR="007518E9">
        <w:t>-</w:t>
      </w:r>
      <w:r>
        <w:t>like/progenitor features.</w:t>
      </w:r>
      <w:r>
        <w:br/>
        <w:t>- Lin+ cells (lineage positive) display more differentiated gene expression signatures.</w:t>
      </w:r>
      <w:r>
        <w:br/>
      </w:r>
      <w:r>
        <w:br/>
        <w:t>These findings align with the hypothesis that lineage-negative cells may represent cancer stem-like populations contributing to tumor progression and metastasis.</w:t>
      </w:r>
    </w:p>
    <w:sectPr w:rsidR="00EB45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552199">
    <w:abstractNumId w:val="8"/>
  </w:num>
  <w:num w:numId="2" w16cid:durableId="383527975">
    <w:abstractNumId w:val="6"/>
  </w:num>
  <w:num w:numId="3" w16cid:durableId="2002078116">
    <w:abstractNumId w:val="5"/>
  </w:num>
  <w:num w:numId="4" w16cid:durableId="1335836891">
    <w:abstractNumId w:val="4"/>
  </w:num>
  <w:num w:numId="5" w16cid:durableId="2008049189">
    <w:abstractNumId w:val="7"/>
  </w:num>
  <w:num w:numId="6" w16cid:durableId="652947456">
    <w:abstractNumId w:val="3"/>
  </w:num>
  <w:num w:numId="7" w16cid:durableId="1198196466">
    <w:abstractNumId w:val="2"/>
  </w:num>
  <w:num w:numId="8" w16cid:durableId="1867133165">
    <w:abstractNumId w:val="1"/>
  </w:num>
  <w:num w:numId="9" w16cid:durableId="179859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78A"/>
    <w:rsid w:val="000B742A"/>
    <w:rsid w:val="0015074B"/>
    <w:rsid w:val="0029639D"/>
    <w:rsid w:val="00326F90"/>
    <w:rsid w:val="007518E9"/>
    <w:rsid w:val="007B5AFD"/>
    <w:rsid w:val="00812214"/>
    <w:rsid w:val="00867953"/>
    <w:rsid w:val="00AA1D8D"/>
    <w:rsid w:val="00AA52AB"/>
    <w:rsid w:val="00B11B6A"/>
    <w:rsid w:val="00B47730"/>
    <w:rsid w:val="00CB0664"/>
    <w:rsid w:val="00EB45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8DE6AF"/>
  <w14:defaultImageDpi w14:val="300"/>
  <w15:docId w15:val="{42D2627E-9DB5-F443-94F9-CBA93E29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1B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nyroze/GSE174431_DESeq2_BreastCance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2025-09-02T20:50:00Z</dcterms:created>
  <dcterms:modified xsi:type="dcterms:W3CDTF">2025-09-02T20:54:00Z</dcterms:modified>
  <cp:category/>
</cp:coreProperties>
</file>