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 w:before="1500"/>
        <w:jc w:val="center"/>
      </w:pPr>
      <w:r>
        <w:rPr>
          <w:b/>
          <w:bCs/>
          <w:color w:val="147D84"/>
          <w:spacing w:val="80"/>
          <w:sz w:val="24"/>
          <w:szCs w:val="24"/>
        </w:rPr>
        <w:t xml:space="preserve">PE6203 · CASE 4</w:t>
      </w:r>
    </w:p>
    <w:p>
      <w:pPr>
        <w:spacing w:after="240"/>
        <w:jc w:val="center"/>
      </w:pPr>
      <w:r>
        <w:rPr>
          <w:b/>
          <w:bCs/>
          <w:color w:val="153A5B"/>
          <w:sz w:val="52"/>
          <w:szCs w:val="52"/>
        </w:rPr>
        <w:t xml:space="preserve">Tool Harness Adaptation</w:t>
      </w:r>
    </w:p>
    <w:p>
      <w:pPr>
        <w:spacing w:after="700"/>
        <w:jc w:val="center"/>
      </w:pPr>
      <w:r>
        <w:rPr>
          <w:color w:val="153A5B"/>
          <w:sz w:val="34"/>
          <w:szCs w:val="34"/>
        </w:rPr>
        <w:t xml:space="preserve">under Environment Change</w:t>
      </w:r>
    </w:p>
    <w:p>
      <w:pPr>
        <w:shd w:fill="EAF3F5" w:val="clear"/>
        <w:spacing w:after="100" w:before="100"/>
        <w:jc w:val="center"/>
      </w:pPr>
      <w:r>
        <w:rPr>
          <w:b/>
          <w:bCs/>
          <w:color w:val="147D84"/>
          <w:sz w:val="24"/>
          <w:szCs w:val="24"/>
        </w:rPr>
        <w:t xml:space="preserve">FINAL EXPERIMENT REPORT</w:t>
      </w:r>
    </w:p>
    <w:p>
      <w:pPr>
        <w:spacing w:after="100" w:before="650"/>
        <w:jc w:val="center"/>
      </w:pPr>
      <w:r>
        <w:rPr>
          <w:color w:val="5B6770"/>
          <w:sz w:val="22"/>
          <w:szCs w:val="22"/>
        </w:rPr>
        <w:t xml:space="preserve">30 fixed tasks · 27 experiment cells · 810 trajectories</w:t>
      </w:r>
    </w:p>
    <w:p>
      <w:pPr>
        <w:spacing w:after="100"/>
        <w:jc w:val="center"/>
      </w:pPr>
      <w:r>
        <w:rPr>
          <w:color w:val="5B6770"/>
          <w:sz w:val="22"/>
          <w:szCs w:val="22"/>
        </w:rPr>
        <w:t xml:space="preserve">4,050 Judge scores · Final audit passed</w:t>
      </w:r>
    </w:p>
    <w:p>
      <w:pPr>
        <w:spacing w:before="850"/>
        <w:jc w:val="center"/>
      </w:pPr>
      <w:r>
        <w:rPr>
          <w:color w:val="5B6770"/>
          <w:sz w:val="20"/>
          <w:szCs w:val="20"/>
        </w:rPr>
        <w:t xml:space="preserve">16 October 2026</w:t>
      </w:r>
    </w:p>
    <w:p>
      <w:r>
        <w:br w:type="page"/>
      </w:r>
    </w:p>
    <w:p>
      <w:pPr>
        <w:pStyle w:val="Heading1"/>
      </w:pPr>
      <w:r>
        <w:t xml:space="preserve">Abstract</w:t>
      </w:r>
    </w:p>
    <w:p>
      <w:pPr>
        <w:spacing w:after="150" w:line="300"/>
        <w:jc w:val="both"/>
      </w:pPr>
      <w:r>
        <w:rPr>
          <w:color w:val="1F2933"/>
          <w:sz w:val="21"/>
          <w:szCs w:val="21"/>
        </w:rPr>
        <w:t xml:space="preserve">Long-lived tool-using agents can retain stale knowledge after tool names, parameters, descriptions, or usage rules change. This project evaluates three harness strategies on MCPEvol-Bench while keeping the base model, decoding settings, tasks, environment endpoints, and Judge protocol fixed: No Update, Full Rewrite, and a Selective Patch method that changes only knowledge linked to detected tool changes. We run a fixed 30-task subset across Early, Middle, and Late environments, with three independent runs and five Judge scores per task. The final matrix contains 27 experiment cells, 810 trajectories, and 4,050 successful Judge scores. Full Rewrite achieves the strongest overall result (mean TF 8.75, success 81.5%), while Selective Patch does not significantly improve over No Update. Paired trajectories identify one under-update failure in Selective Patch and a Full Rewrite efficiency regression that remains above the success threshold. Because the formal matrix contains no natural over-update failure, a separate controlled retention-task ablation demonstrates how an over-broad output-protocol rewrite can break task termination. The results show that selective adaptation can preserve unaffected behavior, but its benefit depends on complete change detection.</w:t>
      </w:r>
    </w:p>
    <w:p>
      <w:pPr>
        <w:pStyle w:val="Heading1"/>
        <w:pageBreakBefore/>
      </w:pPr>
      <w:r>
        <w:t xml:space="preserve">1. Problem and research question</w:t>
      </w:r>
    </w:p>
    <w:p>
      <w:pPr>
        <w:spacing w:after="150" w:line="300"/>
        <w:jc w:val="both"/>
      </w:pPr>
      <w:r>
        <w:rPr>
          <w:color w:val="1F2933"/>
          <w:sz w:val="21"/>
          <w:szCs w:val="21"/>
        </w:rPr>
        <w:t xml:space="preserve">Tool harnesses contain system instructions, tool-use rules, routing guidance, and assumptions about tool contracts. When the environment changes, stale knowledge can cause invalid calls or poor planning. Updating everything may recover changed tasks but can also disturb working behavior. Updating only the affected knowledge should reduce that risk, but only if the change detector has sufficient coverage.</w:t>
      </w:r>
    </w:p>
    <w:p>
      <w:pPr>
        <w:spacing w:after="150" w:line="300"/>
        <w:jc w:val="both"/>
      </w:pPr>
      <w:r>
        <w:rPr>
          <w:color w:val="1F2933"/>
          <w:sz w:val="21"/>
          <w:szCs w:val="21"/>
        </w:rPr>
        <w:t xml:space="preserve">The research question is:</w:t>
      </w:r>
    </w:p>
    <w:p>
      <w:pPr>
        <w:pBdr>
          <w:left w:val="single" w:color="147D84" w:sz="18" w:space="12"/>
        </w:pBdr>
        <w:shd w:fill="EAF3F5" w:val="clear"/>
        <w:spacing w:after="180" w:before="100"/>
        <w:ind w:left="500"/>
      </w:pPr>
      <w:r>
        <w:rPr>
          <w:i/>
          <w:iCs/>
          <w:color w:val="153A5B"/>
          <w:sz w:val="22"/>
          <w:szCs w:val="22"/>
        </w:rPr>
        <w:t xml:space="preserve">Can a selective harness patch recover performance on changed tools while</w:t>
      </w:r>
    </w:p>
    <w:p>
      <w:pPr>
        <w:pBdr>
          <w:left w:val="single" w:color="147D84" w:sz="18" w:space="12"/>
        </w:pBdr>
        <w:shd w:fill="EAF3F5" w:val="clear"/>
        <w:spacing w:after="180" w:before="100"/>
        <w:ind w:left="500"/>
      </w:pPr>
      <w:r>
        <w:rPr>
          <w:i/>
          <w:iCs/>
          <w:color w:val="153A5B"/>
          <w:sz w:val="22"/>
          <w:szCs w:val="22"/>
        </w:rPr>
        <w:t xml:space="preserve">preserving performance on tasks that should remain solvable?</w:t>
      </w:r>
    </w:p>
    <w:p>
      <w:pPr>
        <w:spacing w:after="150" w:line="300"/>
        <w:jc w:val="both"/>
      </w:pPr>
      <w:r>
        <w:rPr>
          <w:color w:val="1F2933"/>
          <w:sz w:val="21"/>
          <w:szCs w:val="21"/>
        </w:rPr>
        <w:t xml:space="preserve">Model fine-tuning and benchmark-label changes are outside the project scope.</w:t>
      </w:r>
    </w:p>
    <w:p>
      <w:pPr>
        <w:pStyle w:val="Heading1"/>
        <w:pageBreakBefore/>
      </w:pPr>
      <w:r>
        <w:t xml:space="preserve">2. Adaptation strategies</w:t>
      </w:r>
    </w:p>
    <w:p>
      <w:pPr>
        <w:pStyle w:val="Heading2"/>
      </w:pPr>
      <w:r>
        <w:t xml:space="preserve">2.1 No Update</w:t>
      </w:r>
    </w:p>
    <w:p>
      <w:pPr>
        <w:spacing w:after="150" w:line="300"/>
        <w:jc w:val="both"/>
      </w:pPr>
      <w:r>
        <w:rPr>
          <w:color w:val="1F2933"/>
          <w:sz w:val="21"/>
          <w:szCs w:val="21"/>
        </w:rPr>
        <w:t xml:space="preserve">No Update uses the original harness knowledge after every environment change. It is the stale-knowledge baseline.</w:t>
      </w:r>
    </w:p>
    <w:p>
      <w:pPr>
        <w:pStyle w:val="Heading2"/>
      </w:pPr>
      <w:r>
        <w:t xml:space="preserve">2.2 Full Rewrite</w:t>
      </w:r>
    </w:p>
    <w:p>
      <w:pPr>
        <w:spacing w:after="150" w:line="300"/>
        <w:jc w:val="both"/>
      </w:pPr>
      <w:r>
        <w:rPr>
          <w:color w:val="1F2933"/>
          <w:sz w:val="21"/>
          <w:szCs w:val="21"/>
        </w:rPr>
        <w:t xml:space="preserve">The evaluated Full Rewrite replaces the complete original tool-use guidance with one generic rule set. It instructs the agent to treat the live </w:t>
      </w:r>
      <w:r>
        <w:rPr>
          <w:rFonts w:ascii="Consolas" w:cs="Consolas" w:eastAsia="Consolas" w:hAnsi="Consolas"/>
          <w:color w:val="1F2933"/>
          <w:sz w:val="21"/>
          <w:szCs w:val="21"/>
        </w:rPr>
        <w:t xml:space="preserve">tools/list</w:t>
      </w:r>
      <w:r>
        <w:rPr>
          <w:color w:val="1F2933"/>
          <w:sz w:val="21"/>
          <w:szCs w:val="21"/>
        </w:rPr>
        <w:t xml:space="preserve"> names, descriptions, and schemas as the source of truth and to discard remembered contracts. The replacement text is version-invariant: the same prompt and rules are materialized under Early, Middle, and Late, while the live tool list supplies the version-specific contracts at runtime.</w:t>
      </w:r>
    </w:p>
    <w:p>
      <w:pPr>
        <w:spacing w:after="150" w:line="300"/>
        <w:jc w:val="both"/>
      </w:pPr>
      <w:r>
        <w:rPr>
          <w:color w:val="1F2933"/>
          <w:sz w:val="21"/>
          <w:szCs w:val="21"/>
        </w:rPr>
        <w:t xml:space="preserve">This baseline is a complete harness rewrite, but it is not schema-generated version-specific prose. This distinction is important when interpreting its results and is preserved because the evaluated harness hashes are immutable experiment evidence.</w:t>
      </w:r>
    </w:p>
    <w:p>
      <w:pPr>
        <w:pStyle w:val="Heading2"/>
      </w:pPr>
      <w:r>
        <w:t xml:space="preserve">2.3 Selective Patch</w:t>
      </w:r>
    </w:p>
    <w:p>
      <w:pPr>
        <w:spacing w:after="150" w:line="300"/>
        <w:jc w:val="both"/>
      </w:pPr>
      <w:r>
        <w:rPr>
          <w:color w:val="1F2933"/>
          <w:sz w:val="21"/>
          <w:szCs w:val="21"/>
        </w:rPr>
        <w:t xml:space="preserve">Selective Patch compares exported tool schemas, identifies affected tools, and appends targeted knowledge only for detected changes. It patches 0 tool entries for Early, 22 for Middle, and 38 for Late. Generation is deterministic and local. The method aims to preserve the original harness for unaffected tasks while correcting renamed, removed, parameter-changed, or description-changed tools.</w:t>
      </w:r>
    </w:p>
    <w:p>
      <w:pPr>
        <w:pStyle w:val="Heading1"/>
        <w:pageBreakBefore/>
      </w:pPr>
      <w:r>
        <w:t xml:space="preserve">3. Experimental protocol</w:t>
      </w:r>
    </w:p>
    <w:p>
      <w:pPr>
        <w:pStyle w:val="ListParagraph"/>
        <w:numPr>
          <w:ilvl w:val="0"/>
          <w:numId w:val="1"/>
        </w:numPr>
        <w:spacing w:after="70"/>
      </w:pPr>
      <w:r>
        <w:t xml:space="preserve">Benchmark: MCPEvol-Bench, commit</w:t>
      </w:r>
    </w:p>
    <w:p>
      <w:pPr>
        <w:spacing w:after="150" w:line="300"/>
        <w:jc w:val="both"/>
      </w:pPr>
      <w:r>
        <w:rPr>
          <w:rFonts w:ascii="Consolas" w:cs="Consolas" w:eastAsia="Consolas" w:hAnsi="Consolas"/>
          <w:color w:val="1F2933"/>
          <w:sz w:val="21"/>
          <w:szCs w:val="21"/>
        </w:rPr>
        <w:t xml:space="preserve">888c779a0fe735f612ca62bdd1fdd7c9e6bf8701</w:t>
      </w:r>
      <w:r>
        <w:rPr>
          <w:color w:val="1F2933"/>
          <w:sz w:val="21"/>
          <w:szCs w:val="21"/>
        </w:rPr>
        <w:t xml:space="preserve">.</w:t>
      </w:r>
    </w:p>
    <w:p>
      <w:pPr>
        <w:pStyle w:val="ListParagraph"/>
        <w:numPr>
          <w:ilvl w:val="0"/>
          <w:numId w:val="1"/>
        </w:numPr>
        <w:spacing w:after="70"/>
      </w:pPr>
      <w:r>
        <w:t xml:space="preserve">Environments: Early (original), Middle (iter3), and Late (iter5).</w:t>
      </w:r>
    </w:p>
    <w:p>
      <w:pPr>
        <w:pStyle w:val="ListParagraph"/>
        <w:numPr>
          <w:ilvl w:val="0"/>
          <w:numId w:val="1"/>
        </w:numPr>
        <w:spacing w:after="70"/>
      </w:pPr>
      <w:r>
        <w:t xml:space="preserve">Tasks: fixed 30-task subset, comprising 24 affected and six retention tasks.</w:t>
      </w:r>
    </w:p>
    <w:p>
      <w:pPr>
        <w:pStyle w:val="ListParagraph"/>
        <w:numPr>
          <w:ilvl w:val="0"/>
          <w:numId w:val="1"/>
        </w:numPr>
        <w:spacing w:after="70"/>
      </w:pPr>
      <w:r>
        <w:t xml:space="preserve">Coverage: tool-, parameter-, and description-level changes are represented.</w:t>
      </w:r>
    </w:p>
    <w:p>
      <w:pPr>
        <w:pStyle w:val="ListParagraph"/>
        <w:numPr>
          <w:ilvl w:val="0"/>
          <w:numId w:val="1"/>
        </w:numPr>
        <w:spacing w:after="70"/>
      </w:pPr>
      <w:r>
        <w:t xml:space="preserve">Agent and Judge: gpt-4o-mini, temperature 0.0.</w:t>
      </w:r>
    </w:p>
    <w:p>
      <w:pPr>
        <w:pStyle w:val="ListParagraph"/>
        <w:numPr>
          <w:ilvl w:val="0"/>
          <w:numId w:val="1"/>
        </w:numPr>
        <w:spacing w:after="70"/>
      </w:pPr>
      <w:r>
        <w:t xml:space="preserve">Repeats: three independent runs per strategy/version cell.</w:t>
      </w:r>
    </w:p>
    <w:p>
      <w:pPr>
        <w:pStyle w:val="ListParagraph"/>
        <w:numPr>
          <w:ilvl w:val="0"/>
          <w:numId w:val="1"/>
        </w:numPr>
        <w:spacing w:after="70"/>
      </w:pPr>
      <w:r>
        <w:t xml:space="preserve">Scoring: five successful Judge scores per task.</w:t>
      </w:r>
    </w:p>
    <w:p>
      <w:pPr>
        <w:pStyle w:val="ListParagraph"/>
        <w:numPr>
          <w:ilvl w:val="0"/>
          <w:numId w:val="1"/>
        </w:numPr>
        <w:spacing w:after="70"/>
      </w:pPr>
      <w:r>
        <w:t xml:space="preserve">Scale: 3 strategies x 3 versions x 3 runs = 27 cells; 810 trajectories.</w:t>
      </w:r>
    </w:p>
    <w:p>
      <w:pPr>
        <w:pStyle w:val="ListParagraph"/>
        <w:numPr>
          <w:ilvl w:val="0"/>
          <w:numId w:val="1"/>
        </w:numPr>
        <w:spacing w:after="70"/>
      </w:pPr>
      <w:r>
        <w:t xml:space="preserve">Fairness controls: identical tasks, model, inference parameters, Judge,</w:t>
      </w:r>
    </w:p>
    <w:p>
      <w:pPr>
        <w:spacing w:after="150" w:line="300"/>
        <w:jc w:val="both"/>
      </w:pPr>
      <w:r>
        <w:rPr>
          <w:color w:val="1F2933"/>
          <w:sz w:val="21"/>
          <w:szCs w:val="21"/>
        </w:rPr>
        <w:t xml:space="preserve">server mapping, benchmark commit, and task hashes across strategies.</w:t>
      </w:r>
    </w:p>
    <w:p>
      <w:pPr>
        <w:spacing w:after="150" w:line="300"/>
        <w:jc w:val="both"/>
      </w:pPr>
      <w:r>
        <w:rPr>
          <w:color w:val="1F2933"/>
          <w:sz w:val="21"/>
          <w:szCs w:val="21"/>
        </w:rPr>
        <w:t xml:space="preserve">The stock runner would retain only 23 of the 30 selected tasks. The project overrides that filter in memory without modifying the pinned upstream source, so all strategies use the same predeclared 30-task subset.</w:t>
      </w:r>
    </w:p>
    <w:p>
      <w:pPr>
        <w:pStyle w:val="Heading1"/>
        <w:pageBreakBefore/>
      </w:pPr>
      <w:r>
        <w:t xml:space="preserve">4. Metrics</w:t>
      </w:r>
    </w:p>
    <w:p>
      <w:pPr>
        <w:pStyle w:val="ListParagraph"/>
        <w:numPr>
          <w:ilvl w:val="0"/>
          <w:numId w:val="1"/>
        </w:numPr>
        <w:spacing w:after="70"/>
      </w:pPr>
      <w:r>
        <w:t xml:space="preserve">Task Fulfillment (TF): mean of five 1-10 completion scores.</w:t>
      </w:r>
    </w:p>
    <w:p>
      <w:pPr>
        <w:pStyle w:val="ListParagraph"/>
        <w:numPr>
          <w:ilvl w:val="0"/>
          <w:numId w:val="1"/>
        </w:numPr>
        <w:spacing w:after="70"/>
      </w:pPr>
      <w:r>
        <w:t xml:space="preserve">Planning Effectiveness (PE): mean of five 1-10 planning/efficiency</w:t>
      </w:r>
    </w:p>
    <w:p>
      <w:pPr>
        <w:spacing w:after="150" w:line="300"/>
        <w:jc w:val="both"/>
      </w:pPr>
      <w:r>
        <w:rPr>
          <w:color w:val="1F2933"/>
          <w:sz w:val="21"/>
          <w:szCs w:val="21"/>
        </w:rPr>
        <w:t xml:space="preserve">scores.</w:t>
      </w:r>
    </w:p>
    <w:p>
      <w:pPr>
        <w:pStyle w:val="ListParagraph"/>
        <w:numPr>
          <w:ilvl w:val="0"/>
          <w:numId w:val="1"/>
        </w:numPr>
        <w:spacing w:after="70"/>
      </w:pPr>
      <w:r>
        <w:t xml:space="preserve">Success: TF &gt;= 6.0.</w:t>
      </w:r>
    </w:p>
    <w:p>
      <w:pPr>
        <w:pStyle w:val="ListParagraph"/>
        <w:numPr>
          <w:ilvl w:val="0"/>
          <w:numId w:val="1"/>
        </w:numPr>
        <w:spacing w:after="70"/>
      </w:pPr>
      <w:r>
        <w:t xml:space="preserve">Evolutionary Competency Score (ECS): for each strategy/run/task,</w:t>
      </w:r>
    </w:p>
    <w:p>
      <w:pPr>
        <w:spacing w:after="150" w:line="300"/>
        <w:jc w:val="both"/>
      </w:pPr>
      <w:r>
        <w:rPr>
          <w:rFonts w:ascii="Consolas" w:cs="Consolas" w:eastAsia="Consolas" w:hAnsi="Consolas"/>
          <w:color w:val="1F2933"/>
          <w:sz w:val="21"/>
          <w:szCs w:val="21"/>
        </w:rPr>
        <w:t xml:space="preserve">mean(TF across versions) - population_sd(TF across versions)</w:t>
      </w:r>
      <w:r>
        <w:rPr>
          <w:color w:val="1F2933"/>
          <w:sz w:val="21"/>
          <w:szCs w:val="21"/>
        </w:rPr>
        <w:t xml:space="preserve">.</w:t>
      </w:r>
    </w:p>
    <w:p>
      <w:pPr>
        <w:pStyle w:val="ListParagraph"/>
        <w:numPr>
          <w:ilvl w:val="0"/>
          <w:numId w:val="1"/>
        </w:numPr>
        <w:spacing w:after="70"/>
      </w:pPr>
      <w:r>
        <w:t xml:space="preserve">Recovery rate: success rate on the 24 affected tasks.</w:t>
      </w:r>
    </w:p>
    <w:p>
      <w:pPr>
        <w:pStyle w:val="ListParagraph"/>
        <w:numPr>
          <w:ilvl w:val="0"/>
          <w:numId w:val="1"/>
        </w:numPr>
        <w:spacing w:after="70"/>
      </w:pPr>
      <w:r>
        <w:t xml:space="preserve">Retention rate: success rate on the six retention tasks.</w:t>
      </w:r>
    </w:p>
    <w:p>
      <w:pPr>
        <w:pStyle w:val="ListParagraph"/>
        <w:numPr>
          <w:ilvl w:val="0"/>
          <w:numId w:val="1"/>
        </w:numPr>
        <w:spacing w:after="70"/>
      </w:pPr>
      <w:r>
        <w:t xml:space="preserve">Update cost: local harness-generation work plus recorded benchmark and</w:t>
      </w:r>
    </w:p>
    <w:p>
      <w:pPr>
        <w:spacing w:after="150" w:line="300"/>
        <w:jc w:val="both"/>
      </w:pPr>
      <w:r>
        <w:rPr>
          <w:color w:val="1F2933"/>
          <w:sz w:val="21"/>
          <w:szCs w:val="21"/>
        </w:rPr>
        <w:t xml:space="preserve">Judge tokens, wall-clock time, and estimated API cost.</w:t>
      </w:r>
    </w:p>
    <w:p>
      <w:pPr>
        <w:pStyle w:val="Heading1"/>
        <w:pageBreakBefore/>
      </w:pPr>
      <w:r>
        <w:t xml:space="preserve">5. Main results</w:t>
      </w:r>
    </w:p>
    <w:p>
      <w:pPr>
        <w:pStyle w:val="Heading2"/>
      </w:pPr>
      <w:r>
        <w:t xml:space="preserve">5.1 Strategy-level results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c>
          <w:tcPr>
            <w:tcW w:type="dxa" w:w="1872"/>
            <w:shd w:fill="153A5B" w:val="clear"/>
            <w:tcMar>
              <w:top w:type="dxa" w:w="100"/>
              <w:left w:type="dxa" w:w="120"/>
              <w:bottom w:type="dxa" w:w="100"/>
              <w:right w:type="dxa" w:w="120"/>
            </w:tcMar>
          </w:tcPr>
          <w:p>
            <w:pPr>
              <w:spacing w:after="0"/>
            </w:pPr>
            <w:r>
              <w:rPr>
                <w:b/>
                <w:bCs/>
                <w:color w:val="FFFFFF"/>
                <w:sz w:val="18"/>
                <w:szCs w:val="18"/>
              </w:rPr>
              <w:t xml:space="preserve">Strategy</w:t>
            </w:r>
          </w:p>
        </w:tc>
        <w:tc>
          <w:tcPr>
            <w:tcW w:type="dxa" w:w="1872"/>
            <w:shd w:fill="153A5B" w:val="clear"/>
            <w:tcMar>
              <w:top w:type="dxa" w:w="100"/>
              <w:left w:type="dxa" w:w="120"/>
              <w:bottom w:type="dxa" w:w="100"/>
              <w:right w:type="dxa" w:w="120"/>
            </w:tcMar>
          </w:tcPr>
          <w:p>
            <w:pPr>
              <w:spacing w:after="0"/>
            </w:pPr>
            <w:r>
              <w:rPr>
                <w:b/>
                <w:bCs/>
                <w:color w:val="FFFFFF"/>
                <w:sz w:val="18"/>
                <w:szCs w:val="18"/>
              </w:rPr>
              <w:t xml:space="preserve">Mean TF ± SD</w:t>
            </w:r>
          </w:p>
        </w:tc>
        <w:tc>
          <w:tcPr>
            <w:tcW w:type="dxa" w:w="1872"/>
            <w:shd w:fill="153A5B" w:val="clear"/>
            <w:tcMar>
              <w:top w:type="dxa" w:w="100"/>
              <w:left w:type="dxa" w:w="120"/>
              <w:bottom w:type="dxa" w:w="100"/>
              <w:right w:type="dxa" w:w="120"/>
            </w:tcMar>
          </w:tcPr>
          <w:p>
            <w:pPr>
              <w:spacing w:after="0"/>
            </w:pPr>
            <w:r>
              <w:rPr>
                <w:b/>
                <w:bCs/>
                <w:color w:val="FFFFFF"/>
                <w:sz w:val="18"/>
                <w:szCs w:val="18"/>
              </w:rPr>
              <w:t xml:space="preserve">Mean PE ± SD</w:t>
            </w:r>
          </w:p>
        </w:tc>
        <w:tc>
          <w:tcPr>
            <w:tcW w:type="dxa" w:w="1872"/>
            <w:shd w:fill="153A5B" w:val="clear"/>
            <w:tcMar>
              <w:top w:type="dxa" w:w="100"/>
              <w:left w:type="dxa" w:w="120"/>
              <w:bottom w:type="dxa" w:w="100"/>
              <w:right w:type="dxa" w:w="120"/>
            </w:tcMar>
          </w:tcPr>
          <w:p>
            <w:pPr>
              <w:spacing w:after="0"/>
            </w:pPr>
            <w:r>
              <w:rPr>
                <w:b/>
                <w:bCs/>
                <w:color w:val="FFFFFF"/>
                <w:sz w:val="18"/>
                <w:szCs w:val="18"/>
              </w:rPr>
              <w:t xml:space="preserve">Success rate</w:t>
            </w:r>
          </w:p>
        </w:tc>
        <w:tc>
          <w:tcPr>
            <w:tcW w:type="dxa" w:w="1872"/>
            <w:shd w:fill="153A5B" w:val="clear"/>
            <w:tcMar>
              <w:top w:type="dxa" w:w="100"/>
              <w:left w:type="dxa" w:w="120"/>
              <w:bottom w:type="dxa" w:w="100"/>
              <w:right w:type="dxa" w:w="120"/>
            </w:tcMar>
          </w:tcPr>
          <w:p>
            <w:pPr>
              <w:spacing w:after="0"/>
            </w:pPr>
            <w:r>
              <w:rPr>
                <w:b/>
                <w:bCs/>
                <w:color w:val="FFFFFF"/>
                <w:sz w:val="18"/>
                <w:szCs w:val="18"/>
              </w:rPr>
              <w:t xml:space="preserve">Mean ECS</w:t>
            </w:r>
          </w:p>
        </w:tc>
      </w:tr>
      <w:tr>
        <w:tc>
          <w:tcPr>
            <w:tcW w:type="dxa" w:w="1872"/>
            <w:tcMar>
              <w:top w:type="dxa" w:w="100"/>
              <w:left w:type="dxa" w:w="120"/>
              <w:bottom w:type="dxa" w:w="100"/>
              <w:right w:type="dxa" w:w="120"/>
            </w:tcMar>
          </w:tcPr>
          <w:p>
            <w:pPr>
              <w:spacing w:after="0"/>
            </w:pPr>
            <w:r>
              <w:rPr>
                <w:b w:val="false"/>
                <w:bCs w:val="false"/>
                <w:color w:val="1F2933"/>
                <w:sz w:val="18"/>
                <w:szCs w:val="18"/>
              </w:rPr>
              <w:t xml:space="preserve">No Update</w:t>
            </w:r>
          </w:p>
        </w:tc>
        <w:tc>
          <w:tcPr>
            <w:tcW w:type="dxa" w:w="1872"/>
            <w:tcMar>
              <w:top w:type="dxa" w:w="100"/>
              <w:left w:type="dxa" w:w="120"/>
              <w:bottom w:type="dxa" w:w="100"/>
              <w:right w:type="dxa" w:w="120"/>
            </w:tcMar>
          </w:tcPr>
          <w:p>
            <w:pPr>
              <w:spacing w:after="0"/>
            </w:pPr>
            <w:r>
              <w:rPr>
                <w:b w:val="false"/>
                <w:bCs w:val="false"/>
                <w:color w:val="1F2933"/>
                <w:sz w:val="18"/>
                <w:szCs w:val="18"/>
              </w:rPr>
              <w:t xml:space="preserve">8.25 ± 2.88</w:t>
            </w:r>
          </w:p>
        </w:tc>
        <w:tc>
          <w:tcPr>
            <w:tcW w:type="dxa" w:w="1872"/>
            <w:tcMar>
              <w:top w:type="dxa" w:w="100"/>
              <w:left w:type="dxa" w:w="120"/>
              <w:bottom w:type="dxa" w:w="100"/>
              <w:right w:type="dxa" w:w="120"/>
            </w:tcMar>
          </w:tcPr>
          <w:p>
            <w:pPr>
              <w:spacing w:after="0"/>
            </w:pPr>
            <w:r>
              <w:rPr>
                <w:b w:val="false"/>
                <w:bCs w:val="false"/>
                <w:color w:val="1F2933"/>
                <w:sz w:val="18"/>
                <w:szCs w:val="18"/>
              </w:rPr>
              <w:t xml:space="preserve">7.82 ± 2.92</w:t>
            </w:r>
          </w:p>
        </w:tc>
        <w:tc>
          <w:tcPr>
            <w:tcW w:type="dxa" w:w="1872"/>
            <w:tcMar>
              <w:top w:type="dxa" w:w="100"/>
              <w:left w:type="dxa" w:w="120"/>
              <w:bottom w:type="dxa" w:w="100"/>
              <w:right w:type="dxa" w:w="120"/>
            </w:tcMar>
          </w:tcPr>
          <w:p>
            <w:pPr>
              <w:spacing w:after="0"/>
            </w:pPr>
            <w:r>
              <w:rPr>
                <w:b w:val="false"/>
                <w:bCs w:val="false"/>
                <w:color w:val="1F2933"/>
                <w:sz w:val="18"/>
                <w:szCs w:val="18"/>
              </w:rPr>
              <w:t xml:space="preserve">75.2%</w:t>
            </w:r>
          </w:p>
        </w:tc>
        <w:tc>
          <w:tcPr>
            <w:tcW w:type="dxa" w:w="1872"/>
            <w:tcMar>
              <w:top w:type="dxa" w:w="100"/>
              <w:left w:type="dxa" w:w="120"/>
              <w:bottom w:type="dxa" w:w="100"/>
              <w:right w:type="dxa" w:w="120"/>
            </w:tcMar>
          </w:tcPr>
          <w:p>
            <w:pPr>
              <w:spacing w:after="0"/>
            </w:pPr>
            <w:r>
              <w:rPr>
                <w:b w:val="false"/>
                <w:bCs w:val="false"/>
                <w:color w:val="1F2933"/>
                <w:sz w:val="18"/>
                <w:szCs w:val="18"/>
              </w:rPr>
              <w:t xml:space="preserve">7.98</w:t>
            </w:r>
          </w:p>
        </w:tc>
      </w:tr>
      <w:tr>
        <w:tc>
          <w:tcPr>
            <w:tcW w:type="dxa" w:w="1872"/>
            <w:tcMar>
              <w:top w:type="dxa" w:w="100"/>
              <w:left w:type="dxa" w:w="120"/>
              <w:bottom w:type="dxa" w:w="100"/>
              <w:right w:type="dxa" w:w="120"/>
            </w:tcMar>
          </w:tcPr>
          <w:p>
            <w:pPr>
              <w:spacing w:after="0"/>
            </w:pPr>
            <w:r>
              <w:rPr>
                <w:b w:val="false"/>
                <w:bCs w:val="false"/>
                <w:color w:val="1F2933"/>
                <w:sz w:val="18"/>
                <w:szCs w:val="18"/>
              </w:rPr>
              <w:t xml:space="preserve">Full Rewrite</w:t>
            </w:r>
          </w:p>
        </w:tc>
        <w:tc>
          <w:tcPr>
            <w:tcW w:type="dxa" w:w="1872"/>
            <w:tcMar>
              <w:top w:type="dxa" w:w="100"/>
              <w:left w:type="dxa" w:w="120"/>
              <w:bottom w:type="dxa" w:w="100"/>
              <w:right w:type="dxa" w:w="120"/>
            </w:tcMar>
          </w:tcPr>
          <w:p>
            <w:pPr>
              <w:spacing w:after="0"/>
            </w:pPr>
            <w:r>
              <w:rPr>
                <w:b w:val="false"/>
                <w:bCs w:val="false"/>
                <w:color w:val="1F2933"/>
                <w:sz w:val="18"/>
                <w:szCs w:val="18"/>
              </w:rPr>
              <w:t xml:space="preserve">8.75 ± 2.41</w:t>
            </w:r>
          </w:p>
        </w:tc>
        <w:tc>
          <w:tcPr>
            <w:tcW w:type="dxa" w:w="1872"/>
            <w:tcMar>
              <w:top w:type="dxa" w:w="100"/>
              <w:left w:type="dxa" w:w="120"/>
              <w:bottom w:type="dxa" w:w="100"/>
              <w:right w:type="dxa" w:w="120"/>
            </w:tcMar>
          </w:tcPr>
          <w:p>
            <w:pPr>
              <w:spacing w:after="0"/>
            </w:pPr>
            <w:r>
              <w:rPr>
                <w:b w:val="false"/>
                <w:bCs w:val="false"/>
                <w:color w:val="1F2933"/>
                <w:sz w:val="18"/>
                <w:szCs w:val="18"/>
              </w:rPr>
              <w:t xml:space="preserve">7.92 ± 2.81</w:t>
            </w:r>
          </w:p>
        </w:tc>
        <w:tc>
          <w:tcPr>
            <w:tcW w:type="dxa" w:w="1872"/>
            <w:tcMar>
              <w:top w:type="dxa" w:w="100"/>
              <w:left w:type="dxa" w:w="120"/>
              <w:bottom w:type="dxa" w:w="100"/>
              <w:right w:type="dxa" w:w="120"/>
            </w:tcMar>
          </w:tcPr>
          <w:p>
            <w:pPr>
              <w:spacing w:after="0"/>
            </w:pPr>
            <w:r>
              <w:rPr>
                <w:b w:val="false"/>
                <w:bCs w:val="false"/>
                <w:color w:val="1F2933"/>
                <w:sz w:val="18"/>
                <w:szCs w:val="18"/>
              </w:rPr>
              <w:t xml:space="preserve">81.5%</w:t>
            </w:r>
          </w:p>
        </w:tc>
        <w:tc>
          <w:tcPr>
            <w:tcW w:type="dxa" w:w="1872"/>
            <w:tcMar>
              <w:top w:type="dxa" w:w="100"/>
              <w:left w:type="dxa" w:w="120"/>
              <w:bottom w:type="dxa" w:w="100"/>
              <w:right w:type="dxa" w:w="120"/>
            </w:tcMar>
          </w:tcPr>
          <w:p>
            <w:pPr>
              <w:spacing w:after="0"/>
            </w:pPr>
            <w:r>
              <w:rPr>
                <w:b w:val="false"/>
                <w:bCs w:val="false"/>
                <w:color w:val="1F2933"/>
                <w:sz w:val="18"/>
                <w:szCs w:val="18"/>
              </w:rPr>
              <w:t xml:space="preserve">8.63</w:t>
            </w:r>
          </w:p>
        </w:tc>
      </w:tr>
      <w:tr>
        <w:tc>
          <w:tcPr>
            <w:tcW w:type="dxa" w:w="1872"/>
            <w:tcMar>
              <w:top w:type="dxa" w:w="100"/>
              <w:left w:type="dxa" w:w="120"/>
              <w:bottom w:type="dxa" w:w="100"/>
              <w:right w:type="dxa" w:w="120"/>
            </w:tcMar>
          </w:tcPr>
          <w:p>
            <w:pPr>
              <w:spacing w:after="0"/>
            </w:pPr>
            <w:r>
              <w:rPr>
                <w:b w:val="false"/>
                <w:bCs w:val="false"/>
                <w:color w:val="1F2933"/>
                <w:sz w:val="18"/>
                <w:szCs w:val="18"/>
              </w:rPr>
              <w:t xml:space="preserve">Selective Patch</w:t>
            </w:r>
          </w:p>
        </w:tc>
        <w:tc>
          <w:tcPr>
            <w:tcW w:type="dxa" w:w="1872"/>
            <w:tcMar>
              <w:top w:type="dxa" w:w="100"/>
              <w:left w:type="dxa" w:w="120"/>
              <w:bottom w:type="dxa" w:w="100"/>
              <w:right w:type="dxa" w:w="120"/>
            </w:tcMar>
          </w:tcPr>
          <w:p>
            <w:pPr>
              <w:spacing w:after="0"/>
            </w:pPr>
            <w:r>
              <w:rPr>
                <w:b w:val="false"/>
                <w:bCs w:val="false"/>
                <w:color w:val="1F2933"/>
                <w:sz w:val="18"/>
                <w:szCs w:val="18"/>
              </w:rPr>
              <w:t xml:space="preserve">8.21 ± 2.84</w:t>
            </w:r>
          </w:p>
        </w:tc>
        <w:tc>
          <w:tcPr>
            <w:tcW w:type="dxa" w:w="1872"/>
            <w:tcMar>
              <w:top w:type="dxa" w:w="100"/>
              <w:left w:type="dxa" w:w="120"/>
              <w:bottom w:type="dxa" w:w="100"/>
              <w:right w:type="dxa" w:w="120"/>
            </w:tcMar>
          </w:tcPr>
          <w:p>
            <w:pPr>
              <w:spacing w:after="0"/>
            </w:pPr>
            <w:r>
              <w:rPr>
                <w:b w:val="false"/>
                <w:bCs w:val="false"/>
                <w:color w:val="1F2933"/>
                <w:sz w:val="18"/>
                <w:szCs w:val="18"/>
              </w:rPr>
              <w:t xml:space="preserve">7.70 ± 2.95</w:t>
            </w:r>
          </w:p>
        </w:tc>
        <w:tc>
          <w:tcPr>
            <w:tcW w:type="dxa" w:w="1872"/>
            <w:tcMar>
              <w:top w:type="dxa" w:w="100"/>
              <w:left w:type="dxa" w:w="120"/>
              <w:bottom w:type="dxa" w:w="100"/>
              <w:right w:type="dxa" w:w="120"/>
            </w:tcMar>
          </w:tcPr>
          <w:p>
            <w:pPr>
              <w:spacing w:after="0"/>
            </w:pPr>
            <w:r>
              <w:rPr>
                <w:b w:val="false"/>
                <w:bCs w:val="false"/>
                <w:color w:val="1F2933"/>
                <w:sz w:val="18"/>
                <w:szCs w:val="18"/>
              </w:rPr>
              <w:t xml:space="preserve">75.2%</w:t>
            </w:r>
          </w:p>
        </w:tc>
        <w:tc>
          <w:tcPr>
            <w:tcW w:type="dxa" w:w="1872"/>
            <w:tcMar>
              <w:top w:type="dxa" w:w="100"/>
              <w:left w:type="dxa" w:w="120"/>
              <w:bottom w:type="dxa" w:w="100"/>
              <w:right w:type="dxa" w:w="120"/>
            </w:tcMar>
          </w:tcPr>
          <w:p>
            <w:pPr>
              <w:spacing w:after="0"/>
            </w:pPr>
            <w:r>
              <w:rPr>
                <w:b w:val="false"/>
                <w:bCs w:val="false"/>
                <w:color w:val="1F2933"/>
                <w:sz w:val="18"/>
                <w:szCs w:val="18"/>
              </w:rPr>
              <w:t xml:space="preserve">7.82</w:t>
            </w:r>
          </w:p>
        </w:tc>
      </w:tr>
    </w:tbl>
    <w:p>
      <w:pPr>
        <w:spacing w:after="80"/>
      </w:pPr>
    </w:p>
    <w:p>
      <w:pPr>
        <w:spacing w:after="150" w:line="300"/>
        <w:jc w:val="both"/>
      </w:pPr>
      <w:r>
        <w:rPr>
          <w:color w:val="1F2933"/>
          <w:sz w:val="21"/>
          <w:szCs w:val="21"/>
        </w:rPr>
        <w:t xml:space="preserve">Full Rewrite is the strongest strategy under the evaluated protocol. Selective Patch has nearly the same overall success rate as No Update and a slightly lower mean TF.</w:t>
      </w:r>
    </w:p>
    <w:p>
      <w:pPr>
        <w:pStyle w:val="Heading2"/>
      </w:pPr>
      <w:r>
        <w:t xml:space="preserve">5.2 Strategy-by-version results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53A5B" w:val="clear"/>
            <w:tcMar>
              <w:top w:type="dxa" w:w="100"/>
              <w:left w:type="dxa" w:w="120"/>
              <w:bottom w:type="dxa" w:w="100"/>
              <w:right w:type="dxa" w:w="120"/>
            </w:tcMar>
          </w:tcPr>
          <w:p>
            <w:pPr>
              <w:spacing w:after="0"/>
            </w:pPr>
            <w:r>
              <w:rPr>
                <w:b/>
                <w:bCs/>
                <w:color w:val="FFFFFF"/>
                <w:sz w:val="18"/>
                <w:szCs w:val="18"/>
              </w:rPr>
              <w:t xml:space="preserve">Strategy</w:t>
            </w:r>
          </w:p>
        </w:tc>
        <w:tc>
          <w:tcPr>
            <w:tcW w:type="dxa" w:w="2340"/>
            <w:shd w:fill="153A5B" w:val="clear"/>
            <w:tcMar>
              <w:top w:type="dxa" w:w="100"/>
              <w:left w:type="dxa" w:w="120"/>
              <w:bottom w:type="dxa" w:w="100"/>
              <w:right w:type="dxa" w:w="120"/>
            </w:tcMar>
          </w:tcPr>
          <w:p>
            <w:pPr>
              <w:spacing w:after="0"/>
            </w:pPr>
            <w:r>
              <w:rPr>
                <w:b/>
                <w:bCs/>
                <w:color w:val="FFFFFF"/>
                <w:sz w:val="18"/>
                <w:szCs w:val="18"/>
              </w:rPr>
              <w:t xml:space="preserve">Early TF / PE</w:t>
            </w:r>
          </w:p>
        </w:tc>
        <w:tc>
          <w:tcPr>
            <w:tcW w:type="dxa" w:w="2340"/>
            <w:shd w:fill="153A5B" w:val="clear"/>
            <w:tcMar>
              <w:top w:type="dxa" w:w="100"/>
              <w:left w:type="dxa" w:w="120"/>
              <w:bottom w:type="dxa" w:w="100"/>
              <w:right w:type="dxa" w:w="120"/>
            </w:tcMar>
          </w:tcPr>
          <w:p>
            <w:pPr>
              <w:spacing w:after="0"/>
            </w:pPr>
            <w:r>
              <w:rPr>
                <w:b/>
                <w:bCs/>
                <w:color w:val="FFFFFF"/>
                <w:sz w:val="18"/>
                <w:szCs w:val="18"/>
              </w:rPr>
              <w:t xml:space="preserve">Middle TF / PE</w:t>
            </w:r>
          </w:p>
        </w:tc>
        <w:tc>
          <w:tcPr>
            <w:tcW w:type="dxa" w:w="2340"/>
            <w:shd w:fill="153A5B" w:val="clear"/>
            <w:tcMar>
              <w:top w:type="dxa" w:w="100"/>
              <w:left w:type="dxa" w:w="120"/>
              <w:bottom w:type="dxa" w:w="100"/>
              <w:right w:type="dxa" w:w="120"/>
            </w:tcMar>
          </w:tcPr>
          <w:p>
            <w:pPr>
              <w:spacing w:after="0"/>
            </w:pPr>
            <w:r>
              <w:rPr>
                <w:b/>
                <w:bCs/>
                <w:color w:val="FFFFFF"/>
                <w:sz w:val="18"/>
                <w:szCs w:val="18"/>
              </w:rPr>
              <w:t xml:space="preserve">Late TF / PE</w:t>
            </w:r>
          </w:p>
        </w:tc>
      </w:tr>
      <w:tr>
        <w:tc>
          <w:tcPr>
            <w:tcW w:type="dxa" w:w="2340"/>
            <w:tcMar>
              <w:top w:type="dxa" w:w="100"/>
              <w:left w:type="dxa" w:w="120"/>
              <w:bottom w:type="dxa" w:w="100"/>
              <w:right w:type="dxa" w:w="120"/>
            </w:tcMar>
          </w:tcPr>
          <w:p>
            <w:pPr>
              <w:spacing w:after="0"/>
            </w:pPr>
            <w:r>
              <w:rPr>
                <w:b w:val="false"/>
                <w:bCs w:val="false"/>
                <w:color w:val="1F2933"/>
                <w:sz w:val="18"/>
                <w:szCs w:val="18"/>
              </w:rPr>
              <w:t xml:space="preserve">No Update</w:t>
            </w:r>
          </w:p>
        </w:tc>
        <w:tc>
          <w:tcPr>
            <w:tcW w:type="dxa" w:w="2340"/>
            <w:tcMar>
              <w:top w:type="dxa" w:w="100"/>
              <w:left w:type="dxa" w:w="120"/>
              <w:bottom w:type="dxa" w:w="100"/>
              <w:right w:type="dxa" w:w="120"/>
            </w:tcMar>
          </w:tcPr>
          <w:p>
            <w:pPr>
              <w:spacing w:after="0"/>
            </w:pPr>
            <w:r>
              <w:rPr>
                <w:b w:val="false"/>
                <w:bCs w:val="false"/>
                <w:color w:val="1F2933"/>
                <w:sz w:val="18"/>
                <w:szCs w:val="18"/>
              </w:rPr>
              <w:t xml:space="preserve">8.22 / 8.10</w:t>
            </w:r>
          </w:p>
        </w:tc>
        <w:tc>
          <w:tcPr>
            <w:tcW w:type="dxa" w:w="2340"/>
            <w:tcMar>
              <w:top w:type="dxa" w:w="100"/>
              <w:left w:type="dxa" w:w="120"/>
              <w:bottom w:type="dxa" w:w="100"/>
              <w:right w:type="dxa" w:w="120"/>
            </w:tcMar>
          </w:tcPr>
          <w:p>
            <w:pPr>
              <w:spacing w:after="0"/>
            </w:pPr>
            <w:r>
              <w:rPr>
                <w:b w:val="false"/>
                <w:bCs w:val="false"/>
                <w:color w:val="1F2933"/>
                <w:sz w:val="18"/>
                <w:szCs w:val="18"/>
              </w:rPr>
              <w:t xml:space="preserve">8.24 / 7.62</w:t>
            </w:r>
          </w:p>
        </w:tc>
        <w:tc>
          <w:tcPr>
            <w:tcW w:type="dxa" w:w="2340"/>
            <w:tcMar>
              <w:top w:type="dxa" w:w="100"/>
              <w:left w:type="dxa" w:w="120"/>
              <w:bottom w:type="dxa" w:w="100"/>
              <w:right w:type="dxa" w:w="120"/>
            </w:tcMar>
          </w:tcPr>
          <w:p>
            <w:pPr>
              <w:spacing w:after="0"/>
            </w:pPr>
            <w:r>
              <w:rPr>
                <w:b w:val="false"/>
                <w:bCs w:val="false"/>
                <w:color w:val="1F2933"/>
                <w:sz w:val="18"/>
                <w:szCs w:val="18"/>
              </w:rPr>
              <w:t xml:space="preserve">8.28 / 7.76</w:t>
            </w:r>
          </w:p>
        </w:tc>
      </w:tr>
      <w:tr>
        <w:tc>
          <w:tcPr>
            <w:tcW w:type="dxa" w:w="2340"/>
            <w:tcMar>
              <w:top w:type="dxa" w:w="100"/>
              <w:left w:type="dxa" w:w="120"/>
              <w:bottom w:type="dxa" w:w="100"/>
              <w:right w:type="dxa" w:w="120"/>
            </w:tcMar>
          </w:tcPr>
          <w:p>
            <w:pPr>
              <w:spacing w:after="0"/>
            </w:pPr>
            <w:r>
              <w:rPr>
                <w:b w:val="false"/>
                <w:bCs w:val="false"/>
                <w:color w:val="1F2933"/>
                <w:sz w:val="18"/>
                <w:szCs w:val="18"/>
              </w:rPr>
              <w:t xml:space="preserve">Full Rewrite</w:t>
            </w:r>
          </w:p>
        </w:tc>
        <w:tc>
          <w:tcPr>
            <w:tcW w:type="dxa" w:w="2340"/>
            <w:tcMar>
              <w:top w:type="dxa" w:w="100"/>
              <w:left w:type="dxa" w:w="120"/>
              <w:bottom w:type="dxa" w:w="100"/>
              <w:right w:type="dxa" w:w="120"/>
            </w:tcMar>
          </w:tcPr>
          <w:p>
            <w:pPr>
              <w:spacing w:after="0"/>
            </w:pPr>
            <w:r>
              <w:rPr>
                <w:b w:val="false"/>
                <w:bCs w:val="false"/>
                <w:color w:val="1F2933"/>
                <w:sz w:val="18"/>
                <w:szCs w:val="18"/>
              </w:rPr>
              <w:t xml:space="preserve">8.74 / 7.88</w:t>
            </w:r>
          </w:p>
        </w:tc>
        <w:tc>
          <w:tcPr>
            <w:tcW w:type="dxa" w:w="2340"/>
            <w:tcMar>
              <w:top w:type="dxa" w:w="100"/>
              <w:left w:type="dxa" w:w="120"/>
              <w:bottom w:type="dxa" w:w="100"/>
              <w:right w:type="dxa" w:w="120"/>
            </w:tcMar>
          </w:tcPr>
          <w:p>
            <w:pPr>
              <w:spacing w:after="0"/>
            </w:pPr>
            <w:r>
              <w:rPr>
                <w:b w:val="false"/>
                <w:bCs w:val="false"/>
                <w:color w:val="1F2933"/>
                <w:sz w:val="18"/>
                <w:szCs w:val="18"/>
              </w:rPr>
              <w:t xml:space="preserve">8.79 / 7.96</w:t>
            </w:r>
          </w:p>
        </w:tc>
        <w:tc>
          <w:tcPr>
            <w:tcW w:type="dxa" w:w="2340"/>
            <w:tcMar>
              <w:top w:type="dxa" w:w="100"/>
              <w:left w:type="dxa" w:w="120"/>
              <w:bottom w:type="dxa" w:w="100"/>
              <w:right w:type="dxa" w:w="120"/>
            </w:tcMar>
          </w:tcPr>
          <w:p>
            <w:pPr>
              <w:spacing w:after="0"/>
            </w:pPr>
            <w:r>
              <w:rPr>
                <w:b w:val="false"/>
                <w:bCs w:val="false"/>
                <w:color w:val="1F2933"/>
                <w:sz w:val="18"/>
                <w:szCs w:val="18"/>
              </w:rPr>
              <w:t xml:space="preserve">8.73 / 7.91</w:t>
            </w:r>
          </w:p>
        </w:tc>
      </w:tr>
      <w:tr>
        <w:tc>
          <w:tcPr>
            <w:tcW w:type="dxa" w:w="2340"/>
            <w:tcMar>
              <w:top w:type="dxa" w:w="100"/>
              <w:left w:type="dxa" w:w="120"/>
              <w:bottom w:type="dxa" w:w="100"/>
              <w:right w:type="dxa" w:w="120"/>
            </w:tcMar>
          </w:tcPr>
          <w:p>
            <w:pPr>
              <w:spacing w:after="0"/>
            </w:pPr>
            <w:r>
              <w:rPr>
                <w:b w:val="false"/>
                <w:bCs w:val="false"/>
                <w:color w:val="1F2933"/>
                <w:sz w:val="18"/>
                <w:szCs w:val="18"/>
              </w:rPr>
              <w:t xml:space="preserve">Selective Patch</w:t>
            </w:r>
          </w:p>
        </w:tc>
        <w:tc>
          <w:tcPr>
            <w:tcW w:type="dxa" w:w="2340"/>
            <w:tcMar>
              <w:top w:type="dxa" w:w="100"/>
              <w:left w:type="dxa" w:w="120"/>
              <w:bottom w:type="dxa" w:w="100"/>
              <w:right w:type="dxa" w:w="120"/>
            </w:tcMar>
          </w:tcPr>
          <w:p>
            <w:pPr>
              <w:spacing w:after="0"/>
            </w:pPr>
            <w:r>
              <w:rPr>
                <w:b w:val="false"/>
                <w:bCs w:val="false"/>
                <w:color w:val="1F2933"/>
                <w:sz w:val="18"/>
                <w:szCs w:val="18"/>
              </w:rPr>
              <w:t xml:space="preserve">8.24 / 7.88</w:t>
            </w:r>
          </w:p>
        </w:tc>
        <w:tc>
          <w:tcPr>
            <w:tcW w:type="dxa" w:w="2340"/>
            <w:tcMar>
              <w:top w:type="dxa" w:w="100"/>
              <w:left w:type="dxa" w:w="120"/>
              <w:bottom w:type="dxa" w:w="100"/>
              <w:right w:type="dxa" w:w="120"/>
            </w:tcMar>
          </w:tcPr>
          <w:p>
            <w:pPr>
              <w:spacing w:after="0"/>
            </w:pPr>
            <w:r>
              <w:rPr>
                <w:b w:val="false"/>
                <w:bCs w:val="false"/>
                <w:color w:val="1F2933"/>
                <w:sz w:val="18"/>
                <w:szCs w:val="18"/>
              </w:rPr>
              <w:t xml:space="preserve">8.03 / 7.43</w:t>
            </w:r>
          </w:p>
        </w:tc>
        <w:tc>
          <w:tcPr>
            <w:tcW w:type="dxa" w:w="2340"/>
            <w:tcMar>
              <w:top w:type="dxa" w:w="100"/>
              <w:left w:type="dxa" w:w="120"/>
              <w:bottom w:type="dxa" w:w="100"/>
              <w:right w:type="dxa" w:w="120"/>
            </w:tcMar>
          </w:tcPr>
          <w:p>
            <w:pPr>
              <w:spacing w:after="0"/>
            </w:pPr>
            <w:r>
              <w:rPr>
                <w:b w:val="false"/>
                <w:bCs w:val="false"/>
                <w:color w:val="1F2933"/>
                <w:sz w:val="18"/>
                <w:szCs w:val="18"/>
              </w:rPr>
              <w:t xml:space="preserve">8.36 / 7.79</w:t>
            </w:r>
          </w:p>
        </w:tc>
      </w:tr>
    </w:tbl>
    <w:p>
      <w:pPr>
        <w:spacing w:after="80"/>
      </w:pPr>
    </w:p>
    <w:p>
      <w:pPr>
        <w:pStyle w:val="Heading2"/>
      </w:pPr>
      <w:r>
        <w:t xml:space="preserve">5.3 Recovery and retention</w:t>
      </w:r>
    </w:p>
    <w:p>
      <w:pPr>
        <w:spacing w:after="150" w:line="300"/>
        <w:jc w:val="both"/>
      </w:pPr>
      <w:r>
        <w:rPr>
          <w:color w:val="1F2933"/>
          <w:sz w:val="21"/>
          <w:szCs w:val="21"/>
        </w:rPr>
        <w:t xml:space="preserve">For affected tasks, the paired Selective Patch minus No Update TF difference is +0.10 with a 95% bootstrap interval of -0.14 to +0.35. The interval contains zero, so the experiment does not support a reliable Selective Patch advantage. Selective Patch minus Full Rewrite is -0.51 with an interval of -0.72 to -0.33, showing that Selective Patch is worse than Full Rewrite in this matrix.</w:t>
      </w:r>
    </w:p>
    <w:p>
      <w:pPr>
        <w:spacing w:after="150" w:line="300"/>
        <w:jc w:val="both"/>
      </w:pPr>
      <w:r>
        <w:rPr>
          <w:color w:val="1F2933"/>
          <w:sz w:val="21"/>
          <w:szCs w:val="21"/>
        </w:rPr>
        <w:t xml:space="preserve">Five of six retention tasks remain successful under every strategy. Four are perfect throughout. Task 161 fails under all strategies and therefore cannot be attributed to an update. Task 260 remains successful but exposes a systematic Full Rewrite efficiency regression described below.</w:t>
      </w:r>
    </w:p>
    <w:p>
      <w:pPr>
        <w:pStyle w:val="Heading1"/>
        <w:pageBreakBefore/>
      </w:pPr>
      <w:r>
        <w:t xml:space="preserve">6. Failure analysis</w:t>
      </w:r>
    </w:p>
    <w:p>
      <w:pPr>
        <w:pStyle w:val="Heading2"/>
      </w:pPr>
      <w:r>
        <w:t xml:space="preserve">6.1 Under-update: Task 2</w:t>
      </w:r>
    </w:p>
    <w:p>
      <w:pPr>
        <w:spacing w:after="150" w:line="300"/>
        <w:jc w:val="both"/>
      </w:pPr>
      <w:r>
        <w:rPr>
          <w:color w:val="1F2933"/>
          <w:sz w:val="21"/>
          <w:szCs w:val="21"/>
        </w:rPr>
        <w:t xml:space="preserve">Task 2 depends on affected </w:t>
      </w:r>
      <w:r>
        <w:rPr>
          <w:rFonts w:ascii="Consolas" w:cs="Consolas" w:eastAsia="Consolas" w:hAnsi="Consolas"/>
          <w:color w:val="1F2933"/>
          <w:sz w:val="21"/>
          <w:szCs w:val="21"/>
        </w:rPr>
        <w:t xml:space="preserve">pantheon-mcp/search_agents</w:t>
      </w:r>
      <w:r>
        <w:rPr>
          <w:color w:val="1F2933"/>
          <w:sz w:val="21"/>
          <w:szCs w:val="21"/>
        </w:rPr>
        <w:t xml:space="preserve"> behavior. The Selective Patch inventory does not include </w:t>
      </w:r>
      <w:r>
        <w:rPr>
          <w:rFonts w:ascii="Consolas" w:cs="Consolas" w:eastAsia="Consolas" w:hAnsi="Consolas"/>
          <w:color w:val="1F2933"/>
          <w:sz w:val="21"/>
          <w:szCs w:val="21"/>
        </w:rPr>
        <w:t xml:space="preserve">pantheon-mcp</w:t>
      </w:r>
      <w:r>
        <w:rPr>
          <w:color w:val="1F2933"/>
          <w:sz w:val="21"/>
          <w:szCs w:val="21"/>
        </w:rPr>
        <w:t xml:space="preserve"> or </w:t>
      </w:r>
      <w:r>
        <w:rPr>
          <w:rFonts w:ascii="Consolas" w:cs="Consolas" w:eastAsia="Consolas" w:hAnsi="Consolas"/>
          <w:color w:val="1F2933"/>
          <w:sz w:val="21"/>
          <w:szCs w:val="21"/>
        </w:rPr>
        <w:t xml:space="preserve">mcp-shrimp-task-manager</w:t>
      </w:r>
      <w:r>
        <w:rPr>
          <w:color w:val="1F2933"/>
          <w:sz w:val="21"/>
          <w:szCs w:val="21"/>
        </w:rPr>
        <w:t xml:space="preserve">, even though the subset manifest marks them as affected. Selective Patch repeatedly sends stale comma-combined keywords and receives empty results. It fails in six of nine cells, similar to No Update. Full Rewrite follows the current tool contract, sends individual keywords, and scores TF 10.0 in all nine cells.</w:t>
      </w:r>
    </w:p>
    <w:p>
      <w:pPr>
        <w:spacing w:after="150" w:line="300"/>
        <w:jc w:val="both"/>
      </w:pPr>
      <w:r>
        <w:rPr>
          <w:color w:val="1F2933"/>
          <w:sz w:val="21"/>
          <w:szCs w:val="21"/>
        </w:rPr>
        <w:t xml:space="preserve">This is a confirmed under-update: the patch misses a changed contract, the stale call is visible in the trajectory, and the paired Full Rewrite handles the same task.</w:t>
      </w:r>
    </w:p>
    <w:p>
      <w:pPr>
        <w:pStyle w:val="Heading2"/>
      </w:pPr>
      <w:r>
        <w:t xml:space="preserve">6.2 Efficiency degradation: Task 260</w:t>
      </w:r>
    </w:p>
    <w:p>
      <w:pPr>
        <w:spacing w:after="150" w:line="300"/>
        <w:jc w:val="both"/>
      </w:pPr>
      <w:r>
        <w:rPr>
          <w:color w:val="1F2933"/>
          <w:sz w:val="21"/>
          <w:szCs w:val="21"/>
        </w:rPr>
        <w:t xml:space="preserve">Task 260 is a retention task requiring two time-zone conversions. No Update and Selective Patch both make exactly two </w:t>
      </w:r>
      <w:r>
        <w:rPr>
          <w:rFonts w:ascii="Consolas" w:cs="Consolas" w:eastAsia="Consolas" w:hAnsi="Consolas"/>
          <w:color w:val="1F2933"/>
          <w:sz w:val="21"/>
          <w:szCs w:val="21"/>
        </w:rPr>
        <w:t xml:space="preserve">convert_time</w:t>
      </w:r>
      <w:r>
        <w:rPr>
          <w:color w:val="1F2933"/>
          <w:sz w:val="21"/>
          <w:szCs w:val="21"/>
        </w:rPr>
        <w:t xml:space="preserve"> calls, never call </w:t>
      </w:r>
      <w:r>
        <w:rPr>
          <w:rFonts w:ascii="Consolas" w:cs="Consolas" w:eastAsia="Consolas" w:hAnsi="Consolas"/>
          <w:color w:val="1F2933"/>
          <w:sz w:val="21"/>
          <w:szCs w:val="21"/>
        </w:rPr>
        <w:t xml:space="preserve">request_user_input</w:t>
      </w:r>
      <w:r>
        <w:rPr>
          <w:color w:val="1F2933"/>
          <w:sz w:val="21"/>
          <w:szCs w:val="21"/>
        </w:rPr>
        <w:t xml:space="preserve">, and score TF/PE 10/10 in all nine cells.</w:t>
      </w:r>
    </w:p>
    <w:p>
      <w:pPr>
        <w:spacing w:after="150" w:line="300"/>
        <w:jc w:val="both"/>
      </w:pPr>
      <w:r>
        <w:rPr>
          <w:color w:val="1F2933"/>
          <w:sz w:val="21"/>
          <w:szCs w:val="21"/>
        </w:rPr>
        <w:t xml:space="preserve">Full Rewrite makes the same correct conversions but then calls </w:t>
      </w:r>
      <w:r>
        <w:rPr>
          <w:rFonts w:ascii="Consolas" w:cs="Consolas" w:eastAsia="Consolas" w:hAnsi="Consolas"/>
          <w:color w:val="1F2933"/>
          <w:sz w:val="21"/>
          <w:szCs w:val="21"/>
        </w:rPr>
        <w:t xml:space="preserve">request_user_input</w:t>
      </w:r>
      <w:r>
        <w:rPr>
          <w:color w:val="1F2933"/>
          <w:sz w:val="21"/>
          <w:szCs w:val="21"/>
        </w:rPr>
        <w:t xml:space="preserve"> in every cell, between 1 and 12 times. The aggressive confirmation-tool description becomes salient under the broad rewrite, causing repeated empty-input loops and qualified answers. In Late run 3, the paired score falls from No Update 10.0/10.0 to Full Rewrite 6.4/2.8 after eight redundant confirmation calls. Across all nine cells, Full Rewrite's mean TF is 8.67 instead of 10.0.</w:t>
      </w:r>
    </w:p>
    <w:p>
      <w:pPr>
        <w:spacing w:after="150" w:line="300"/>
        <w:jc w:val="both"/>
      </w:pPr>
      <w:r>
        <w:rPr>
          <w:color w:val="1F2933"/>
          <w:sz w:val="21"/>
          <w:szCs w:val="21"/>
        </w:rPr>
        <w:t xml:space="preserve">This is a repeated efficiency and answer-quality degradation, but it is not classified as over-update. All Full Rewrite Task 260 cells retain TF &gt;= 6, and the paired trajectories do not isolate one explicitly incorrect rewritten rule as the cause.</w:t>
      </w:r>
    </w:p>
    <w:p>
      <w:pPr>
        <w:pStyle w:val="Heading2"/>
      </w:pPr>
      <w:r>
        <w:t xml:space="preserve">6.3 Controlled over-update ablation: Task 235</w:t>
      </w:r>
    </w:p>
    <w:p>
      <w:pPr>
        <w:spacing w:after="150" w:line="300"/>
        <w:jc w:val="both"/>
      </w:pPr>
      <w:r>
        <w:rPr>
          <w:color w:val="1F2933"/>
          <w:sz w:val="21"/>
          <w:szCs w:val="21"/>
        </w:rPr>
        <w:t xml:space="preserve">No natural retention failure in the 27-cell matrix satisfies the strict over-update definition. A supplementary controlled ablation therefore applies an intentionally over-broad rewrite to retention Task 235 in the Middle environment. This ablation is stored outside the three formal strategy result trees and is excluded from every aggregate and confidence interval.</w:t>
      </w:r>
    </w:p>
    <w:p>
      <w:pPr>
        <w:spacing w:after="150" w:line="300"/>
        <w:jc w:val="both"/>
      </w:pPr>
      <w:r>
        <w:rPr>
          <w:color w:val="1F2933"/>
          <w:sz w:val="21"/>
          <w:szCs w:val="21"/>
        </w:rPr>
        <w:t xml:space="preserve">The evaluated Full Rewrite baseline—the harness from which the ablation was derived—completes Task 235 in one tool-call round containing three chart calls and emits the required </w:t>
      </w:r>
      <w:r>
        <w:rPr>
          <w:rFonts w:ascii="Consolas" w:cs="Consolas" w:eastAsia="Consolas" w:hAnsi="Consolas"/>
          <w:color w:val="1F2933"/>
          <w:sz w:val="21"/>
          <w:szCs w:val="21"/>
        </w:rPr>
        <w:t xml:space="preserve">[FINISH]</w:t>
      </w:r>
      <w:r>
        <w:rPr>
          <w:color w:val="1F2933"/>
          <w:sz w:val="21"/>
          <w:szCs w:val="21"/>
        </w:rPr>
        <w:t xml:space="preserve"> marker. Several deliberately incorrect tool-contract injections were ignored because the model treated the live tool list as authoritative. The effective ablation instead rewrites an unrelated output protocol: final answers must be JSON-only and must not contain </w:t>
      </w:r>
      <w:r>
        <w:rPr>
          <w:rFonts w:ascii="Consolas" w:cs="Consolas" w:eastAsia="Consolas" w:hAnsi="Consolas"/>
          <w:color w:val="1F2933"/>
          <w:sz w:val="21"/>
          <w:szCs w:val="21"/>
        </w:rPr>
        <w:t xml:space="preserve">[FINISH]</w:t>
      </w:r>
      <w:r>
        <w:rPr>
          <w:color w:val="1F2933"/>
          <w:sz w:val="21"/>
          <w:szCs w:val="21"/>
        </w:rPr>
        <w:t xml:space="preserve">. The agent obeys that rewrite, never terminates normally, repeats the three-call chart sequence for 11 rounds (33 calls), exhausts the step budget (</w:t>
      </w:r>
      <w:r>
        <w:rPr>
          <w:rFonts w:ascii="Consolas" w:cs="Consolas" w:eastAsia="Consolas" w:hAnsi="Consolas"/>
          <w:color w:val="1F2933"/>
          <w:sz w:val="21"/>
          <w:szCs w:val="21"/>
        </w:rPr>
        <w:t xml:space="preserve">exceeded=True</w:t>
      </w:r>
      <w:r>
        <w:rPr>
          <w:color w:val="1F2933"/>
          <w:sz w:val="21"/>
          <w:szCs w:val="21"/>
        </w:rPr>
        <w:t xml:space="preserve">), and returns an empty answer. This paired trajectory is a confirmed over-update mechanism: unrelated rewritten knowledge breaks a previously successful retention task.</w:t>
      </w:r>
    </w:p>
    <w:p>
      <w:pPr>
        <w:spacing w:after="150" w:line="300"/>
        <w:jc w:val="both"/>
      </w:pPr>
      <w:r>
        <w:rPr>
          <w:color w:val="1F2933"/>
          <w:sz w:val="21"/>
          <w:szCs w:val="21"/>
        </w:rPr>
        <w:t xml:space="preserve">The tool-call-oriented Judge still assigns TF 10.0 because the individual chart calls succeed. The reported failure is therefore based on runner state, termination, and final-answer evidence, not on the Judge score. Complete evidence is preserved in </w:t>
      </w:r>
      <w:r>
        <w:rPr>
          <w:rFonts w:ascii="Consolas" w:cs="Consolas" w:eastAsia="Consolas" w:hAnsi="Consolas"/>
          <w:color w:val="1F2933"/>
          <w:sz w:val="21"/>
          <w:szCs w:val="21"/>
        </w:rPr>
        <w:t xml:space="preserve">reports/d/evidence/task235-baseline-fr.json</w:t>
      </w:r>
      <w:r>
        <w:rPr>
          <w:color w:val="1F2933"/>
          <w:sz w:val="21"/>
          <w:szCs w:val="21"/>
        </w:rPr>
        <w:t xml:space="preserve"> and </w:t>
      </w:r>
      <w:r>
        <w:rPr>
          <w:rFonts w:ascii="Consolas" w:cs="Consolas" w:eastAsia="Consolas" w:hAnsi="Consolas"/>
          <w:color w:val="1F2933"/>
          <w:sz w:val="21"/>
          <w:szCs w:val="21"/>
        </w:rPr>
        <w:t xml:space="preserve">reports/d/evidence/task235-over-update-ablation.json</w:t>
      </w:r>
      <w:r>
        <w:rPr>
          <w:color w:val="1F2933"/>
          <w:sz w:val="21"/>
          <w:szCs w:val="21"/>
        </w:rPr>
        <w:t xml:space="preserve">; frozen-file provenance is recorded in </w:t>
      </w:r>
      <w:r>
        <w:rPr>
          <w:rFonts w:ascii="Consolas" w:cs="Consolas" w:eastAsia="Consolas" w:hAnsi="Consolas"/>
          <w:color w:val="1F2933"/>
          <w:sz w:val="21"/>
          <w:szCs w:val="21"/>
        </w:rPr>
        <w:t xml:space="preserve">reports/d/ablation-provenance.md</w:t>
      </w:r>
      <w:r>
        <w:rPr>
          <w:color w:val="1F2933"/>
          <w:sz w:val="21"/>
          <w:szCs w:val="21"/>
        </w:rPr>
        <w:t xml:space="preserve">.</w:t>
      </w:r>
    </w:p>
    <w:p>
      <w:pPr>
        <w:pStyle w:val="Heading1"/>
        <w:pageBreakBefore/>
      </w:pPr>
      <w:r>
        <w:t xml:space="preserve">7. Cost</w:t>
      </w:r>
    </w:p>
    <w:p>
      <w:pPr>
        <w:spacing w:after="150" w:line="300"/>
        <w:jc w:val="both"/>
      </w:pPr>
      <w:r>
        <w:rPr>
          <w:color w:val="1F2933"/>
          <w:sz w:val="21"/>
          <w:szCs w:val="21"/>
        </w:rPr>
        <w:t xml:space="preserve">The matrix records approximately 33.74 million tokens: 13.37 million for the benchmark agent and 20.37 million for the Judge. At the pinned reference rates of $0.15 per million input tokens and $0.60 per million output tokens, the estimated total is $5.78 ($2.26 benchmark and $3.51 Judge). This is a token-based estimate, not a provider invoice.</w:t>
      </w:r>
    </w:p>
    <w:p>
      <w:pPr>
        <w:spacing w:after="150" w:line="300"/>
        <w:jc w:val="both"/>
      </w:pPr>
      <w:r>
        <w:rPr>
          <w:color w:val="1F2933"/>
          <w:sz w:val="21"/>
          <w:szCs w:val="21"/>
        </w:rPr>
        <w:t xml:space="preserve">Benchmark wall-clock time is approximately 5.3 hours. Recorded Judge time is at least 3.65 hours across 26 of 27 cells; one Judge cell lacks wall-clock metadata and is excluded rather than inferred. Selective Patch and Full Rewrite generation are local and record zero model-API tokens.</w:t>
      </w:r>
    </w:p>
    <w:p>
      <w:pPr>
        <w:pStyle w:val="Heading1"/>
        <w:pageBreakBefore/>
      </w:pPr>
      <w:r>
        <w:t xml:space="preserve">8. Discussion</w:t>
      </w:r>
    </w:p>
    <w:p>
      <w:pPr>
        <w:spacing w:after="150" w:line="300"/>
        <w:jc w:val="both"/>
      </w:pPr>
      <w:r>
        <w:rPr>
          <w:color w:val="1F2933"/>
          <w:sz w:val="21"/>
          <w:szCs w:val="21"/>
        </w:rPr>
        <w:t xml:space="preserve">Selective Patch preserves retention well, but it does not outperform No Update because its change inventory misses an important affected contract. The result supports a coverage-first view of selective adaptation: a smaller patch is useful only when the dependency mapping from benchmark tasks to tool changes is complete.</w:t>
      </w:r>
    </w:p>
    <w:p>
      <w:pPr>
        <w:spacing w:after="150" w:line="300"/>
        <w:jc w:val="both"/>
      </w:pPr>
      <w:r>
        <w:rPr>
          <w:color w:val="1F2933"/>
          <w:sz w:val="21"/>
          <w:szCs w:val="21"/>
        </w:rPr>
        <w:t xml:space="preserve">Full Rewrite performs best because it removes stale assumptions and defers to live schemas. However, Task 260 shows that broad guidance can coexist with a systematic efficiency regression even when the task remains successful. The Task 235 ablation separately demonstrates a causal over-update mechanism: rewriting an unrelated output protocol can break termination despite correct tool calls. Recovery and retention therefore require both current contracts and strict scope control over what the adaptation is allowed to rewrite.</w:t>
      </w:r>
    </w:p>
    <w:p>
      <w:pPr>
        <w:spacing w:after="150" w:line="300"/>
        <w:jc w:val="both"/>
      </w:pPr>
      <w:r>
        <w:rPr>
          <w:color w:val="1F2933"/>
          <w:sz w:val="21"/>
          <w:szCs w:val="21"/>
        </w:rPr>
        <w:t xml:space="preserve">The most difficult changes are not necessarily syntactically large schema changes. Behavioral changes encoded in descriptions, query semantics, or usage guidance can be missed by structural diffing and may require semantic validation or trajectory-based tests.</w:t>
      </w:r>
    </w:p>
    <w:p>
      <w:pPr>
        <w:pStyle w:val="Heading1"/>
        <w:pageBreakBefore/>
      </w:pPr>
      <w:r>
        <w:t xml:space="preserve">9. Limitations</w:t>
      </w:r>
    </w:p>
    <w:p>
      <w:pPr>
        <w:pStyle w:val="ListParagraph"/>
        <w:numPr>
          <w:ilvl w:val="0"/>
          <w:numId w:val="2"/>
        </w:numPr>
        <w:spacing w:after="70"/>
      </w:pPr>
      <w:r>
        <w:t xml:space="preserve">The fixed 30-task subset is course-allowable but smaller than the full</w:t>
      </w:r>
    </w:p>
    <w:p>
      <w:pPr>
        <w:spacing w:after="150" w:line="300"/>
        <w:jc w:val="both"/>
      </w:pPr>
      <w:r>
        <w:rPr>
          <w:color w:val="1F2933"/>
          <w:sz w:val="21"/>
          <w:szCs w:val="21"/>
        </w:rPr>
        <w:t xml:space="preserve">201-task release.</w:t>
      </w:r>
    </w:p>
    <w:p>
      <w:pPr>
        <w:pStyle w:val="ListParagraph"/>
        <w:numPr>
          <w:ilvl w:val="0"/>
          <w:numId w:val="2"/>
        </w:numPr>
        <w:spacing w:after="70"/>
      </w:pPr>
      <w:r>
        <w:t xml:space="preserve">Three independent runs are the recommended minimum; paired differences and</w:t>
      </w:r>
    </w:p>
    <w:p>
      <w:pPr>
        <w:spacing w:after="150" w:line="300"/>
        <w:jc w:val="both"/>
      </w:pPr>
      <w:r>
        <w:rPr>
          <w:color w:val="1F2933"/>
          <w:sz w:val="21"/>
          <w:szCs w:val="21"/>
        </w:rPr>
        <w:t xml:space="preserve">bootstrap intervals are more appropriate than broad significance claims.</w:t>
      </w:r>
    </w:p>
    <w:p>
      <w:pPr>
        <w:pStyle w:val="ListParagraph"/>
        <w:numPr>
          <w:ilvl w:val="0"/>
          <w:numId w:val="2"/>
        </w:numPr>
        <w:spacing w:after="70"/>
      </w:pPr>
      <w:r>
        <w:t xml:space="preserve">The agent and Judge use the same model family, which may introduce shared</w:t>
      </w:r>
    </w:p>
    <w:p>
      <w:pPr>
        <w:spacing w:after="150" w:line="300"/>
        <w:jc w:val="both"/>
      </w:pPr>
      <w:r>
        <w:rPr>
          <w:color w:val="1F2933"/>
          <w:sz w:val="21"/>
          <w:szCs w:val="21"/>
        </w:rPr>
        <w:t xml:space="preserve">biases.</w:t>
      </w:r>
    </w:p>
    <w:p>
      <w:pPr>
        <w:pStyle w:val="ListParagraph"/>
        <w:numPr>
          <w:ilvl w:val="0"/>
          <w:numId w:val="2"/>
        </w:numPr>
        <w:spacing w:after="70"/>
      </w:pPr>
      <w:r>
        <w:t xml:space="preserve">All formal runs were executed in one WSL/Linux environment.</w:t>
      </w:r>
    </w:p>
    <w:p>
      <w:pPr>
        <w:pStyle w:val="ListParagraph"/>
        <w:numPr>
          <w:ilvl w:val="0"/>
          <w:numId w:val="2"/>
        </w:numPr>
        <w:spacing w:after="70"/>
      </w:pPr>
      <w:r>
        <w:t xml:space="preserve">Full Rewrite is version-invariant generic prose, not schema-generated</w:t>
      </w:r>
    </w:p>
    <w:p>
      <w:pPr>
        <w:spacing w:after="150" w:line="300"/>
        <w:jc w:val="both"/>
      </w:pPr>
      <w:r>
        <w:rPr>
          <w:color w:val="1F2933"/>
          <w:sz w:val="21"/>
          <w:szCs w:val="21"/>
        </w:rPr>
        <w:t xml:space="preserve">version-specific knowledge.</w:t>
      </w:r>
    </w:p>
    <w:p>
      <w:pPr>
        <w:pStyle w:val="ListParagraph"/>
        <w:numPr>
          <w:ilvl w:val="0"/>
          <w:numId w:val="2"/>
        </w:numPr>
        <w:spacing w:after="70"/>
      </w:pPr>
      <w:r>
        <w:t xml:space="preserve">The over-update example is a supplementary controlled ablation, not a</w:t>
      </w:r>
    </w:p>
    <w:p>
      <w:pPr>
        <w:spacing w:after="150" w:line="300"/>
        <w:jc w:val="both"/>
      </w:pPr>
      <w:r>
        <w:rPr>
          <w:color w:val="1F2933"/>
          <w:sz w:val="21"/>
          <w:szCs w:val="21"/>
        </w:rPr>
        <w:t xml:space="preserve">naturally occurring cell in the formal matrix, and its Judge score does not detect the termination failure.</w:t>
      </w:r>
    </w:p>
    <w:p>
      <w:pPr>
        <w:pStyle w:val="ListParagraph"/>
        <w:numPr>
          <w:ilvl w:val="0"/>
          <w:numId w:val="2"/>
        </w:numPr>
        <w:spacing w:after="70"/>
      </w:pPr>
      <w:r>
        <w:t xml:space="preserve">Only the final Task 235 ablation trajectory is preserved; earlier injected</w:t>
      </w:r>
    </w:p>
    <w:p>
      <w:pPr>
        <w:spacing w:after="150" w:line="300"/>
        <w:jc w:val="both"/>
      </w:pPr>
      <w:r>
        <w:rPr>
          <w:color w:val="1F2933"/>
          <w:sz w:val="21"/>
          <w:szCs w:val="21"/>
        </w:rPr>
        <w:t xml:space="preserve">variants were overwritten and remain documented in work logs rather than as separate result directories.</w:t>
      </w:r>
    </w:p>
    <w:p>
      <w:pPr>
        <w:pStyle w:val="Heading1"/>
        <w:pageBreakBefore/>
      </w:pPr>
      <w:r>
        <w:t xml:space="preserve">10. Conclusion</w:t>
      </w:r>
    </w:p>
    <w:p>
      <w:pPr>
        <w:spacing w:after="150" w:line="300"/>
        <w:jc w:val="both"/>
      </w:pPr>
      <w:r>
        <w:rPr>
          <w:color w:val="1F2933"/>
          <w:sz w:val="21"/>
          <w:szCs w:val="21"/>
        </w:rPr>
        <w:t xml:space="preserve">Under the completed protocol, Full Rewrite provides the strongest recovery and cross-version stability. The current Selective Patch does not reliably improve over No Update because it misses at least one important changed tool contract. Full Rewrite also introduces a measurable retention efficiency regression on Task 260, while the controlled Task 235 ablation shows that an over-broad rewrite can break termination entirely. The central lesson is that selective adaptation needs high semantic coverage, while broad rewriting needs strict scope and output-protocol safeguards.</w:t>
      </w:r>
    </w:p>
    <w:p>
      <w:pPr>
        <w:pStyle w:val="Heading1"/>
        <w:pageBreakBefore/>
      </w:pPr>
      <w:r>
        <w:t xml:space="preserve">Appendix A. Assignment 4.2 traceability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53A5B" w:val="clear"/>
            <w:tcMar>
              <w:top w:type="dxa" w:w="100"/>
              <w:left w:type="dxa" w:w="120"/>
              <w:bottom w:type="dxa" w:w="100"/>
              <w:right w:type="dxa" w:w="120"/>
            </w:tcMar>
          </w:tcPr>
          <w:p>
            <w:pPr>
              <w:spacing w:after="0"/>
            </w:pPr>
            <w:r>
              <w:rPr>
                <w:b/>
                <w:bCs/>
                <w:color w:val="FFFFFF"/>
                <w:sz w:val="18"/>
                <w:szCs w:val="18"/>
              </w:rPr>
              <w:t xml:space="preserve">Minimum report requirement</w:t>
            </w:r>
          </w:p>
        </w:tc>
        <w:tc>
          <w:tcPr>
            <w:tcW w:type="dxa" w:w="3120"/>
            <w:shd w:fill="153A5B" w:val="clear"/>
            <w:tcMar>
              <w:top w:type="dxa" w:w="100"/>
              <w:left w:type="dxa" w:w="120"/>
              <w:bottom w:type="dxa" w:w="100"/>
              <w:right w:type="dxa" w:w="120"/>
            </w:tcMar>
          </w:tcPr>
          <w:p>
            <w:pPr>
              <w:spacing w:after="0"/>
            </w:pPr>
            <w:r>
              <w:rPr>
                <w:b/>
                <w:bCs/>
                <w:color w:val="FFFFFF"/>
                <w:sz w:val="18"/>
                <w:szCs w:val="18"/>
              </w:rPr>
              <w:t xml:space="preserve">Coverage in this report</w:t>
            </w:r>
          </w:p>
        </w:tc>
        <w:tc>
          <w:tcPr>
            <w:tcW w:type="dxa" w:w="3120"/>
            <w:shd w:fill="153A5B" w:val="clear"/>
            <w:tcMar>
              <w:top w:type="dxa" w:w="100"/>
              <w:left w:type="dxa" w:w="120"/>
              <w:bottom w:type="dxa" w:w="100"/>
              <w:right w:type="dxa" w:w="120"/>
            </w:tcMar>
          </w:tcPr>
          <w:p>
            <w:pPr>
              <w:spacing w:after="0"/>
            </w:pPr>
            <w:r>
              <w:rPr>
                <w:b/>
                <w:bCs/>
                <w:color w:val="FFFFFF"/>
                <w:sz w:val="18"/>
                <w:szCs w:val="18"/>
              </w:rPr>
              <w:t xml:space="preserve">Primary evidence</w:t>
            </w:r>
          </w:p>
        </w:tc>
      </w:tr>
      <w:tr>
        <w:tc>
          <w:tcPr>
            <w:tcW w:type="dxa" w:w="3120"/>
            <w:tcMar>
              <w:top w:type="dxa" w:w="100"/>
              <w:left w:type="dxa" w:w="120"/>
              <w:bottom w:type="dxa" w:w="100"/>
              <w:right w:type="dxa" w:w="120"/>
            </w:tcMar>
          </w:tcPr>
          <w:p>
            <w:pPr>
              <w:spacing w:after="0"/>
            </w:pPr>
            <w:r>
              <w:rPr>
                <w:b w:val="false"/>
                <w:bCs w:val="false"/>
                <w:color w:val="1F2933"/>
                <w:sz w:val="18"/>
                <w:szCs w:val="18"/>
              </w:rPr>
              <w:t xml:space="preserve">Main results: TF, PE, ECS for all three strategies</w:t>
            </w:r>
          </w:p>
        </w:tc>
        <w:tc>
          <w:tcPr>
            <w:tcW w:type="dxa" w:w="3120"/>
            <w:tcMar>
              <w:top w:type="dxa" w:w="100"/>
              <w:left w:type="dxa" w:w="120"/>
              <w:bottom w:type="dxa" w:w="100"/>
              <w:right w:type="dxa" w:w="120"/>
            </w:tcMar>
          </w:tcPr>
          <w:p>
            <w:pPr>
              <w:spacing w:after="0"/>
            </w:pPr>
            <w:r>
              <w:rPr>
                <w:b w:val="false"/>
                <w:bCs w:val="false"/>
                <w:color w:val="1F2933"/>
                <w:sz w:val="18"/>
                <w:szCs w:val="18"/>
              </w:rPr>
              <w:t xml:space="preserve">Sections 4 and 5</w:t>
            </w:r>
          </w:p>
        </w:tc>
        <w:tc>
          <w:tcPr>
            <w:tcW w:type="dxa" w:w="3120"/>
            <w:tcMar>
              <w:top w:type="dxa" w:w="100"/>
              <w:left w:type="dxa" w:w="120"/>
              <w:bottom w:type="dxa" w:w="100"/>
              <w:right w:type="dxa" w:w="120"/>
            </w:tcMar>
          </w:tcPr>
          <w:p>
            <w:pPr>
              <w:spacing w:after="0"/>
            </w:pPr>
            <w:r>
              <w:rPr>
                <w:b w:val="false"/>
                <w:bCs w:val="false"/>
                <w:color w:val="1F2933"/>
                <w:sz w:val="18"/>
                <w:szCs w:val="18"/>
              </w:rPr>
              <w:t xml:space="preserve">reports/d/final-comparison.csv</w:t>
            </w:r>
          </w:p>
        </w:tc>
      </w:tr>
      <w:tr>
        <w:tc>
          <w:tcPr>
            <w:tcW w:type="dxa" w:w="3120"/>
            <w:tcMar>
              <w:top w:type="dxa" w:w="100"/>
              <w:left w:type="dxa" w:w="120"/>
              <w:bottom w:type="dxa" w:w="100"/>
              <w:right w:type="dxa" w:w="120"/>
            </w:tcMar>
          </w:tcPr>
          <w:p>
            <w:pPr>
              <w:spacing w:after="0"/>
            </w:pPr>
            <w:r>
              <w:rPr>
                <w:b w:val="false"/>
                <w:bCs w:val="false"/>
                <w:color w:val="1F2933"/>
                <w:sz w:val="18"/>
                <w:szCs w:val="18"/>
              </w:rPr>
              <w:t xml:space="preserve">Recovery and retention</w:t>
            </w:r>
          </w:p>
        </w:tc>
        <w:tc>
          <w:tcPr>
            <w:tcW w:type="dxa" w:w="3120"/>
            <w:tcMar>
              <w:top w:type="dxa" w:w="100"/>
              <w:left w:type="dxa" w:w="120"/>
              <w:bottom w:type="dxa" w:w="100"/>
              <w:right w:type="dxa" w:w="120"/>
            </w:tcMar>
          </w:tcPr>
          <w:p>
            <w:pPr>
              <w:spacing w:after="0"/>
            </w:pPr>
            <w:r>
              <w:rPr>
                <w:b w:val="false"/>
                <w:bCs w:val="false"/>
                <w:color w:val="1F2933"/>
                <w:sz w:val="18"/>
                <w:szCs w:val="18"/>
              </w:rPr>
              <w:t xml:space="preserve">Section 5.3</w:t>
            </w:r>
          </w:p>
        </w:tc>
        <w:tc>
          <w:tcPr>
            <w:tcW w:type="dxa" w:w="3120"/>
            <w:tcMar>
              <w:top w:type="dxa" w:w="100"/>
              <w:left w:type="dxa" w:w="120"/>
              <w:bottom w:type="dxa" w:w="100"/>
              <w:right w:type="dxa" w:w="120"/>
            </w:tcMar>
          </w:tcPr>
          <w:p>
            <w:pPr>
              <w:spacing w:after="0"/>
            </w:pPr>
            <w:r>
              <w:rPr>
                <w:b w:val="false"/>
                <w:bCs w:val="false"/>
                <w:color w:val="1F2933"/>
                <w:sz w:val="18"/>
                <w:szCs w:val="18"/>
              </w:rPr>
              <w:t xml:space="preserve">reports/d/comparison-analysis.json</w:t>
            </w:r>
          </w:p>
        </w:tc>
      </w:tr>
      <w:tr>
        <w:tc>
          <w:tcPr>
            <w:tcW w:type="dxa" w:w="3120"/>
            <w:tcMar>
              <w:top w:type="dxa" w:w="100"/>
              <w:left w:type="dxa" w:w="120"/>
              <w:bottom w:type="dxa" w:w="100"/>
              <w:right w:type="dxa" w:w="120"/>
            </w:tcMar>
          </w:tcPr>
          <w:p>
            <w:pPr>
              <w:spacing w:after="0"/>
            </w:pPr>
            <w:r>
              <w:rPr>
                <w:b w:val="false"/>
                <w:bCs w:val="false"/>
                <w:color w:val="1F2933"/>
                <w:sz w:val="18"/>
                <w:szCs w:val="18"/>
              </w:rPr>
              <w:t xml:space="preserve">Update cost: tokens, time, API cost</w:t>
            </w:r>
          </w:p>
        </w:tc>
        <w:tc>
          <w:tcPr>
            <w:tcW w:type="dxa" w:w="3120"/>
            <w:tcMar>
              <w:top w:type="dxa" w:w="100"/>
              <w:left w:type="dxa" w:w="120"/>
              <w:bottom w:type="dxa" w:w="100"/>
              <w:right w:type="dxa" w:w="120"/>
            </w:tcMar>
          </w:tcPr>
          <w:p>
            <w:pPr>
              <w:spacing w:after="0"/>
            </w:pPr>
            <w:r>
              <w:rPr>
                <w:b w:val="false"/>
                <w:bCs w:val="false"/>
                <w:color w:val="1F2933"/>
                <w:sz w:val="18"/>
                <w:szCs w:val="18"/>
              </w:rPr>
              <w:t xml:space="preserve">Section 7</w:t>
            </w:r>
          </w:p>
        </w:tc>
        <w:tc>
          <w:tcPr>
            <w:tcW w:type="dxa" w:w="3120"/>
            <w:tcMar>
              <w:top w:type="dxa" w:w="100"/>
              <w:left w:type="dxa" w:w="120"/>
              <w:bottom w:type="dxa" w:w="100"/>
              <w:right w:type="dxa" w:w="120"/>
            </w:tcMar>
          </w:tcPr>
          <w:p>
            <w:pPr>
              <w:spacing w:after="0"/>
            </w:pPr>
            <w:r>
              <w:rPr>
                <w:b w:val="false"/>
                <w:bCs w:val="false"/>
                <w:color w:val="1F2933"/>
                <w:sz w:val="18"/>
                <w:szCs w:val="18"/>
              </w:rPr>
              <w:t xml:space="preserve">reports/d/cost-analysis.csv</w:t>
            </w:r>
          </w:p>
        </w:tc>
      </w:tr>
      <w:tr>
        <w:tc>
          <w:tcPr>
            <w:tcW w:type="dxa" w:w="3120"/>
            <w:tcMar>
              <w:top w:type="dxa" w:w="100"/>
              <w:left w:type="dxa" w:w="120"/>
              <w:bottom w:type="dxa" w:w="100"/>
              <w:right w:type="dxa" w:w="120"/>
            </w:tcMar>
          </w:tcPr>
          <w:p>
            <w:pPr>
              <w:spacing w:after="0"/>
            </w:pPr>
            <w:r>
              <w:rPr>
                <w:b w:val="false"/>
                <w:bCs w:val="false"/>
                <w:color w:val="1F2933"/>
                <w:sz w:val="18"/>
                <w:szCs w:val="18"/>
              </w:rPr>
              <w:t xml:space="preserve">Under-update failure and example trajectory</w:t>
            </w:r>
          </w:p>
        </w:tc>
        <w:tc>
          <w:tcPr>
            <w:tcW w:type="dxa" w:w="3120"/>
            <w:tcMar>
              <w:top w:type="dxa" w:w="100"/>
              <w:left w:type="dxa" w:w="120"/>
              <w:bottom w:type="dxa" w:w="100"/>
              <w:right w:type="dxa" w:w="120"/>
            </w:tcMar>
          </w:tcPr>
          <w:p>
            <w:pPr>
              <w:spacing w:after="0"/>
            </w:pPr>
            <w:r>
              <w:rPr>
                <w:b w:val="false"/>
                <w:bCs w:val="false"/>
                <w:color w:val="1F2933"/>
                <w:sz w:val="18"/>
                <w:szCs w:val="18"/>
              </w:rPr>
              <w:t xml:space="preserve">Section 6.1</w:t>
            </w:r>
          </w:p>
        </w:tc>
        <w:tc>
          <w:tcPr>
            <w:tcW w:type="dxa" w:w="3120"/>
            <w:tcMar>
              <w:top w:type="dxa" w:w="100"/>
              <w:left w:type="dxa" w:w="120"/>
              <w:bottom w:type="dxa" w:w="100"/>
              <w:right w:type="dxa" w:w="120"/>
            </w:tcMar>
          </w:tcPr>
          <w:p>
            <w:pPr>
              <w:spacing w:after="0"/>
            </w:pPr>
            <w:r>
              <w:rPr>
                <w:b w:val="false"/>
                <w:bCs w:val="false"/>
                <w:color w:val="1F2933"/>
                <w:sz w:val="18"/>
                <w:szCs w:val="18"/>
              </w:rPr>
              <w:t xml:space="preserve">reports/d/evidence/task2-under-update-sp.json and paired Full Rewrite evidence</w:t>
            </w:r>
          </w:p>
        </w:tc>
      </w:tr>
      <w:tr>
        <w:tc>
          <w:tcPr>
            <w:tcW w:type="dxa" w:w="3120"/>
            <w:tcMar>
              <w:top w:type="dxa" w:w="100"/>
              <w:left w:type="dxa" w:w="120"/>
              <w:bottom w:type="dxa" w:w="100"/>
              <w:right w:type="dxa" w:w="120"/>
            </w:tcMar>
          </w:tcPr>
          <w:p>
            <w:pPr>
              <w:spacing w:after="0"/>
            </w:pPr>
            <w:r>
              <w:rPr>
                <w:b w:val="false"/>
                <w:bCs w:val="false"/>
                <w:color w:val="1F2933"/>
                <w:sz w:val="18"/>
                <w:szCs w:val="18"/>
              </w:rPr>
              <w:t xml:space="preserve">Over-update failure and example trajectory</w:t>
            </w:r>
          </w:p>
        </w:tc>
        <w:tc>
          <w:tcPr>
            <w:tcW w:type="dxa" w:w="3120"/>
            <w:tcMar>
              <w:top w:type="dxa" w:w="100"/>
              <w:left w:type="dxa" w:w="120"/>
              <w:bottom w:type="dxa" w:w="100"/>
              <w:right w:type="dxa" w:w="120"/>
            </w:tcMar>
          </w:tcPr>
          <w:p>
            <w:pPr>
              <w:spacing w:after="0"/>
            </w:pPr>
            <w:r>
              <w:rPr>
                <w:b w:val="false"/>
                <w:bCs w:val="false"/>
                <w:color w:val="1F2933"/>
                <w:sz w:val="18"/>
                <w:szCs w:val="18"/>
              </w:rPr>
              <w:t xml:space="preserve">Section 6.3; explicitly labelled supplementary and excluded from formal statistics</w:t>
            </w:r>
          </w:p>
        </w:tc>
        <w:tc>
          <w:tcPr>
            <w:tcW w:type="dxa" w:w="3120"/>
            <w:tcMar>
              <w:top w:type="dxa" w:w="100"/>
              <w:left w:type="dxa" w:w="120"/>
              <w:bottom w:type="dxa" w:w="100"/>
              <w:right w:type="dxa" w:w="120"/>
            </w:tcMar>
          </w:tcPr>
          <w:p>
            <w:pPr>
              <w:spacing w:after="0"/>
            </w:pPr>
            <w:r>
              <w:rPr>
                <w:b w:val="false"/>
                <w:bCs w:val="false"/>
                <w:color w:val="1F2933"/>
                <w:sz w:val="18"/>
                <w:szCs w:val="18"/>
              </w:rPr>
              <w:t xml:space="preserve">reports/d/evidence/task235-over-update-ablation.json and paired baseline evidence</w:t>
            </w:r>
          </w:p>
        </w:tc>
      </w:tr>
      <w:tr>
        <w:tc>
          <w:tcPr>
            <w:tcW w:type="dxa" w:w="3120"/>
            <w:tcMar>
              <w:top w:type="dxa" w:w="100"/>
              <w:left w:type="dxa" w:w="120"/>
              <w:bottom w:type="dxa" w:w="100"/>
              <w:right w:type="dxa" w:w="120"/>
            </w:tcMar>
          </w:tcPr>
          <w:p>
            <w:pPr>
              <w:spacing w:after="0"/>
            </w:pPr>
            <w:r>
              <w:rPr>
                <w:b w:val="false"/>
                <w:bCs w:val="false"/>
                <w:color w:val="1F2933"/>
                <w:sz w:val="18"/>
                <w:szCs w:val="18"/>
              </w:rPr>
              <w:t xml:space="preserve">Discussion of when patching helps, fails, and difficult changes</w:t>
            </w:r>
          </w:p>
        </w:tc>
        <w:tc>
          <w:tcPr>
            <w:tcW w:type="dxa" w:w="3120"/>
            <w:tcMar>
              <w:top w:type="dxa" w:w="100"/>
              <w:left w:type="dxa" w:w="120"/>
              <w:bottom w:type="dxa" w:w="100"/>
              <w:right w:type="dxa" w:w="120"/>
            </w:tcMar>
          </w:tcPr>
          <w:p>
            <w:pPr>
              <w:spacing w:after="0"/>
            </w:pPr>
            <w:r>
              <w:rPr>
                <w:b w:val="false"/>
                <w:bCs w:val="false"/>
                <w:color w:val="1F2933"/>
                <w:sz w:val="18"/>
                <w:szCs w:val="18"/>
              </w:rPr>
              <w:t xml:space="preserve">Section 8</w:t>
            </w:r>
          </w:p>
        </w:tc>
        <w:tc>
          <w:tcPr>
            <w:tcW w:type="dxa" w:w="3120"/>
            <w:tcMar>
              <w:top w:type="dxa" w:w="100"/>
              <w:left w:type="dxa" w:w="120"/>
              <w:bottom w:type="dxa" w:w="100"/>
              <w:right w:type="dxa" w:w="120"/>
            </w:tcMar>
          </w:tcPr>
          <w:p>
            <w:pPr>
              <w:spacing w:after="0"/>
            </w:pPr>
            <w:r>
              <w:rPr>
                <w:b w:val="false"/>
                <w:bCs w:val="false"/>
                <w:color w:val="1F2933"/>
                <w:sz w:val="18"/>
                <w:szCs w:val="18"/>
              </w:rPr>
              <w:t xml:space="preserve">Paired results, failure analysis, and limitations</w:t>
            </w:r>
          </w:p>
        </w:tc>
      </w:tr>
    </w:tbl>
    <w:p>
      <w:pPr>
        <w:spacing w:after="80"/>
      </w:pPr>
    </w:p>
    <w:p>
      <w:pPr>
        <w:pStyle w:val="Heading1"/>
        <w:pageBreakBefore/>
      </w:pPr>
      <w:r>
        <w:t xml:space="preserve">Reproduction and evidence</w:t>
      </w:r>
    </w:p>
    <w:p>
      <w:pPr>
        <w:pStyle w:val="ListParagraph"/>
        <w:numPr>
          <w:ilvl w:val="0"/>
          <w:numId w:val="1"/>
        </w:numPr>
        <w:spacing w:after="70"/>
      </w:pPr>
      <w:r>
        <w:t xml:space="preserve">Final audit: reports/d/final-experiment-audit.json</w:t>
      </w:r>
    </w:p>
    <w:p>
      <w:pPr>
        <w:pStyle w:val="ListParagraph"/>
        <w:numPr>
          <w:ilvl w:val="0"/>
          <w:numId w:val="1"/>
        </w:numPr>
        <w:spacing w:after="70"/>
      </w:pPr>
      <w:r>
        <w:t xml:space="preserve">Aggregate results: reports/d/final-comparison.csv and</w:t>
      </w:r>
    </w:p>
    <w:p>
      <w:pPr>
        <w:spacing w:after="150" w:line="300"/>
        <w:jc w:val="both"/>
      </w:pPr>
      <w:r>
        <w:rPr>
          <w:rFonts w:ascii="Consolas" w:cs="Consolas" w:eastAsia="Consolas" w:hAnsi="Consolas"/>
          <w:color w:val="1F2933"/>
          <w:sz w:val="21"/>
          <w:szCs w:val="21"/>
        </w:rPr>
        <w:t xml:space="preserve">reports/d/comparison-analysis.json</w:t>
      </w:r>
    </w:p>
    <w:p>
      <w:pPr>
        <w:pStyle w:val="ListParagraph"/>
        <w:numPr>
          <w:ilvl w:val="0"/>
          <w:numId w:val="1"/>
        </w:numPr>
        <w:spacing w:after="70"/>
      </w:pPr>
      <w:r>
        <w:t xml:space="preserve">Detailed scores: results/summary.csv and results/summary.json</w:t>
      </w:r>
    </w:p>
    <w:p>
      <w:pPr>
        <w:pStyle w:val="ListParagraph"/>
        <w:numPr>
          <w:ilvl w:val="0"/>
          <w:numId w:val="1"/>
        </w:numPr>
        <w:spacing w:after="70"/>
      </w:pPr>
      <w:r>
        <w:t xml:space="preserve">Failure evidence: reports/d/failure-analysis.md</w:t>
      </w:r>
    </w:p>
    <w:p>
      <w:pPr>
        <w:pStyle w:val="ListParagraph"/>
        <w:numPr>
          <w:ilvl w:val="0"/>
          <w:numId w:val="1"/>
        </w:numPr>
        <w:spacing w:after="70"/>
      </w:pPr>
      <w:r>
        <w:t xml:space="preserve">Cost analysis: reports/d/cost-analysis.csv</w:t>
      </w:r>
    </w:p>
    <w:p>
      <w:pPr>
        <w:pStyle w:val="ListParagraph"/>
        <w:numPr>
          <w:ilvl w:val="0"/>
          <w:numId w:val="1"/>
        </w:numPr>
        <w:spacing w:after="70"/>
      </w:pPr>
      <w:r>
        <w:t xml:space="preserve">Raw trajectories and Judge records: results/{strategy}/{version}/run-XX/</w:t>
      </w:r>
    </w:p>
    <w:p>
      <w:pPr>
        <w:pStyle w:val="ListParagraph"/>
        <w:numPr>
          <w:ilvl w:val="0"/>
          <w:numId w:val="1"/>
        </w:numPr>
        <w:spacing w:after="70"/>
      </w:pPr>
      <w:r>
        <w:t xml:space="preserve">Safe packaged submission: deliverables/</w:t>
      </w:r>
    </w:p>
    <w:sectPr>
      <w:headerReference w:type="default" r:id="rId7"/>
      <w:footerReference w:type="default" r:id="rId8"/>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770"/>
        <w:sz w:val="16"/>
        <w:szCs w:val="16"/>
      </w:rPr>
      <w:t xml:space="preserve">Final Report  |  </w:t>
    </w:r>
    <w:r>
      <w:rPr>
        <w:color w:val="5B677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770"/>
        <w:sz w:val="16"/>
        <w:szCs w:val="16"/>
      </w:rPr>
      <w:t xml:space="preserve">MCPEvol Harness Adaptation  ·  PE6203 Case 4</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500" w:hanging="25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color w:val="1F2933"/>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240"/>
      <w:jc w:val="center"/>
    </w:pPr>
    <w:rPr>
      <w:rFonts w:ascii="Aptos Display" w:cs="Aptos Display" w:eastAsia="Aptos Display" w:hAnsi="Aptos Display"/>
      <w:b/>
      <w:bCs/>
      <w:color w:val="153A5B"/>
      <w:sz w:val="52"/>
      <w:szCs w:val="52"/>
    </w:rPr>
  </w:style>
  <w:style w:type="paragraph" w:styleId="Heading1">
    <w:name w:val="Heading 1"/>
    <w:basedOn w:val="Normal"/>
    <w:next w:val="Normal"/>
    <w:qFormat/>
    <w:pPr>
      <w:pBdr>
        <w:bottom w:val="single" w:color="147D84" w:sz="10" w:space="6"/>
      </w:pBdr>
      <w:spacing w:after="150" w:before="220"/>
      <w:outlineLvl w:val="0"/>
    </w:pPr>
    <w:rPr>
      <w:rFonts w:ascii="Aptos Display" w:cs="Aptos Display" w:eastAsia="Aptos Display" w:hAnsi="Aptos Display"/>
      <w:b/>
      <w:bCs/>
      <w:color w:val="153A5B"/>
      <w:sz w:val="31"/>
      <w:szCs w:val="31"/>
    </w:rPr>
  </w:style>
  <w:style w:type="paragraph" w:styleId="Heading2">
    <w:name w:val="Heading 2"/>
    <w:basedOn w:val="Normal"/>
    <w:next w:val="Normal"/>
    <w:qFormat/>
    <w:pPr>
      <w:spacing w:after="100" w:before="180"/>
      <w:outlineLvl w:val="1"/>
    </w:pPr>
    <w:rPr>
      <w:rFonts w:ascii="Aptos Display" w:cs="Aptos Display" w:eastAsia="Aptos Display" w:hAnsi="Aptos Display"/>
      <w:b/>
      <w:bCs/>
      <w:color w:val="147D84"/>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Tool Harness Adaptation under Environment Change</dc:title>
  <dc:creator>PE6203 Case 4 Team</dc:creator>
  <dc:description>Final experiment report for PE6203 Case 4</dc:description>
  <cp:lastModifiedBy>Un-named</cp:lastModifiedBy>
  <cp:revision>1</cp:revision>
  <dcterms:created xsi:type="dcterms:W3CDTF">2026-10-15T23:44:42.640Z</dcterms:created>
  <dcterms:modified xsi:type="dcterms:W3CDTF">2026-10-15T23:44:42.641Z</dcterms:modified>
</cp:coreProperties>
</file>

<file path=docProps/custom.xml><?xml version="1.0" encoding="utf-8"?>
<Properties xmlns="http://schemas.openxmlformats.org/officeDocument/2006/custom-properties" xmlns:vt="http://schemas.openxmlformats.org/officeDocument/2006/docPropsVTypes"/>
</file>