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s="http://schemas.microsoft.com/office/word/2010/wordprocessingShape" xmlns:wne="http://schemas.microsoft.com/office/word/2006/wordml" xmlns:wpi="http://schemas.microsoft.com/office/word/2010/wordprocessingInk" xmlns:wpg="http://schemas.microsoft.com/office/word/2010/wordprocessingGroup" xmlns:w15="http://schemas.microsoft.com/office/word/2012/wordml" xmlns:w14="http://schemas.microsoft.com/office/word/2010/wordml" xmlns:w10="urn:schemas-microsoft-com:office:word" xmlns:wp="http://schemas.openxmlformats.org/drawingml/2006/wordprocessingDrawing" xmlns:wp14="http://schemas.microsoft.com/office/word/2010/wordprocessingDrawing" xmlns:v="urn:schemas-microsoft-com:vml" xmlns:m="http://schemas.openxmlformats.org/officeDocument/2006/math" xmlns:o="urn:schemas-microsoft-com:office:office" xmlns:wpc="http://schemas.microsoft.com/office/word/2010/wordprocessingCanvas" xmlns:mc="http://schemas.openxmlformats.org/markup-compatibility/2006" xmlns:r="http://schemas.openxmlformats.org/officeDocument/2006/relationships" xmlns:w="http://schemas.openxmlformats.org/wordprocessingml/2006/main" mc:Ignorable="w14 w15 wp14">
  <w:body>
    <w:p>
      <w:pPr>
        <w:spacing w:after="260" w:before="1500"/>
        <w:jc w:val="center"/>
      </w:pPr>
      <w:r>
        <w:rPr>
          <w:b/>
          <w:bCs/>
          <w:color w:val="147D84"/>
          <w:spacing w:val="80"/>
          <w:sz w:val="24"/>
          <w:szCs w:val="24"/>
        </w:rPr>
        <w:t xml:space="preserve">PE6203 · CASE 4</w:t>
      </w:r>
    </w:p>
    <w:p>
      <w:pPr>
        <w:spacing w:after="240"/>
        <w:jc w:val="center"/>
      </w:pPr>
      <w:r>
        <w:rPr>
          <w:b/>
          <w:bCs/>
          <w:color w:val="153A5B"/>
          <w:sz w:val="52"/>
          <w:szCs w:val="52"/>
        </w:rPr>
        <w:t xml:space="preserve">Tool Harness Adaptation</w:t>
      </w:r>
    </w:p>
    <w:p>
      <w:pPr>
        <w:spacing w:after="700"/>
        <w:jc w:val="center"/>
      </w:pPr>
      <w:r>
        <w:rPr>
          <w:color w:val="153A5B"/>
          <w:sz w:val="34"/>
          <w:szCs w:val="34"/>
        </w:rPr>
        <w:t xml:space="preserve">under Environment Change</w:t>
      </w:r>
    </w:p>
    <w:p>
      <w:pPr>
        <w:shd w:fill="EAF3F5" w:val="clear"/>
        <w:spacing w:after="100" w:before="100"/>
        <w:jc w:val="center"/>
      </w:pPr>
      <w:r>
        <w:rPr>
          <w:b/>
          <w:bCs/>
          <w:color w:val="147D84"/>
          <w:sz w:val="24"/>
          <w:szCs w:val="24"/>
        </w:rPr>
        <w:t xml:space="preserve">FINAL EXPERIMENT REPORT</w:t>
      </w:r>
    </w:p>
    <w:p>
      <w:pPr>
        <w:spacing w:after="100" w:before="650"/>
        <w:jc w:val="center"/>
      </w:pPr>
      <w:r>
        <w:rPr>
          <w:color w:val="5B6770"/>
          <w:sz w:val="22"/>
          <w:szCs w:val="22"/>
        </w:rPr>
        <w:t xml:space="preserve">30 fixed tasks · 27 experiment cells · 810 trajectories</w:t>
      </w:r>
    </w:p>
    <w:p>
      <w:pPr>
        <w:spacing w:after="100"/>
        <w:jc w:val="center"/>
      </w:pPr>
      <w:r>
        <w:rPr>
          <w:color w:val="5B6770"/>
          <w:sz w:val="22"/>
          <w:szCs w:val="22"/>
        </w:rPr>
        <w:t xml:space="preserve">4,050 Judge scores · Final audit passed</w:t>
      </w:r>
    </w:p>
    <w:p>
      <w:pPr>
        <w:spacing w:before="850"/>
        <w:jc w:val="center"/>
      </w:pPr>
      <w:r>
        <w:rPr>
          <w:color w:val="5B6770"/>
          <w:sz w:val="20"/>
          <w:szCs w:val="20"/>
        </w:rPr>
        <w:t xml:space="preserve">16 October 2026</w:t>
      </w:r>
    </w:p>
    <w:p>
      <w:r>
        <w:br w:type="page"/>
      </w:r>
    </w:p>
    <w:p>
      <w:pPr>
        <w:pStyle w:val="Heading1"/>
      </w:pPr>
      <w:r>
        <w:t xml:space="preserve">Abstract</w:t>
      </w:r>
    </w:p>
    <w:p>
      <w:pPr>
        <w:spacing w:after="150" w:line="300"/>
        <w:jc w:val="both"/>
      </w:pPr>
      <w:r>
        <w:t>Long-lived tool-using agents can retain stale knowledge after tool names, parameters, descriptions, or usage rules change. This project evaluates three harness strategies on MCPEvol-Bench while keeping the base model, decoding settings, tasks, environment endpoints, and Judge protocol fixed: No Update, Full Rewrite, and a Selective Patch method that changes only knowledge linked to detected tool changes. We run a fixed 30-task subset across Early, Middle, and Late environments, with three independent runs and five Judge scores per task. The final matrix contains 27 experiment cells, 810 trajectories, and 4,050 successful Judge scores. Full Rewrite performed best under this specific protocol and fixed subset (mean TF 8.75, success 81.5%), while Selective Patch does not show a reliable improvement over No Update. Task 2 is a candidate under-update case, and paired trajectories also identify a Full Rewrite efficiency regression that remains above the success threshold. No natural over-update case was observed in the formal matrix. Task 235 is a controlled over-update ablation showing how an over-broad output-protocol rewrite can break task termination. The results show that selective adaptation can preserve unaffected behavior, but its benefit depends on complete change detection.</w:t>
      </w:r>
    </w:p>
    <w:p>
      <w:pPr>
        <w:pStyle w:val="Heading1"/>
        <w:pageBreakBefore/>
      </w:pPr>
      <w:r>
        <w:t xml:space="preserve">1. Problem and research question</w:t>
      </w:r>
    </w:p>
    <w:p>
      <w:pPr>
        <w:spacing w:after="150" w:line="300"/>
        <w:jc w:val="both"/>
      </w:pPr>
      <w:r>
        <w:rPr>
          <w:color w:val="1F2933"/>
          <w:sz w:val="21"/>
          <w:szCs w:val="21"/>
        </w:rPr>
        <w:t xml:space="preserve">Tool harnesses contain system instructions, tool-use rules, routing guidance, and assumptions about tool contracts. When the environment changes, stale knowledge can cause invalid calls or poor planning. Updating everything may recover changed tasks but can also disturb working behavior. Updating only the affected knowledge should reduce that risk, but only if the change detector has sufficient coverage.</w:t>
      </w:r>
    </w:p>
    <w:p>
      <w:pPr>
        <w:spacing w:after="150" w:line="300"/>
        <w:jc w:val="both"/>
      </w:pPr>
      <w:r>
        <w:rPr>
          <w:color w:val="1F2933"/>
          <w:sz w:val="21"/>
          <w:szCs w:val="21"/>
        </w:rPr>
        <w:t xml:space="preserve">The research question is:</w:t>
      </w:r>
    </w:p>
    <w:p>
      <w:pPr>
        <w:pBdr>
          <w:left w:val="single" w:color="147D84" w:sz="18" w:space="12"/>
        </w:pBdr>
        <w:shd w:fill="EAF3F5" w:val="clear"/>
        <w:spacing w:after="180" w:before="100"/>
        <w:ind w:left="500"/>
      </w:pPr>
      <w:r>
        <w:rPr>
          <w:i/>
          <w:iCs/>
          <w:color w:val="153A5B"/>
          <w:sz w:val="22"/>
          <w:szCs w:val="22"/>
        </w:rPr>
        <w:t xml:space="preserve">Can a selective harness patch recover performance on changed tools while</w:t>
      </w:r>
    </w:p>
    <w:p>
      <w:pPr>
        <w:pBdr>
          <w:left w:val="single" w:color="147D84" w:sz="18" w:space="12"/>
        </w:pBdr>
        <w:shd w:fill="EAF3F5" w:val="clear"/>
        <w:spacing w:after="180" w:before="100"/>
        <w:ind w:left="500"/>
      </w:pPr>
      <w:r>
        <w:rPr>
          <w:i/>
          <w:iCs/>
          <w:color w:val="153A5B"/>
          <w:sz w:val="22"/>
          <w:szCs w:val="22"/>
        </w:rPr>
        <w:t xml:space="preserve">preserving performance on tasks that should remain solvable?</w:t>
      </w:r>
    </w:p>
    <w:p>
      <w:pPr>
        <w:spacing w:after="150" w:line="300"/>
        <w:jc w:val="both"/>
      </w:pPr>
      <w:r>
        <w:rPr>
          <w:color w:val="1F2933"/>
          <w:sz w:val="21"/>
          <w:szCs w:val="21"/>
        </w:rPr>
        <w:t xml:space="preserve">Model fine-tuning and benchmark-label changes are outside the project scope.</w:t>
      </w:r>
    </w:p>
    <w:p>
      <w:pPr>
        <w:pStyle w:val="Heading1"/>
        <w:pageBreakBefore/>
      </w:pPr>
      <w:r>
        <w:t xml:space="preserve">2. Adaptation strategies</w:t>
      </w:r>
    </w:p>
    <w:p>
      <w:pPr>
        <w:pStyle w:val="Heading2"/>
      </w:pPr>
      <w:r>
        <w:t xml:space="preserve">2.1 No Update</w:t>
      </w:r>
    </w:p>
    <w:p>
      <w:pPr>
        <w:spacing w:after="150" w:line="300"/>
        <w:jc w:val="both"/>
      </w:pPr>
      <w:r>
        <w:rPr>
          <w:color w:val="1F2933"/>
          <w:sz w:val="21"/>
          <w:szCs w:val="21"/>
        </w:rPr>
        <w:t xml:space="preserve">No Update uses the original harness knowledge after every environment change. It is the stale-knowledge baseline.</w:t>
      </w:r>
    </w:p>
    <w:p>
      <w:pPr>
        <w:pStyle w:val="Heading2"/>
      </w:pPr>
      <w:r>
        <w:t xml:space="preserve">2.2 Full Rewrite</w:t>
      </w:r>
    </w:p>
    <w:p>
      <w:pPr>
        <w:spacing w:after="150" w:line="300"/>
        <w:jc w:val="both"/>
      </w:pPr>
      <w:r>
        <w:rPr>
          <w:color w:val="1F2933"/>
          <w:sz w:val="21"/>
          <w:szCs w:val="21"/>
        </w:rPr>
        <w:t xml:space="preserve">The evaluated Full Rewrite replaces the complete original tool-use guidance with one generic rule set. It instructs the agent to treat the live </w:t>
      </w:r>
      <w:r>
        <w:rPr>
          <w:rFonts w:ascii="Consolas" w:cs="Consolas" w:eastAsia="Consolas" w:hAnsi="Consolas"/>
          <w:color w:val="1F2933"/>
          <w:sz w:val="21"/>
          <w:szCs w:val="21"/>
        </w:rPr>
        <w:t xml:space="preserve">tools/list</w:t>
      </w:r>
      <w:r>
        <w:rPr>
          <w:color w:val="1F2933"/>
          <w:sz w:val="21"/>
          <w:szCs w:val="21"/>
        </w:rPr>
        <w:t xml:space="preserve"> names, descriptions, and schemas as the source of truth and to discard remembered contracts. The replacement text is version-invariant: the same prompt and rules are materialized under Early, Middle, and Late, while the live tool list supplies the version-specific contracts at runtime.</w:t>
      </w:r>
    </w:p>
    <w:p>
      <w:pPr>
        <w:spacing w:after="150" w:line="300"/>
        <w:jc w:val="both"/>
      </w:pPr>
      <w:r>
        <w:rPr>
          <w:color w:val="1F2933"/>
          <w:sz w:val="21"/>
          <w:szCs w:val="21"/>
        </w:rPr>
        <w:t xml:space="preserve">This baseline is a complete harness rewrite, but it is not schema-generated version-specific prose. This distinction is important when interpreting its results and is preserved because the evaluated harness hashes are immutable experiment evidence.</w:t>
      </w:r>
    </w:p>
    <w:p>
      <w:pPr>
        <w:pStyle w:val="Heading2"/>
      </w:pPr>
      <w:r>
        <w:t xml:space="preserve">2.3 Selective Patch</w:t>
      </w:r>
    </w:p>
    <w:p>
      <w:pPr>
        <w:spacing w:after="150" w:line="300"/>
        <w:jc w:val="both"/>
      </w:pPr>
      <w:r>
        <w:rPr>
          <w:color w:val="1F2933"/>
          <w:sz w:val="21"/>
          <w:szCs w:val="21"/>
        </w:rPr>
        <w:t xml:space="preserve">Selective Patch compares exported tool schemas, identifies affected tools, and appends targeted knowledge only for detected changes. It patches 0 tool entries for Early, 22 for Middle, and 38 for Late. Generation is deterministic and local. The method aims to preserve the original harness for unaffected tasks while correcting renamed, removed, parameter-changed, or description-changed tools.</w:t>
      </w:r>
    </w:p>
    <w:p>
      <w:pPr>
        <w:spacing w:after="150" w:line="300"/>
        <w:jc w:val="both"/>
      </w:pPr>
      <w:r>
        <w:t>The generator compares Early directly with the target version, copies the original system prompt, and inserts server-scoped changed-tool rules. Removed and added tools are kept separate rather than guessing renames. At runtime, the runner selects patch sections for the task's tools and relevant removals; the full patch file remains an audit catalog. The original harness is generic, so this method primarily adds focused knowledge rather than replacing an existing per-tool memory.</w:t>
      </w:r>
    </w:p>
    <w:p>
      <w:pPr>
        <w:pStyle w:val="Heading1"/>
        <w:pageBreakBefore/>
      </w:pPr>
      <w:r>
        <w:t xml:space="preserve">3. Experimental protocol</w:t>
      </w:r>
    </w:p>
    <w:p>
      <w:pPr>
        <w:pStyle w:val="ListParagraph"/>
        <w:numPr>
          <w:ilvl w:val="0"/>
          <w:numId w:val="1"/>
        </w:numPr>
        <w:spacing w:after="70"/>
      </w:pPr>
      <w:r>
        <w:t xml:space="preserve">Benchmark: MCPEvol-Bench, commit</w:t>
      </w:r>
    </w:p>
    <w:p>
      <w:pPr>
        <w:spacing w:after="150" w:line="300"/>
        <w:jc w:val="both"/>
      </w:pPr>
      <w:r>
        <w:rPr>
          <w:rFonts w:ascii="Consolas" w:cs="Consolas" w:eastAsia="Consolas" w:hAnsi="Consolas"/>
          <w:color w:val="1F2933"/>
          <w:sz w:val="21"/>
          <w:szCs w:val="21"/>
        </w:rPr>
        <w:t xml:space="preserve">888c779a0fe735f612ca62bdd1fdd7c9e6bf8701</w:t>
      </w:r>
      <w:r>
        <w:rPr>
          <w:color w:val="1F2933"/>
          <w:sz w:val="21"/>
          <w:szCs w:val="21"/>
        </w:rPr>
        <w:t xml:space="preserve">.</w:t>
      </w:r>
    </w:p>
    <w:p>
      <w:pPr>
        <w:pStyle w:val="ListParagraph"/>
        <w:numPr>
          <w:ilvl w:val="0"/>
          <w:numId w:val="1"/>
        </w:numPr>
        <w:spacing w:after="70"/>
      </w:pPr>
      <w:r>
        <w:t xml:space="preserve">Environments: Early (original), Middle (iter3), and Late (iter5).</w:t>
      </w:r>
    </w:p>
    <w:p>
      <w:pPr>
        <w:pStyle w:val="ListParagraph"/>
        <w:numPr>
          <w:ilvl w:val="0"/>
          <w:numId w:val="1"/>
        </w:numPr>
        <w:spacing w:after="70"/>
      </w:pPr>
      <w:r>
        <w:t xml:space="preserve">Tasks: fixed 30-task subset, comprising 24 affected and six retention tasks.</w:t>
      </w:r>
    </w:p>
    <w:p>
      <w:pPr>
        <w:pStyle w:val="ListParagraph"/>
        <w:numPr>
          <w:ilvl w:val="0"/>
          <w:numId w:val="1"/>
        </w:numPr>
        <w:spacing w:after="70"/>
      </w:pPr>
      <w:r>
        <w:t xml:space="preserve">Coverage: tool-, parameter-, and description-level changes are represented.</w:t>
      </w:r>
    </w:p>
    <w:p>
      <w:pPr>
        <w:pStyle w:val="ListParagraph"/>
        <w:numPr>
          <w:ilvl w:val="0"/>
          <w:numId w:val="1"/>
        </w:numPr>
        <w:spacing w:after="70"/>
      </w:pPr>
      <w:r>
        <w:t xml:space="preserve">Agent and Judge: gpt-4o-mini, temperature 0.0.</w:t>
      </w:r>
    </w:p>
    <w:p>
      <w:pPr>
        <w:pStyle w:val="ListParagraph"/>
        <w:numPr>
          <w:ilvl w:val="0"/>
          <w:numId w:val="1"/>
        </w:numPr>
        <w:spacing w:after="70"/>
      </w:pPr>
      <w:r>
        <w:t xml:space="preserve">Repeats: three independent runs per strategy/version cell.</w:t>
      </w:r>
    </w:p>
    <w:p>
      <w:pPr>
        <w:pStyle w:val="ListParagraph"/>
        <w:numPr>
          <w:ilvl w:val="0"/>
          <w:numId w:val="1"/>
        </w:numPr>
        <w:spacing w:after="70"/>
      </w:pPr>
      <w:r>
        <w:t xml:space="preserve">Scoring: five successful Judge scores per task.</w:t>
      </w:r>
    </w:p>
    <w:p>
      <w:pPr>
        <w:pStyle w:val="ListParagraph"/>
        <w:numPr>
          <w:ilvl w:val="0"/>
          <w:numId w:val="1"/>
        </w:numPr>
        <w:spacing w:after="70"/>
      </w:pPr>
      <w:r>
        <w:t xml:space="preserve">Scale: 3 strategies x 3 versions x 3 runs = 27 cells; 810 trajectories.</w:t>
      </w:r>
    </w:p>
    <w:p>
      <w:pPr>
        <w:pStyle w:val="ListParagraph"/>
        <w:numPr>
          <w:ilvl w:val="0"/>
          <w:numId w:val="1"/>
        </w:numPr>
        <w:spacing w:after="70"/>
      </w:pPr>
      <w:r>
        <w:t xml:space="preserve">Fairness controls: identical tasks, model, inference parameters, Judge,</w:t>
      </w:r>
    </w:p>
    <w:p>
      <w:pPr>
        <w:spacing w:after="150" w:line="300"/>
        <w:jc w:val="both"/>
      </w:pPr>
      <w:r>
        <w:rPr>
          <w:color w:val="1F2933"/>
          <w:sz w:val="21"/>
          <w:szCs w:val="21"/>
        </w:rPr>
        <w:t xml:space="preserve">server mapping, benchmark commit, and task hashes across strategies.</w:t>
      </w:r>
    </w:p>
    <w:p>
      <w:pPr>
        <w:spacing w:after="150" w:line="300"/>
        <w:jc w:val="both"/>
      </w:pPr>
      <w:r>
        <w:rPr>
          <w:color w:val="1F2933"/>
          <w:sz w:val="21"/>
          <w:szCs w:val="21"/>
        </w:rPr>
        <w:t xml:space="preserve">The stock runner would retain only 23 of the 30 selected tasks. The project overrides that filter in memory without modifying the pinned upstream source, so all strategies use the same predeclared 30-task subset.</w:t>
      </w:r>
    </w:p>
    <w:p>
      <w:pPr>
        <w:pStyle w:val="Heading1"/>
        <w:pageBreakBefore/>
      </w:pPr>
      <w:r>
        <w:t xml:space="preserve">4. Metrics</w:t>
      </w:r>
    </w:p>
    <w:p>
      <w:pPr>
        <w:pStyle w:val="ListParagraph"/>
        <w:numPr>
          <w:ilvl w:val="0"/>
          <w:numId w:val="1"/>
        </w:numPr>
        <w:spacing w:after="70"/>
      </w:pPr>
      <w:r>
        <w:t xml:space="preserve">Task Fulfillment (TF): mean of five 1-10 completion scores.</w:t>
      </w:r>
    </w:p>
    <w:p>
      <w:pPr>
        <w:pStyle w:val="ListParagraph"/>
        <w:numPr>
          <w:ilvl w:val="0"/>
          <w:numId w:val="1"/>
        </w:numPr>
        <w:spacing w:after="70"/>
      </w:pPr>
      <w:r>
        <w:t xml:space="preserve">Planning Effectiveness (PE): mean of five 1-10 planning/efficiency</w:t>
      </w:r>
    </w:p>
    <w:p>
      <w:pPr>
        <w:spacing w:after="150" w:line="300"/>
        <w:jc w:val="both"/>
      </w:pPr>
      <w:r>
        <w:rPr>
          <w:color w:val="1F2933"/>
          <w:sz w:val="21"/>
          <w:szCs w:val="21"/>
        </w:rPr>
        <w:t xml:space="preserve">scores.</w:t>
      </w:r>
    </w:p>
    <w:p>
      <w:pPr>
        <w:pStyle w:val="ListParagraph"/>
        <w:numPr>
          <w:ilvl w:val="0"/>
          <w:numId w:val="1"/>
        </w:numPr>
        <w:spacing w:after="70"/>
      </w:pPr>
      <w:r>
        <w:t xml:space="preserve">Success: TF &gt;= 6.0.</w:t>
      </w:r>
    </w:p>
    <w:p>
      <w:pPr>
        <w:pStyle w:val="ListParagraph"/>
        <w:numPr>
          <w:ilvl w:val="0"/>
          <w:numId w:val="1"/>
        </w:numPr>
        <w:spacing w:after="70"/>
      </w:pPr>
      <w:r>
        <w:t xml:space="preserve">Evolutionary Competency Score (ECS): for each strategy/run/task,</w:t>
      </w:r>
    </w:p>
    <w:p>
      <w:pPr>
        <w:spacing w:after="150" w:line="300"/>
        <w:jc w:val="both"/>
      </w:pPr>
      <w:r>
        <w:rPr>
          <w:rFonts w:ascii="Consolas" w:cs="Consolas" w:eastAsia="Consolas" w:hAnsi="Consolas"/>
          <w:color w:val="1F2933"/>
          <w:sz w:val="21"/>
          <w:szCs w:val="21"/>
        </w:rPr>
        <w:t xml:space="preserve">mean(TF across versions) - population_sd(TF across versions)</w:t>
      </w:r>
      <w:r>
        <w:rPr>
          <w:color w:val="1F2933"/>
          <w:sz w:val="21"/>
          <w:szCs w:val="21"/>
        </w:rPr>
        <w:t xml:space="preserve">.</w:t>
      </w:r>
    </w:p>
    <w:p>
      <w:pPr>
        <w:pStyle w:val="ListParagraph"/>
        <w:numPr>
          <w:ilvl w:val="0"/>
          <w:numId w:val="1"/>
        </w:numPr>
        <w:spacing w:after="70"/>
      </w:pPr>
      <w:r>
        <w:t xml:space="preserve">Recovery rate: success rate on the 24 affected tasks.</w:t>
      </w:r>
    </w:p>
    <w:p>
      <w:pPr>
        <w:pStyle w:val="ListParagraph"/>
        <w:numPr>
          <w:ilvl w:val="0"/>
          <w:numId w:val="1"/>
        </w:numPr>
        <w:spacing w:after="70"/>
      </w:pPr>
      <w:r>
        <w:t xml:space="preserve">Retention rate: success rate on the six retention tasks.</w:t>
      </w:r>
    </w:p>
    <w:p>
      <w:pPr>
        <w:pStyle w:val="ListParagraph"/>
        <w:numPr>
          <w:ilvl w:val="0"/>
          <w:numId w:val="1"/>
        </w:numPr>
        <w:spacing w:after="70"/>
      </w:pPr>
      <w:r>
        <w:t xml:space="preserve">Update cost: local harness-generation work plus recorded benchmark and</w:t>
      </w:r>
    </w:p>
    <w:p>
      <w:pPr>
        <w:spacing w:after="150" w:line="300"/>
        <w:jc w:val="both"/>
      </w:pPr>
      <w:r>
        <w:rPr>
          <w:color w:val="1F2933"/>
          <w:sz w:val="21"/>
          <w:szCs w:val="21"/>
        </w:rPr>
        <w:t xml:space="preserve">Judge tokens, wall-clock time, and estimated API cost.</w:t>
      </w:r>
    </w:p>
    <w:p>
      <w:pPr>
        <w:pStyle w:val="Heading1"/>
        <w:pageBreakBefore/>
      </w:pPr>
      <w:r>
        <w:t xml:space="preserve">5. Main results</w:t>
      </w:r>
    </w:p>
    <w:p>
      <w:pPr>
        <w:pStyle w:val="Heading2"/>
      </w:pPr>
      <w:r>
        <w:t xml:space="preserve">5.1 Strategy-level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153A5B" w:val="clear"/>
            <w:tcMar>
              <w:top w:type="dxa" w:w="100"/>
              <w:left w:type="dxa" w:w="120"/>
              <w:bottom w:type="dxa" w:w="100"/>
              <w:right w:type="dxa" w:w="120"/>
            </w:tcMar>
          </w:tcPr>
          <w:p>
            <w:pPr>
              <w:spacing w:after="0"/>
            </w:pPr>
            <w:r>
              <w:rPr>
                <w:b/>
                <w:bCs/>
                <w:color w:val="FFFFFF"/>
                <w:sz w:val="18"/>
                <w:szCs w:val="18"/>
              </w:rPr>
              <w:t xml:space="preserve">Strategy</w:t>
            </w:r>
          </w:p>
        </w:tc>
        <w:tc>
          <w:tcPr>
            <w:tcW w:type="dxa" w:w="1872"/>
            <w:shd w:fill="153A5B" w:val="clear"/>
            <w:tcMar>
              <w:top w:type="dxa" w:w="100"/>
              <w:left w:type="dxa" w:w="120"/>
              <w:bottom w:type="dxa" w:w="100"/>
              <w:right w:type="dxa" w:w="120"/>
            </w:tcMar>
          </w:tcPr>
          <w:p>
            <w:pPr>
              <w:spacing w:after="0"/>
            </w:pPr>
            <w:r>
              <w:rPr>
                <w:b/>
                <w:bCs/>
                <w:color w:val="FFFFFF"/>
                <w:sz w:val="18"/>
                <w:szCs w:val="18"/>
              </w:rPr>
              <w:t xml:space="preserve">Mean TF ± SD</w:t>
            </w:r>
          </w:p>
        </w:tc>
        <w:tc>
          <w:tcPr>
            <w:tcW w:type="dxa" w:w="1872"/>
            <w:shd w:fill="153A5B" w:val="clear"/>
            <w:tcMar>
              <w:top w:type="dxa" w:w="100"/>
              <w:left w:type="dxa" w:w="120"/>
              <w:bottom w:type="dxa" w:w="100"/>
              <w:right w:type="dxa" w:w="120"/>
            </w:tcMar>
          </w:tcPr>
          <w:p>
            <w:pPr>
              <w:spacing w:after="0"/>
            </w:pPr>
            <w:r>
              <w:rPr>
                <w:b/>
                <w:bCs/>
                <w:color w:val="FFFFFF"/>
                <w:sz w:val="18"/>
                <w:szCs w:val="18"/>
              </w:rPr>
              <w:t xml:space="preserve">Mean PE ± SD</w:t>
            </w:r>
          </w:p>
        </w:tc>
        <w:tc>
          <w:tcPr>
            <w:tcW w:type="dxa" w:w="1872"/>
            <w:shd w:fill="153A5B" w:val="clear"/>
            <w:tcMar>
              <w:top w:type="dxa" w:w="100"/>
              <w:left w:type="dxa" w:w="120"/>
              <w:bottom w:type="dxa" w:w="100"/>
              <w:right w:type="dxa" w:w="120"/>
            </w:tcMar>
          </w:tcPr>
          <w:p>
            <w:pPr>
              <w:spacing w:after="0"/>
            </w:pPr>
            <w:r>
              <w:rPr>
                <w:b/>
                <w:bCs/>
                <w:color w:val="FFFFFF"/>
                <w:sz w:val="18"/>
                <w:szCs w:val="18"/>
              </w:rPr>
              <w:t xml:space="preserve">Success rate</w:t>
            </w:r>
          </w:p>
        </w:tc>
        <w:tc>
          <w:tcPr>
            <w:tcW w:type="dxa" w:w="1872"/>
            <w:shd w:fill="153A5B" w:val="clear"/>
            <w:tcMar>
              <w:top w:type="dxa" w:w="100"/>
              <w:left w:type="dxa" w:w="120"/>
              <w:bottom w:type="dxa" w:w="100"/>
              <w:right w:type="dxa" w:w="120"/>
            </w:tcMar>
          </w:tcPr>
          <w:p>
            <w:pPr>
              <w:spacing w:after="0"/>
            </w:pPr>
            <w:r>
              <w:rPr>
                <w:b/>
                <w:bCs/>
                <w:color w:val="FFFFFF"/>
                <w:sz w:val="18"/>
                <w:szCs w:val="18"/>
              </w:rPr>
              <w:t xml:space="preserve">Mean ECS</w:t>
            </w:r>
          </w:p>
        </w:tc>
      </w:tr>
      <w:tr>
        <w:tc>
          <w:tcPr>
            <w:tcW w:type="dxa" w:w="1872"/>
            <w:tcMar>
              <w:top w:type="dxa" w:w="100"/>
              <w:left w:type="dxa" w:w="120"/>
              <w:bottom w:type="dxa" w:w="100"/>
              <w:right w:type="dxa" w:w="120"/>
            </w:tcMar>
          </w:tcPr>
          <w:p>
            <w:pPr>
              <w:spacing w:after="0"/>
            </w:pPr>
            <w:r>
              <w:rPr>
                <w:b w:val="false"/>
                <w:bCs w:val="false"/>
                <w:color w:val="1F2933"/>
                <w:sz w:val="18"/>
                <w:szCs w:val="18"/>
              </w:rPr>
              <w:t xml:space="preserve">No Update</w:t>
            </w:r>
          </w:p>
        </w:tc>
        <w:tc>
          <w:tcPr>
            <w:tcW w:type="dxa" w:w="1872"/>
            <w:tcMar>
              <w:top w:type="dxa" w:w="100"/>
              <w:left w:type="dxa" w:w="120"/>
              <w:bottom w:type="dxa" w:w="100"/>
              <w:right w:type="dxa" w:w="120"/>
            </w:tcMar>
          </w:tcPr>
          <w:p>
            <w:pPr>
              <w:spacing w:after="0"/>
            </w:pPr>
            <w:r>
              <w:rPr>
                <w:b w:val="false"/>
                <w:bCs w:val="false"/>
                <w:color w:val="1F2933"/>
                <w:sz w:val="18"/>
                <w:szCs w:val="18"/>
              </w:rPr>
              <w:t xml:space="preserve">8.25 ± 2.88</w:t>
            </w:r>
          </w:p>
        </w:tc>
        <w:tc>
          <w:tcPr>
            <w:tcW w:type="dxa" w:w="1872"/>
            <w:tcMar>
              <w:top w:type="dxa" w:w="100"/>
              <w:left w:type="dxa" w:w="120"/>
              <w:bottom w:type="dxa" w:w="100"/>
              <w:right w:type="dxa" w:w="120"/>
            </w:tcMar>
          </w:tcPr>
          <w:p>
            <w:pPr>
              <w:spacing w:after="0"/>
            </w:pPr>
            <w:r>
              <w:rPr>
                <w:b w:val="false"/>
                <w:bCs w:val="false"/>
                <w:color w:val="1F2933"/>
                <w:sz w:val="18"/>
                <w:szCs w:val="18"/>
              </w:rPr>
              <w:t xml:space="preserve">7.82 ± 2.92</w:t>
            </w:r>
          </w:p>
        </w:tc>
        <w:tc>
          <w:tcPr>
            <w:tcW w:type="dxa" w:w="1872"/>
            <w:tcMar>
              <w:top w:type="dxa" w:w="100"/>
              <w:left w:type="dxa" w:w="120"/>
              <w:bottom w:type="dxa" w:w="100"/>
              <w:right w:type="dxa" w:w="120"/>
            </w:tcMar>
          </w:tcPr>
          <w:p>
            <w:pPr>
              <w:spacing w:after="0"/>
            </w:pPr>
            <w:r>
              <w:rPr>
                <w:b w:val="false"/>
                <w:bCs w:val="false"/>
                <w:color w:val="1F2933"/>
                <w:sz w:val="18"/>
                <w:szCs w:val="18"/>
              </w:rPr>
              <w:t xml:space="preserve">75.2%</w:t>
            </w:r>
          </w:p>
        </w:tc>
        <w:tc>
          <w:tcPr>
            <w:tcW w:type="dxa" w:w="1872"/>
            <w:tcMar>
              <w:top w:type="dxa" w:w="100"/>
              <w:left w:type="dxa" w:w="120"/>
              <w:bottom w:type="dxa" w:w="100"/>
              <w:right w:type="dxa" w:w="120"/>
            </w:tcMar>
          </w:tcPr>
          <w:p>
            <w:pPr>
              <w:spacing w:after="0"/>
            </w:pPr>
            <w:r>
              <w:rPr>
                <w:b w:val="false"/>
                <w:bCs w:val="false"/>
                <w:color w:val="1F2933"/>
                <w:sz w:val="18"/>
                <w:szCs w:val="18"/>
              </w:rPr>
              <w:t xml:space="preserve">7.98</w:t>
            </w:r>
          </w:p>
        </w:tc>
      </w:tr>
      <w:tr>
        <w:tc>
          <w:tcPr>
            <w:tcW w:type="dxa" w:w="1872"/>
            <w:tcMar>
              <w:top w:type="dxa" w:w="100"/>
              <w:left w:type="dxa" w:w="120"/>
              <w:bottom w:type="dxa" w:w="100"/>
              <w:right w:type="dxa" w:w="120"/>
            </w:tcMar>
          </w:tcPr>
          <w:p>
            <w:pPr>
              <w:spacing w:after="0"/>
            </w:pPr>
            <w:r>
              <w:rPr>
                <w:b w:val="false"/>
                <w:bCs w:val="false"/>
                <w:color w:val="1F2933"/>
                <w:sz w:val="18"/>
                <w:szCs w:val="18"/>
              </w:rPr>
              <w:t xml:space="preserve">Full Rewrite</w:t>
            </w:r>
          </w:p>
        </w:tc>
        <w:tc>
          <w:tcPr>
            <w:tcW w:type="dxa" w:w="1872"/>
            <w:tcMar>
              <w:top w:type="dxa" w:w="100"/>
              <w:left w:type="dxa" w:w="120"/>
              <w:bottom w:type="dxa" w:w="100"/>
              <w:right w:type="dxa" w:w="120"/>
            </w:tcMar>
          </w:tcPr>
          <w:p>
            <w:pPr>
              <w:spacing w:after="0"/>
            </w:pPr>
            <w:r>
              <w:rPr>
                <w:b w:val="false"/>
                <w:bCs w:val="false"/>
                <w:color w:val="1F2933"/>
                <w:sz w:val="18"/>
                <w:szCs w:val="18"/>
              </w:rPr>
              <w:t xml:space="preserve">8.75 ± 2.41</w:t>
            </w:r>
          </w:p>
        </w:tc>
        <w:tc>
          <w:tcPr>
            <w:tcW w:type="dxa" w:w="1872"/>
            <w:tcMar>
              <w:top w:type="dxa" w:w="100"/>
              <w:left w:type="dxa" w:w="120"/>
              <w:bottom w:type="dxa" w:w="100"/>
              <w:right w:type="dxa" w:w="120"/>
            </w:tcMar>
          </w:tcPr>
          <w:p>
            <w:pPr>
              <w:spacing w:after="0"/>
            </w:pPr>
            <w:r>
              <w:rPr>
                <w:b w:val="false"/>
                <w:bCs w:val="false"/>
                <w:color w:val="1F2933"/>
                <w:sz w:val="18"/>
                <w:szCs w:val="18"/>
              </w:rPr>
              <w:t xml:space="preserve">7.92 ± 2.81</w:t>
            </w:r>
          </w:p>
        </w:tc>
        <w:tc>
          <w:tcPr>
            <w:tcW w:type="dxa" w:w="1872"/>
            <w:tcMar>
              <w:top w:type="dxa" w:w="100"/>
              <w:left w:type="dxa" w:w="120"/>
              <w:bottom w:type="dxa" w:w="100"/>
              <w:right w:type="dxa" w:w="120"/>
            </w:tcMar>
          </w:tcPr>
          <w:p>
            <w:pPr>
              <w:spacing w:after="0"/>
            </w:pPr>
            <w:r>
              <w:rPr>
                <w:b w:val="false"/>
                <w:bCs w:val="false"/>
                <w:color w:val="1F2933"/>
                <w:sz w:val="18"/>
                <w:szCs w:val="18"/>
              </w:rPr>
              <w:t xml:space="preserve">81.5%</w:t>
            </w:r>
          </w:p>
        </w:tc>
        <w:tc>
          <w:tcPr>
            <w:tcW w:type="dxa" w:w="1872"/>
            <w:tcMar>
              <w:top w:type="dxa" w:w="100"/>
              <w:left w:type="dxa" w:w="120"/>
              <w:bottom w:type="dxa" w:w="100"/>
              <w:right w:type="dxa" w:w="120"/>
            </w:tcMar>
          </w:tcPr>
          <w:p>
            <w:pPr>
              <w:spacing w:after="0"/>
            </w:pPr>
            <w:r>
              <w:rPr>
                <w:b w:val="false"/>
                <w:bCs w:val="false"/>
                <w:color w:val="1F2933"/>
                <w:sz w:val="18"/>
                <w:szCs w:val="18"/>
              </w:rPr>
              <w:t xml:space="preserve">8.63</w:t>
            </w:r>
          </w:p>
        </w:tc>
      </w:tr>
      <w:tr>
        <w:tc>
          <w:tcPr>
            <w:tcW w:type="dxa" w:w="1872"/>
            <w:tcMar>
              <w:top w:type="dxa" w:w="100"/>
              <w:left w:type="dxa" w:w="120"/>
              <w:bottom w:type="dxa" w:w="100"/>
              <w:right w:type="dxa" w:w="120"/>
            </w:tcMar>
          </w:tcPr>
          <w:p>
            <w:pPr>
              <w:spacing w:after="0"/>
            </w:pPr>
            <w:r>
              <w:rPr>
                <w:b w:val="false"/>
                <w:bCs w:val="false"/>
                <w:color w:val="1F2933"/>
                <w:sz w:val="18"/>
                <w:szCs w:val="18"/>
              </w:rPr>
              <w:t xml:space="preserve">Selective Patch</w:t>
            </w:r>
          </w:p>
        </w:tc>
        <w:tc>
          <w:tcPr>
            <w:tcW w:type="dxa" w:w="1872"/>
            <w:tcMar>
              <w:top w:type="dxa" w:w="100"/>
              <w:left w:type="dxa" w:w="120"/>
              <w:bottom w:type="dxa" w:w="100"/>
              <w:right w:type="dxa" w:w="120"/>
            </w:tcMar>
          </w:tcPr>
          <w:p>
            <w:pPr>
              <w:spacing w:after="0"/>
            </w:pPr>
            <w:r>
              <w:rPr>
                <w:b w:val="false"/>
                <w:bCs w:val="false"/>
                <w:color w:val="1F2933"/>
                <w:sz w:val="18"/>
                <w:szCs w:val="18"/>
              </w:rPr>
              <w:t xml:space="preserve">8.21 ± 2.84</w:t>
            </w:r>
          </w:p>
        </w:tc>
        <w:tc>
          <w:tcPr>
            <w:tcW w:type="dxa" w:w="1872"/>
            <w:tcMar>
              <w:top w:type="dxa" w:w="100"/>
              <w:left w:type="dxa" w:w="120"/>
              <w:bottom w:type="dxa" w:w="100"/>
              <w:right w:type="dxa" w:w="120"/>
            </w:tcMar>
          </w:tcPr>
          <w:p>
            <w:pPr>
              <w:spacing w:after="0"/>
            </w:pPr>
            <w:r>
              <w:rPr>
                <w:b w:val="false"/>
                <w:bCs w:val="false"/>
                <w:color w:val="1F2933"/>
                <w:sz w:val="18"/>
                <w:szCs w:val="18"/>
              </w:rPr>
              <w:t xml:space="preserve">7.70 ± 2.95</w:t>
            </w:r>
          </w:p>
        </w:tc>
        <w:tc>
          <w:tcPr>
            <w:tcW w:type="dxa" w:w="1872"/>
            <w:tcMar>
              <w:top w:type="dxa" w:w="100"/>
              <w:left w:type="dxa" w:w="120"/>
              <w:bottom w:type="dxa" w:w="100"/>
              <w:right w:type="dxa" w:w="120"/>
            </w:tcMar>
          </w:tcPr>
          <w:p>
            <w:pPr>
              <w:spacing w:after="0"/>
            </w:pPr>
            <w:r>
              <w:rPr>
                <w:b w:val="false"/>
                <w:bCs w:val="false"/>
                <w:color w:val="1F2933"/>
                <w:sz w:val="18"/>
                <w:szCs w:val="18"/>
              </w:rPr>
              <w:t xml:space="preserve">75.2%</w:t>
            </w:r>
          </w:p>
        </w:tc>
        <w:tc>
          <w:tcPr>
            <w:tcW w:type="dxa" w:w="1872"/>
            <w:tcMar>
              <w:top w:type="dxa" w:w="100"/>
              <w:left w:type="dxa" w:w="120"/>
              <w:bottom w:type="dxa" w:w="100"/>
              <w:right w:type="dxa" w:w="120"/>
            </w:tcMar>
          </w:tcPr>
          <w:p>
            <w:pPr>
              <w:spacing w:after="0"/>
            </w:pPr>
            <w:r>
              <w:rPr>
                <w:b w:val="false"/>
                <w:bCs w:val="false"/>
                <w:color w:val="1F2933"/>
                <w:sz w:val="18"/>
                <w:szCs w:val="18"/>
              </w:rPr>
              <w:t xml:space="preserve">7.82</w:t>
            </w:r>
          </w:p>
        </w:tc>
      </w:tr>
    </w:tbl>
    <w:p>
      <w:pPr>
        <w:spacing w:after="80"/>
      </w:pPr>
    </w:p>
    <w:p>
      <w:pPr>
        <w:spacing w:after="150" w:line="300"/>
        <w:jc w:val="both"/>
      </w:pPr>
      <w:r>
        <w:rPr>
          <w:color w:val="1F2933"/>
          <w:sz w:val="21"/>
          <w:szCs w:val="21"/>
        </w:rPr>
        <w:t>Full Rewrite performed best under this specific protocol and fixed subset. Selective Patch has nearly the same overall success rate as No Update and a slightly lower mean TF.</w:t>
      </w:r>
    </w:p>
    <w:p>
      <w:pPr>
        <w:spacing w:after="150" w:line="300"/>
        <w:jc w:val="both"/>
      </w:pPr>
      <w:r>
        <w:t>The SD values in this table describe the pooled 270 task trajectories per strategy, rather than uncertainty across the three repeat means. Bootstrap intervals below resample individual paired task/run/version differences and do not account for repeated-task clustering; they are descriptive.</w:t>
      </w:r>
    </w:p>
    <w:p>
      <w:pPr>
        <w:pStyle w:val="Heading2"/>
      </w:pPr>
      <w:r>
        <w:t xml:space="preserve">5.2 Strategy-by-version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53A5B" w:val="clear"/>
            <w:tcMar>
              <w:top w:type="dxa" w:w="100"/>
              <w:left w:type="dxa" w:w="120"/>
              <w:bottom w:type="dxa" w:w="100"/>
              <w:right w:type="dxa" w:w="120"/>
            </w:tcMar>
          </w:tcPr>
          <w:p>
            <w:pPr>
              <w:spacing w:after="0"/>
            </w:pPr>
            <w:r>
              <w:rPr>
                <w:b/>
                <w:bCs/>
                <w:color w:val="FFFFFF"/>
                <w:sz w:val="18"/>
                <w:szCs w:val="18"/>
              </w:rPr>
              <w:t xml:space="preserve">Strategy</w:t>
            </w:r>
          </w:p>
        </w:tc>
        <w:tc>
          <w:tcPr>
            <w:tcW w:type="dxa" w:w="2340"/>
            <w:shd w:fill="153A5B" w:val="clear"/>
            <w:tcMar>
              <w:top w:type="dxa" w:w="100"/>
              <w:left w:type="dxa" w:w="120"/>
              <w:bottom w:type="dxa" w:w="100"/>
              <w:right w:type="dxa" w:w="120"/>
            </w:tcMar>
          </w:tcPr>
          <w:p>
            <w:pPr>
              <w:spacing w:after="0"/>
            </w:pPr>
            <w:r>
              <w:rPr>
                <w:b/>
                <w:bCs/>
                <w:color w:val="FFFFFF"/>
                <w:sz w:val="18"/>
                <w:szCs w:val="18"/>
              </w:rPr>
              <w:t xml:space="preserve">Early TF / PE</w:t>
            </w:r>
          </w:p>
        </w:tc>
        <w:tc>
          <w:tcPr>
            <w:tcW w:type="dxa" w:w="2340"/>
            <w:shd w:fill="153A5B" w:val="clear"/>
            <w:tcMar>
              <w:top w:type="dxa" w:w="100"/>
              <w:left w:type="dxa" w:w="120"/>
              <w:bottom w:type="dxa" w:w="100"/>
              <w:right w:type="dxa" w:w="120"/>
            </w:tcMar>
          </w:tcPr>
          <w:p>
            <w:pPr>
              <w:spacing w:after="0"/>
            </w:pPr>
            <w:r>
              <w:rPr>
                <w:b/>
                <w:bCs/>
                <w:color w:val="FFFFFF"/>
                <w:sz w:val="18"/>
                <w:szCs w:val="18"/>
              </w:rPr>
              <w:t xml:space="preserve">Middle TF / PE</w:t>
            </w:r>
          </w:p>
        </w:tc>
        <w:tc>
          <w:tcPr>
            <w:tcW w:type="dxa" w:w="2340"/>
            <w:shd w:fill="153A5B" w:val="clear"/>
            <w:tcMar>
              <w:top w:type="dxa" w:w="100"/>
              <w:left w:type="dxa" w:w="120"/>
              <w:bottom w:type="dxa" w:w="100"/>
              <w:right w:type="dxa" w:w="120"/>
            </w:tcMar>
          </w:tcPr>
          <w:p>
            <w:pPr>
              <w:spacing w:after="0"/>
            </w:pPr>
            <w:r>
              <w:rPr>
                <w:b/>
                <w:bCs/>
                <w:color w:val="FFFFFF"/>
                <w:sz w:val="18"/>
                <w:szCs w:val="18"/>
              </w:rPr>
              <w:t xml:space="preserve">Late TF / PE</w:t>
            </w:r>
          </w:p>
        </w:tc>
      </w:tr>
      <w:tr>
        <w:tc>
          <w:tcPr>
            <w:tcW w:type="dxa" w:w="2340"/>
            <w:tcMar>
              <w:top w:type="dxa" w:w="100"/>
              <w:left w:type="dxa" w:w="120"/>
              <w:bottom w:type="dxa" w:w="100"/>
              <w:right w:type="dxa" w:w="120"/>
            </w:tcMar>
          </w:tcPr>
          <w:p>
            <w:pPr>
              <w:spacing w:after="0"/>
            </w:pPr>
            <w:r>
              <w:rPr>
                <w:b w:val="false"/>
                <w:bCs w:val="false"/>
                <w:color w:val="1F2933"/>
                <w:sz w:val="18"/>
                <w:szCs w:val="18"/>
              </w:rPr>
              <w:t xml:space="preserve">No Update</w:t>
            </w:r>
          </w:p>
        </w:tc>
        <w:tc>
          <w:tcPr>
            <w:tcW w:type="dxa" w:w="2340"/>
            <w:tcMar>
              <w:top w:type="dxa" w:w="100"/>
              <w:left w:type="dxa" w:w="120"/>
              <w:bottom w:type="dxa" w:w="100"/>
              <w:right w:type="dxa" w:w="120"/>
            </w:tcMar>
          </w:tcPr>
          <w:p>
            <w:pPr>
              <w:spacing w:after="0"/>
            </w:pPr>
            <w:r>
              <w:rPr>
                <w:b w:val="false"/>
                <w:bCs w:val="false"/>
                <w:color w:val="1F2933"/>
                <w:sz w:val="18"/>
                <w:szCs w:val="18"/>
              </w:rPr>
              <w:t xml:space="preserve">8.22 / 8.10</w:t>
            </w:r>
          </w:p>
        </w:tc>
        <w:tc>
          <w:tcPr>
            <w:tcW w:type="dxa" w:w="2340"/>
            <w:tcMar>
              <w:top w:type="dxa" w:w="100"/>
              <w:left w:type="dxa" w:w="120"/>
              <w:bottom w:type="dxa" w:w="100"/>
              <w:right w:type="dxa" w:w="120"/>
            </w:tcMar>
          </w:tcPr>
          <w:p>
            <w:pPr>
              <w:spacing w:after="0"/>
            </w:pPr>
            <w:r>
              <w:rPr>
                <w:b w:val="false"/>
                <w:bCs w:val="false"/>
                <w:color w:val="1F2933"/>
                <w:sz w:val="18"/>
                <w:szCs w:val="18"/>
              </w:rPr>
              <w:t xml:space="preserve">8.24 / 7.62</w:t>
            </w:r>
          </w:p>
        </w:tc>
        <w:tc>
          <w:tcPr>
            <w:tcW w:type="dxa" w:w="2340"/>
            <w:tcMar>
              <w:top w:type="dxa" w:w="100"/>
              <w:left w:type="dxa" w:w="120"/>
              <w:bottom w:type="dxa" w:w="100"/>
              <w:right w:type="dxa" w:w="120"/>
            </w:tcMar>
          </w:tcPr>
          <w:p>
            <w:pPr>
              <w:spacing w:after="0"/>
            </w:pPr>
            <w:r>
              <w:rPr>
                <w:b w:val="false"/>
                <w:bCs w:val="false"/>
                <w:color w:val="1F2933"/>
                <w:sz w:val="18"/>
                <w:szCs w:val="18"/>
              </w:rPr>
              <w:t xml:space="preserve">8.28 / 7.76</w:t>
            </w:r>
          </w:p>
        </w:tc>
      </w:tr>
      <w:tr>
        <w:tc>
          <w:tcPr>
            <w:tcW w:type="dxa" w:w="2340"/>
            <w:tcMar>
              <w:top w:type="dxa" w:w="100"/>
              <w:left w:type="dxa" w:w="120"/>
              <w:bottom w:type="dxa" w:w="100"/>
              <w:right w:type="dxa" w:w="120"/>
            </w:tcMar>
          </w:tcPr>
          <w:p>
            <w:pPr>
              <w:spacing w:after="0"/>
            </w:pPr>
            <w:r>
              <w:rPr>
                <w:b w:val="false"/>
                <w:bCs w:val="false"/>
                <w:color w:val="1F2933"/>
                <w:sz w:val="18"/>
                <w:szCs w:val="18"/>
              </w:rPr>
              <w:t xml:space="preserve">Full Rewrite</w:t>
            </w:r>
          </w:p>
        </w:tc>
        <w:tc>
          <w:tcPr>
            <w:tcW w:type="dxa" w:w="2340"/>
            <w:tcMar>
              <w:top w:type="dxa" w:w="100"/>
              <w:left w:type="dxa" w:w="120"/>
              <w:bottom w:type="dxa" w:w="100"/>
              <w:right w:type="dxa" w:w="120"/>
            </w:tcMar>
          </w:tcPr>
          <w:p>
            <w:pPr>
              <w:spacing w:after="0"/>
            </w:pPr>
            <w:r>
              <w:rPr>
                <w:b w:val="false"/>
                <w:bCs w:val="false"/>
                <w:color w:val="1F2933"/>
                <w:sz w:val="18"/>
                <w:szCs w:val="18"/>
              </w:rPr>
              <w:t xml:space="preserve">8.74 / 7.88</w:t>
            </w:r>
          </w:p>
        </w:tc>
        <w:tc>
          <w:tcPr>
            <w:tcW w:type="dxa" w:w="2340"/>
            <w:tcMar>
              <w:top w:type="dxa" w:w="100"/>
              <w:left w:type="dxa" w:w="120"/>
              <w:bottom w:type="dxa" w:w="100"/>
              <w:right w:type="dxa" w:w="120"/>
            </w:tcMar>
          </w:tcPr>
          <w:p>
            <w:pPr>
              <w:spacing w:after="0"/>
            </w:pPr>
            <w:r>
              <w:rPr>
                <w:b w:val="false"/>
                <w:bCs w:val="false"/>
                <w:color w:val="1F2933"/>
                <w:sz w:val="18"/>
                <w:szCs w:val="18"/>
              </w:rPr>
              <w:t xml:space="preserve">8.79 / 7.96</w:t>
            </w:r>
          </w:p>
        </w:tc>
        <w:tc>
          <w:tcPr>
            <w:tcW w:type="dxa" w:w="2340"/>
            <w:tcMar>
              <w:top w:type="dxa" w:w="100"/>
              <w:left w:type="dxa" w:w="120"/>
              <w:bottom w:type="dxa" w:w="100"/>
              <w:right w:type="dxa" w:w="120"/>
            </w:tcMar>
          </w:tcPr>
          <w:p>
            <w:pPr>
              <w:spacing w:after="0"/>
            </w:pPr>
            <w:r>
              <w:rPr>
                <w:b w:val="false"/>
                <w:bCs w:val="false"/>
                <w:color w:val="1F2933"/>
                <w:sz w:val="18"/>
                <w:szCs w:val="18"/>
              </w:rPr>
              <w:t xml:space="preserve">8.73 / 7.91</w:t>
            </w:r>
          </w:p>
        </w:tc>
      </w:tr>
      <w:tr>
        <w:tc>
          <w:tcPr>
            <w:tcW w:type="dxa" w:w="2340"/>
            <w:tcMar>
              <w:top w:type="dxa" w:w="100"/>
              <w:left w:type="dxa" w:w="120"/>
              <w:bottom w:type="dxa" w:w="100"/>
              <w:right w:type="dxa" w:w="120"/>
            </w:tcMar>
          </w:tcPr>
          <w:p>
            <w:pPr>
              <w:spacing w:after="0"/>
            </w:pPr>
            <w:r>
              <w:rPr>
                <w:b w:val="false"/>
                <w:bCs w:val="false"/>
                <w:color w:val="1F2933"/>
                <w:sz w:val="18"/>
                <w:szCs w:val="18"/>
              </w:rPr>
              <w:t xml:space="preserve">Selective Patch</w:t>
            </w:r>
          </w:p>
        </w:tc>
        <w:tc>
          <w:tcPr>
            <w:tcW w:type="dxa" w:w="2340"/>
            <w:tcMar>
              <w:top w:type="dxa" w:w="100"/>
              <w:left w:type="dxa" w:w="120"/>
              <w:bottom w:type="dxa" w:w="100"/>
              <w:right w:type="dxa" w:w="120"/>
            </w:tcMar>
          </w:tcPr>
          <w:p>
            <w:pPr>
              <w:spacing w:after="0"/>
            </w:pPr>
            <w:r>
              <w:rPr>
                <w:b w:val="false"/>
                <w:bCs w:val="false"/>
                <w:color w:val="1F2933"/>
                <w:sz w:val="18"/>
                <w:szCs w:val="18"/>
              </w:rPr>
              <w:t xml:space="preserve">8.24 / 7.88</w:t>
            </w:r>
          </w:p>
        </w:tc>
        <w:tc>
          <w:tcPr>
            <w:tcW w:type="dxa" w:w="2340"/>
            <w:tcMar>
              <w:top w:type="dxa" w:w="100"/>
              <w:left w:type="dxa" w:w="120"/>
              <w:bottom w:type="dxa" w:w="100"/>
              <w:right w:type="dxa" w:w="120"/>
            </w:tcMar>
          </w:tcPr>
          <w:p>
            <w:pPr>
              <w:spacing w:after="0"/>
            </w:pPr>
            <w:r>
              <w:rPr>
                <w:b w:val="false"/>
                <w:bCs w:val="false"/>
                <w:color w:val="1F2933"/>
                <w:sz w:val="18"/>
                <w:szCs w:val="18"/>
              </w:rPr>
              <w:t xml:space="preserve">8.03 / 7.43</w:t>
            </w:r>
          </w:p>
        </w:tc>
        <w:tc>
          <w:tcPr>
            <w:tcW w:type="dxa" w:w="2340"/>
            <w:tcMar>
              <w:top w:type="dxa" w:w="100"/>
              <w:left w:type="dxa" w:w="120"/>
              <w:bottom w:type="dxa" w:w="100"/>
              <w:right w:type="dxa" w:w="120"/>
            </w:tcMar>
          </w:tcPr>
          <w:p>
            <w:pPr>
              <w:spacing w:after="0"/>
            </w:pPr>
            <w:r>
              <w:rPr>
                <w:b w:val="false"/>
                <w:bCs w:val="false"/>
                <w:color w:val="1F2933"/>
                <w:sz w:val="18"/>
                <w:szCs w:val="18"/>
              </w:rPr>
              <w:t xml:space="preserve">8.36 / 7.79</w:t>
            </w:r>
          </w:p>
        </w:tc>
      </w:tr>
    </w:tbl>
    <w:p>
      <w:pPr>
        <w:spacing w:after="80"/>
      </w:pPr>
    </w:p>
    <w:p>
      <w:pPr>
        <w:pStyle w:val="Heading2"/>
      </w:pPr>
      <w:r>
        <w:t xml:space="preserve">5.3 Recovery and retention</w:t>
      </w:r>
    </w:p>
    <w:p>
      <w:pPr>
        <w:spacing w:after="150" w:line="300"/>
        <w:jc w:val="both"/>
      </w:pPr>
      <w:r>
        <w:rPr>
          <w:color w:val="1F2933"/>
          <w:sz w:val="21"/>
          <w:szCs w:val="21"/>
        </w:rPr>
        <w:t xml:space="preserve">For affected tasks, the paired Selective Patch minus No Update TF difference is +0.10 with a 95% bootstrap interval of -0.14 to +0.35. The interval contains zero, so the experiment does not support a reliable Selective Patch advantage. Selective Patch minus Full Rewrite is -0.51 with an interval of -0.72 to -0.33, showing that Selective Patch is worse than Full Rewrite in this matrix.</w:t>
      </w:r>
    </w:p>
    <w:p>
      <w:pPr>
        <w:spacing w:after="150" w:line="300"/>
        <w:jc w:val="both"/>
      </w:pPr>
      <w:r>
        <w:t>Five of six retention tasks remain successful under every strategy. Four are perfect throughout. Task 161 has a nine-cell mean below six under all strategies, although some individual runs succeed; shared difficulty alone does not establish an environment cause or update damage. Task 260 remains successful but exposes a systematic Full Rewrite efficiency regression described below.</w:t>
      </w:r>
    </w:p>
    <w:p>
      <w:pPr>
        <w:pStyle w:val="Heading1"/>
        <w:pageBreakBefore/>
      </w:pPr>
      <w:r>
        <w:t xml:space="preserve">6. Failure analysis</w:t>
      </w:r>
    </w:p>
    <w:p>
      <w:pPr>
        <w:pStyle w:val="Heading2"/>
      </w:pPr>
      <w:r>
        <w:t>6.1 Candidate under-update: Task 2</w:t>
      </w:r>
    </w:p>
    <w:p>
      <w:pPr>
        <w:pStyle w:val="Heading2"/>
      </w:pPr>
      <w:r>
        <w:t>Task 2 uses pantheon-mcp/search_agents; its required servers are labelled affected in the subset manifest. The Selective Patch inventory does not include pantheon-mcp or mcp-shrimp-task-manager, even though the subset manifest marks them as affected. Selective Patch repeatedly sends comma-combined keywords and receives empty results. It fails in six of nine cells, similar to No Update. Full Rewrite sends individual keyword queries and scores TF 10.0 in all nine cells.</w:t>
      </w:r>
    </w:p>
    <w:p>
      <w:pPr>
        <w:pStyle w:val="Heading2"/>
      </w:pPr>
      <w:r>
        <w:t>Task 2 is a candidate under-update case, not a confirmed changed-contract failure. The exported search_agents description and input schema are identical in Early, Middle, and Late, and the original harness contains generic rules rather than an old keyword contract. The manifest marks whole servers as affected; it does not establish that this particular tool changed. Failures also occur in Early, where Selective Patch adds no updates. The trajectories establish a repeated query-planning difference, but proving under-update requires a verified before/after behavioral change or a controlled corrected patch comparison. That evidence is not available in this submission.</w:t>
      </w:r>
    </w:p>
    <w:p>
      <w:pPr>
        <w:pStyle w:val="Heading2"/>
      </w:pPr>
      <w:r>
        <w:t xml:space="preserve">6.2 Efficiency degradation: Task 260</w:t>
      </w:r>
    </w:p>
    <w:p>
      <w:pPr>
        <w:spacing w:after="150" w:line="300"/>
        <w:jc w:val="both"/>
      </w:pPr>
      <w:r>
        <w:rPr>
          <w:color w:val="1F2933"/>
          <w:sz w:val="21"/>
          <w:szCs w:val="21"/>
        </w:rPr>
        <w:t xml:space="preserve">Task 260 is a retention task requiring two time-zone conversions. No Update and Selective Patch both make exactly two </w:t>
      </w:r>
      <w:r>
        <w:rPr>
          <w:rFonts w:ascii="Consolas" w:cs="Consolas" w:eastAsia="Consolas" w:hAnsi="Consolas"/>
          <w:color w:val="1F2933"/>
          <w:sz w:val="21"/>
          <w:szCs w:val="21"/>
        </w:rPr>
        <w:t xml:space="preserve">convert_time</w:t>
      </w:r>
      <w:r>
        <w:rPr>
          <w:color w:val="1F2933"/>
          <w:sz w:val="21"/>
          <w:szCs w:val="21"/>
        </w:rPr>
        <w:t xml:space="preserve"> calls, never call </w:t>
      </w:r>
      <w:r>
        <w:rPr>
          <w:rFonts w:ascii="Consolas" w:cs="Consolas" w:eastAsia="Consolas" w:hAnsi="Consolas"/>
          <w:color w:val="1F2933"/>
          <w:sz w:val="21"/>
          <w:szCs w:val="21"/>
        </w:rPr>
        <w:t xml:space="preserve">request_user_input</w:t>
      </w:r>
      <w:r>
        <w:rPr>
          <w:color w:val="1F2933"/>
          <w:sz w:val="21"/>
          <w:szCs w:val="21"/>
        </w:rPr>
        <w:t xml:space="preserve">, and score TF/PE 10/10 in all nine cells.</w:t>
      </w:r>
    </w:p>
    <w:p>
      <w:pPr>
        <w:spacing w:after="150" w:line="300"/>
        <w:jc w:val="both"/>
      </w:pPr>
      <w:r>
        <w:rPr>
          <w:color w:val="1F2933"/>
          <w:sz w:val="21"/>
          <w:szCs w:val="21"/>
        </w:rPr>
        <w:t xml:space="preserve">Full Rewrite makes the same correct conversions but then calls </w:t>
      </w:r>
      <w:r>
        <w:rPr>
          <w:rFonts w:ascii="Consolas" w:cs="Consolas" w:eastAsia="Consolas" w:hAnsi="Consolas"/>
          <w:color w:val="1F2933"/>
          <w:sz w:val="21"/>
          <w:szCs w:val="21"/>
        </w:rPr>
        <w:t xml:space="preserve">request_user_input</w:t>
      </w:r>
      <w:r>
        <w:rPr>
          <w:color w:val="1F2933"/>
          <w:sz w:val="21"/>
          <w:szCs w:val="21"/>
        </w:rPr>
        <w:t xml:space="preserve"> in every cell, between 1 and 12 times. The aggressive confirmation-tool description becomes salient under the broad rewrite, causing repeated empty-input loops and qualified answers. In Late run 3, the paired score falls from No Update 10.0/10.0 to Full Rewrite 6.4/2.8 after eight redundant confirmation calls. Across all nine cells, Full Rewrite's mean TF is 8.67 instead of 10.0.</w:t>
      </w:r>
    </w:p>
    <w:p>
      <w:pPr>
        <w:spacing w:after="150" w:line="300"/>
        <w:jc w:val="both"/>
      </w:pPr>
      <w:r>
        <w:rPr>
          <w:color w:val="1F2933"/>
          <w:sz w:val="21"/>
          <w:szCs w:val="21"/>
        </w:rPr>
        <w:t xml:space="preserve">This is a repeated efficiency and answer-quality degradation, but it is not classified as over-update. All Full Rewrite Task 260 cells retain TF &gt;= 6, and the paired trajectories do not isolate one explicitly incorrect rewritten rule as the cause.</w:t>
      </w:r>
    </w:p>
    <w:p>
      <w:pPr>
        <w:pStyle w:val="Heading2"/>
      </w:pPr>
      <w:r>
        <w:t xml:space="preserve">6.3 Controlled over-update ablation: Task 235</w:t>
      </w:r>
    </w:p>
    <w:p>
      <w:pPr>
        <w:spacing w:after="150" w:line="300"/>
        <w:jc w:val="both"/>
      </w:pPr>
      <w:r>
        <w:rPr>
          <w:color w:val="1F2933"/>
          <w:sz w:val="21"/>
          <w:szCs w:val="21"/>
        </w:rPr>
        <w:t>No natural over-update case was observed in the formal matrix. A supplementary controlled ablation therefore applies an intentionally over-broad rewrite to retention Task 235 in the Middle environment. This ablation is stored outside the three formal strategy result trees and is excluded from every aggregate and confidence interval.</w:t>
      </w:r>
    </w:p>
    <w:p>
      <w:pPr>
        <w:spacing w:after="150" w:line="300"/>
        <w:jc w:val="both"/>
      </w:pPr>
      <w:r>
        <w:rPr>
          <w:color w:val="1F2933"/>
          <w:sz w:val="21"/>
          <w:szCs w:val="21"/>
        </w:rPr>
        <w:t xml:space="preserve">The evaluated Full Rewrite baseline—the harness from which the ablation was derived—completes Task 235 in one tool-call round containing three chart calls and emits the required </w:t>
      </w:r>
      <w:r>
        <w:rPr>
          <w:rFonts w:ascii="Consolas" w:cs="Consolas" w:eastAsia="Consolas" w:hAnsi="Consolas"/>
          <w:color w:val="1F2933"/>
          <w:sz w:val="21"/>
          <w:szCs w:val="21"/>
        </w:rPr>
        <w:t xml:space="preserve">[FINISH]</w:t>
      </w:r>
      <w:r>
        <w:rPr>
          <w:color w:val="1F2933"/>
          <w:sz w:val="21"/>
          <w:szCs w:val="21"/>
        </w:rPr>
        <w:t xml:space="preserve"> marker. Several deliberately incorrect tool-contract injections were ignored because the model treated the live tool list as authoritative. The effective ablation instead rewrites an unrelated output protocol: final answers must be JSON-only and must not contain </w:t>
      </w:r>
      <w:r>
        <w:rPr>
          <w:rFonts w:ascii="Consolas" w:cs="Consolas" w:eastAsia="Consolas" w:hAnsi="Consolas"/>
          <w:color w:val="1F2933"/>
          <w:sz w:val="21"/>
          <w:szCs w:val="21"/>
        </w:rPr>
        <w:t xml:space="preserve">[FINISH]</w:t>
      </w:r>
      <w:r>
        <w:rPr>
          <w:color w:val="1F2933"/>
          <w:sz w:val="21"/>
          <w:szCs w:val="21"/>
        </w:rPr>
        <w:t xml:space="preserve">. The agent obeys that rewrite, never terminates normally, repeats the three-call chart sequence for 11 rounds (33 calls), exhausts the step budget (</w:t>
      </w:r>
      <w:r>
        <w:rPr>
          <w:rFonts w:ascii="Consolas" w:cs="Consolas" w:eastAsia="Consolas" w:hAnsi="Consolas"/>
          <w:color w:val="1F2933"/>
          <w:sz w:val="21"/>
          <w:szCs w:val="21"/>
        </w:rPr>
        <w:t xml:space="preserve">exceeded=True</w:t>
      </w:r>
      <w:r>
        <w:rPr>
          <w:color w:val="1F2933"/>
          <w:sz w:val="21"/>
          <w:szCs w:val="21"/>
        </w:rPr>
        <w:t>), and returns an empty answer. This is the controlled over-update ablation result: unrelated rewritten knowledge breaks a previously successful retention task under the deliberately modified harness.</w:t>
      </w:r>
    </w:p>
    <w:p>
      <w:pPr>
        <w:spacing w:after="150" w:line="300"/>
        <w:jc w:val="both"/>
      </w:pPr>
      <w:r>
        <w:rPr>
          <w:color w:val="1F2933"/>
          <w:sz w:val="21"/>
          <w:szCs w:val="21"/>
        </w:rPr>
        <w:t xml:space="preserve">The tool-call-oriented Judge still assigns TF 10.0 because the individual chart calls succeed. The reported failure is therefore based on runner state, termination, and final-answer evidence, not on the Judge score. Complete evidence is preserved in </w:t>
      </w:r>
      <w:r>
        <w:rPr>
          <w:rFonts w:ascii="Consolas" w:cs="Consolas" w:eastAsia="Consolas" w:hAnsi="Consolas"/>
          <w:color w:val="1F2933"/>
          <w:sz w:val="21"/>
          <w:szCs w:val="21"/>
        </w:rPr>
        <w:t xml:space="preserve">reports/d/evidence/task235-baseline-fr.json</w:t>
      </w:r>
      <w:r>
        <w:rPr>
          <w:color w:val="1F2933"/>
          <w:sz w:val="21"/>
          <w:szCs w:val="21"/>
        </w:rPr>
        <w:t xml:space="preserve"> and </w:t>
      </w:r>
      <w:r>
        <w:rPr>
          <w:rFonts w:ascii="Consolas" w:cs="Consolas" w:eastAsia="Consolas" w:hAnsi="Consolas"/>
          <w:color w:val="1F2933"/>
          <w:sz w:val="21"/>
          <w:szCs w:val="21"/>
        </w:rPr>
        <w:t xml:space="preserve">reports/d/evidence/task235-over-update-ablation.json</w:t>
      </w:r>
      <w:r>
        <w:rPr>
          <w:color w:val="1F2933"/>
          <w:sz w:val="21"/>
          <w:szCs w:val="21"/>
        </w:rPr>
        <w:t xml:space="preserve">; frozen-file provenance is recorded in </w:t>
      </w:r>
      <w:r>
        <w:rPr>
          <w:rFonts w:ascii="Consolas" w:cs="Consolas" w:eastAsia="Consolas" w:hAnsi="Consolas"/>
          <w:color w:val="1F2933"/>
          <w:sz w:val="21"/>
          <w:szCs w:val="21"/>
        </w:rPr>
        <w:t xml:space="preserve">reports/d/ablation-provenance.md</w:t>
      </w:r>
      <w:r>
        <w:rPr>
          <w:color w:val="1F2933"/>
          <w:sz w:val="21"/>
          <w:szCs w:val="21"/>
        </w:rPr>
        <w:t xml:space="preserve">.</w:t>
      </w:r>
    </w:p>
    <w:p>
      <w:pPr>
        <w:pStyle w:val="Heading1"/>
        <w:pageBreakBefore/>
      </w:pPr>
      <w:r>
        <w:t xml:space="preserve">7. Cost</w:t>
      </w:r>
    </w:p>
    <w:p>
      <w:pPr>
        <w:spacing w:after="150" w:line="300"/>
        <w:jc w:val="both"/>
      </w:pPr>
      <w:r>
        <w:rPr>
          <w:color w:val="1F2933"/>
          <w:sz w:val="21"/>
          <w:szCs w:val="21"/>
        </w:rPr>
        <w:t xml:space="preserve">The matrix records approximately 33.74 million tokens: 13.37 million for the benchmark agent and 20.37 million for the Judge. At the pinned reference rates of $0.15 per million input tokens and $0.60 per million output tokens, the estimated total is $5.78 ($2.26 benchmark and $3.51 Judge). This is a token-based estimate, not a provider invoice.</w:t>
      </w:r>
    </w:p>
    <w:p>
      <w:pPr>
        <w:spacing w:after="150" w:line="300"/>
        <w:jc w:val="both"/>
      </w:pPr>
      <w:r>
        <w:rPr>
          <w:color w:val="1F2933"/>
          <w:sz w:val="21"/>
          <w:szCs w:val="21"/>
        </w:rPr>
        <w:t xml:space="preserve">Benchmark wall-clock time is approximately 5.3 hours. Recorded Judge time is at least 3.65 hours across 26 of 27 cells; one Judge cell lacks wall-clock metadata and is excluded rather than inferred. Selective Patch and Full Rewrite generation are local and record zero model-API tokens.</w:t>
      </w:r>
    </w:p>
    <w:p>
      <w:pPr>
        <w:spacing w:after="150" w:line="300"/>
        <w:jc w:val="both"/>
      </w:pPr>
      <w:r>
        <w:t>No Update performs no harness-generation operation. Full Rewrite uses a local manual template, and Selective Patch uses deterministic local schema diffing; both record zero generation API tokens and zero generation API charge. Selective Patch generation times are 0.0082 / 0.0086 / 0.0101 seconds for Early/Middle/Late. Full Rewrite has no measured generation-time comparison. These adaptation costs are separate from the benchmark and Judge token costs tabulated per strategy/version/run in reports/d/cost-analysis.csv.</w:t>
      </w:r>
    </w:p>
    <w:p>
      <w:pPr>
        <w:pStyle w:val="Heading1"/>
        <w:pageBreakBefore/>
      </w:pPr>
      <w:r>
        <w:t xml:space="preserve">8. Discussion</w:t>
      </w:r>
    </w:p>
    <w:p>
      <w:pPr>
        <w:spacing w:after="150" w:line="300"/>
        <w:jc w:val="both"/>
      </w:pPr>
      <w:r>
        <w:t>Selective Patch preserves retention well, but it does not outperform No Update in this matrix. Task 2 suggests a query-planning gap not corrected by the patch, while its attribution to a missed environment change remains unproven. Change coverage and semantic validation remain useful design priorities, rather than causes established by this experiment.</w:t>
      </w:r>
    </w:p>
    <w:p>
      <w:pPr>
        <w:spacing w:after="150" w:line="300"/>
        <w:jc w:val="both"/>
      </w:pPr>
      <w:r>
        <w:t>Full Rewrite performed best under this specific protocol and fixed subset and directs the model to live schemas. However, Task 260 shows that broad guidance can coexist with a systematic efficiency regression even when the task remains successful. Task 235 is a controlled over-update ablation: rewriting an unrelated output protocol can break termination despite correct tool calls. Recovery and retention therefore require both current contracts and strict scope control over what the adaptation is allowed to rewrite.</w:t>
      </w:r>
    </w:p>
    <w:p>
      <w:pPr>
        <w:spacing w:after="150" w:line="300"/>
        <w:jc w:val="both"/>
      </w:pPr>
      <w:r>
        <w:rPr>
          <w:color w:val="1F2933"/>
          <w:sz w:val="21"/>
          <w:szCs w:val="21"/>
        </w:rPr>
        <w:t xml:space="preserve">The most difficult changes are not necessarily syntactically large schema changes. Behavioral changes encoded in descriptions, query semantics, or usage guidance can be missed by structural diffing and may require semantic validation or trajectory-based tests.</w:t>
      </w:r>
    </w:p>
    <w:p>
      <w:pPr>
        <w:pStyle w:val="Heading1"/>
        <w:pageBreakBefore/>
      </w:pPr>
      <w:r>
        <w:t xml:space="preserve">9. Limitations</w:t>
      </w:r>
    </w:p>
    <w:p>
      <w:pPr>
        <w:pStyle w:val="ListParagraph"/>
        <w:numPr>
          <w:ilvl w:val="0"/>
          <w:numId w:val="2"/>
        </w:numPr>
        <w:spacing w:after="70"/>
      </w:pPr>
      <w:r>
        <w:t>The fixed 30-task subset is course-allowable but smaller than the full 201-task release.</w:t>
      </w:r>
    </w:p>
    <w:p>
      <w:pPr>
        <w:pStyle w:val="ListParagraph"/>
        <w:numPr>
          <w:ilvl w:val="0"/>
          <w:numId w:val="2"/>
        </w:numPr>
        <w:spacing w:after="70"/>
      </w:pPr>
      <w:r>
        <w:t>Three independent runs follow the course preference; paired differences and bootstrap intervals are more appropriate than broad significance claims.</w:t>
      </w:r>
    </w:p>
    <w:p>
      <w:pPr>
        <w:pStyle w:val="ListParagraph"/>
        <w:numPr>
          <w:ilvl w:val="0"/>
          <w:numId w:val="2"/>
        </w:numPr>
        <w:spacing w:after="70"/>
      </w:pPr>
      <w:r>
        <w:t>The agent and Judge use the same model family, which may introduce shared biases.</w:t>
      </w:r>
    </w:p>
    <w:p>
      <w:pPr>
        <w:pStyle w:val="ListParagraph"/>
        <w:numPr>
          <w:ilvl w:val="0"/>
          <w:numId w:val="2"/>
        </w:numPr>
        <w:spacing w:after="70"/>
      </w:pPr>
      <w:r>
        <w:t>All formal runs were executed in one WSL/Linux environment.</w:t>
      </w:r>
    </w:p>
    <w:p>
      <w:pPr>
        <w:pStyle w:val="ListParagraph"/>
        <w:numPr>
          <w:ilvl w:val="0"/>
          <w:numId w:val="2"/>
        </w:numPr>
        <w:spacing w:after="70"/>
      </w:pPr>
      <w:r>
        <w:t>Full Rewrite is version-invariant generic prose, not schema-generated version-specific knowledge.</w:t>
      </w:r>
    </w:p>
    <w:p>
      <w:pPr>
        <w:pStyle w:val="ListParagraph"/>
        <w:numPr>
          <w:ilvl w:val="0"/>
          <w:numId w:val="2"/>
        </w:numPr>
        <w:spacing w:after="70"/>
      </w:pPr>
      <w:r>
        <w:t>The over-update example is a supplementary controlled ablation, not a naturally occurring cell in the formal matrix, and its Judge score does not detect the termination failure.</w:t>
      </w:r>
    </w:p>
    <w:p>
      <w:pPr>
        <w:pStyle w:val="ListParagraph"/>
        <w:numPr>
          <w:ilvl w:val="0"/>
          <w:numId w:val="2"/>
        </w:numPr>
        <w:spacing w:after="70"/>
      </w:pPr>
      <w:r>
        <w:t>Only the final Task 235 ablation trajectory is preserved; earlier injected variants were overwritten and remain documented in work logs rather than as separate result directories.</w:t>
      </w:r>
    </w:p>
    <w:p>
      <w:pPr>
        <w:pStyle w:val="ListParagraph"/>
        <w:numPr>
          <w:ilvl w:val="0"/>
          <w:numId w:val="2"/>
        </w:numPr>
        <w:spacing w:after="70"/>
      </w:pPr>
      <w:r>
        <w:t>Task 2 is a candidate under-update case with paired trajectories, but no verified changed tool contract or corrected-patch comparison. The assignment's request for a demonstrated under-update cause is therefore not fully met.</w:t>
      </w:r>
    </w:p>
    <w:p>
      <w:pPr>
        <w:pStyle w:val="Heading1"/>
        <w:pageBreakBefore/>
      </w:pPr>
      <w:r>
        <w:t xml:space="preserve">10. Conclusion</w:t>
      </w:r>
    </w:p>
    <w:p>
      <w:pPr>
        <w:spacing w:after="150" w:line="300"/>
        <w:jc w:val="both"/>
      </w:pPr>
      <w:r>
        <w:t>Full Rewrite performed best under this specific protocol and fixed subset, providing the strongest observed recovery and cross-version stability. The current Selective Patch does not reliably improve over No Update; the mechanism behind its Task 2 deficit remains a candidate explanation. Full Rewrite also introduces a measurable retention efficiency regression on Task 260, while the controlled Task 235 ablation shows that an over-broad rewrite can break termination entirely. The central lesson is that selective adaptation needs high semantic coverage, while broad rewriting needs strict scope and output-protocol safeguards.</w:t>
      </w:r>
    </w:p>
    <w:p>
      <w:pPr>
        <w:pStyle w:val="Heading1"/>
        <w:pageBreakBefore/>
      </w:pPr>
      <w:r>
        <w:t xml:space="preserve">Appendix A. Assignment 4.2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53A5B" w:val="clear"/>
            <w:tcMar>
              <w:top w:type="dxa" w:w="100"/>
              <w:left w:type="dxa" w:w="120"/>
              <w:bottom w:type="dxa" w:w="100"/>
              <w:right w:type="dxa" w:w="120"/>
            </w:tcMar>
          </w:tcPr>
          <w:p>
            <w:pPr>
              <w:spacing w:after="0"/>
            </w:pPr>
            <w:r>
              <w:rPr>
                <w:b/>
                <w:bCs/>
                <w:color w:val="FFFFFF"/>
                <w:sz w:val="18"/>
                <w:szCs w:val="18"/>
              </w:rPr>
              <w:t xml:space="preserve">Minimum report requirement</w:t>
            </w:r>
          </w:p>
        </w:tc>
        <w:tc>
          <w:tcPr>
            <w:tcW w:type="dxa" w:w="3120"/>
            <w:shd w:fill="153A5B" w:val="clear"/>
            <w:tcMar>
              <w:top w:type="dxa" w:w="100"/>
              <w:left w:type="dxa" w:w="120"/>
              <w:bottom w:type="dxa" w:w="100"/>
              <w:right w:type="dxa" w:w="120"/>
            </w:tcMar>
          </w:tcPr>
          <w:p>
            <w:pPr>
              <w:spacing w:after="0"/>
            </w:pPr>
            <w:r>
              <w:rPr>
                <w:b/>
                <w:bCs/>
                <w:color w:val="FFFFFF"/>
                <w:sz w:val="18"/>
                <w:szCs w:val="18"/>
              </w:rPr>
              <w:t xml:space="preserve">Coverage in this report</w:t>
            </w:r>
          </w:p>
        </w:tc>
        <w:tc>
          <w:tcPr>
            <w:tcW w:type="dxa" w:w="3120"/>
            <w:shd w:fill="153A5B" w:val="clear"/>
            <w:tcMar>
              <w:top w:type="dxa" w:w="100"/>
              <w:left w:type="dxa" w:w="120"/>
              <w:bottom w:type="dxa" w:w="100"/>
              <w:right w:type="dxa" w:w="120"/>
            </w:tcMar>
          </w:tcPr>
          <w:p>
            <w:pPr>
              <w:spacing w:after="0"/>
            </w:pPr>
            <w:r>
              <w:rPr>
                <w:b/>
                <w:bCs/>
                <w:color w:val="FFFFFF"/>
                <w:sz w:val="18"/>
                <w:szCs w:val="18"/>
              </w:rPr>
              <w:t xml:space="preserve">Primary evidence</w:t>
            </w:r>
          </w:p>
        </w:tc>
      </w:tr>
      <w:tr>
        <w:tc>
          <w:tcPr>
            <w:tcW w:type="dxa" w:w="3120"/>
            <w:tcMar>
              <w:top w:type="dxa" w:w="100"/>
              <w:left w:type="dxa" w:w="120"/>
              <w:bottom w:type="dxa" w:w="100"/>
              <w:right w:type="dxa" w:w="120"/>
            </w:tcMar>
          </w:tcPr>
          <w:p>
            <w:pPr>
              <w:spacing w:after="0"/>
            </w:pPr>
            <w:r>
              <w:rPr>
                <w:b w:val="false"/>
                <w:bCs w:val="false"/>
                <w:color w:val="1F2933"/>
                <w:sz w:val="18"/>
                <w:szCs w:val="18"/>
              </w:rPr>
              <w:t xml:space="preserve">Main results: TF, PE, ECS for all three strategies</w:t>
            </w:r>
          </w:p>
        </w:tc>
        <w:tc>
          <w:tcPr>
            <w:tcW w:type="dxa" w:w="3120"/>
            <w:tcMar>
              <w:top w:type="dxa" w:w="100"/>
              <w:left w:type="dxa" w:w="120"/>
              <w:bottom w:type="dxa" w:w="100"/>
              <w:right w:type="dxa" w:w="120"/>
            </w:tcMar>
          </w:tcPr>
          <w:p>
            <w:pPr>
              <w:spacing w:after="0"/>
            </w:pPr>
            <w:r>
              <w:rPr>
                <w:b w:val="false"/>
                <w:bCs w:val="false"/>
                <w:color w:val="1F2933"/>
                <w:sz w:val="18"/>
                <w:szCs w:val="18"/>
              </w:rPr>
              <w:t xml:space="preserve">Sections 4 and 5</w:t>
            </w:r>
          </w:p>
        </w:tc>
        <w:tc>
          <w:tcPr>
            <w:tcW w:type="dxa" w:w="3120"/>
            <w:tcMar>
              <w:top w:type="dxa" w:w="100"/>
              <w:left w:type="dxa" w:w="120"/>
              <w:bottom w:type="dxa" w:w="100"/>
              <w:right w:type="dxa" w:w="120"/>
            </w:tcMar>
          </w:tcPr>
          <w:p>
            <w:pPr>
              <w:spacing w:after="0"/>
            </w:pPr>
            <w:r>
              <w:rPr>
                <w:b w:val="false"/>
                <w:bCs w:val="false"/>
                <w:color w:val="1F2933"/>
                <w:sz w:val="18"/>
                <w:szCs w:val="18"/>
              </w:rPr>
              <w:t xml:space="preserve">reports/d/final-comparison.csv</w:t>
            </w:r>
          </w:p>
        </w:tc>
      </w:tr>
      <w:tr>
        <w:tc>
          <w:tcPr>
            <w:tcW w:type="dxa" w:w="3120"/>
            <w:tcMar>
              <w:top w:type="dxa" w:w="100"/>
              <w:left w:type="dxa" w:w="120"/>
              <w:bottom w:type="dxa" w:w="100"/>
              <w:right w:type="dxa" w:w="120"/>
            </w:tcMar>
          </w:tcPr>
          <w:p>
            <w:pPr>
              <w:spacing w:after="0"/>
            </w:pPr>
            <w:r>
              <w:rPr>
                <w:b w:val="false"/>
                <w:bCs w:val="false"/>
                <w:color w:val="1F2933"/>
                <w:sz w:val="18"/>
                <w:szCs w:val="18"/>
              </w:rPr>
              <w:t xml:space="preserve">Recovery and retention</w:t>
            </w:r>
          </w:p>
        </w:tc>
        <w:tc>
          <w:tcPr>
            <w:tcW w:type="dxa" w:w="3120"/>
            <w:tcMar>
              <w:top w:type="dxa" w:w="100"/>
              <w:left w:type="dxa" w:w="120"/>
              <w:bottom w:type="dxa" w:w="100"/>
              <w:right w:type="dxa" w:w="120"/>
            </w:tcMar>
          </w:tcPr>
          <w:p>
            <w:pPr>
              <w:spacing w:after="0"/>
            </w:pPr>
            <w:r>
              <w:rPr>
                <w:b w:val="false"/>
                <w:bCs w:val="false"/>
                <w:color w:val="1F2933"/>
                <w:sz w:val="18"/>
                <w:szCs w:val="18"/>
              </w:rPr>
              <w:t xml:space="preserve">Section 5.3</w:t>
            </w:r>
          </w:p>
        </w:tc>
        <w:tc>
          <w:tcPr>
            <w:tcW w:type="dxa" w:w="3120"/>
            <w:tcMar>
              <w:top w:type="dxa" w:w="100"/>
              <w:left w:type="dxa" w:w="120"/>
              <w:bottom w:type="dxa" w:w="100"/>
              <w:right w:type="dxa" w:w="120"/>
            </w:tcMar>
          </w:tcPr>
          <w:p>
            <w:pPr>
              <w:spacing w:after="0"/>
            </w:pPr>
            <w:r>
              <w:rPr>
                <w:b w:val="false"/>
                <w:bCs w:val="false"/>
                <w:color w:val="1F2933"/>
                <w:sz w:val="18"/>
                <w:szCs w:val="18"/>
              </w:rPr>
              <w:t xml:space="preserve">reports/d/comparison-analysis.json</w:t>
            </w:r>
          </w:p>
        </w:tc>
      </w:tr>
      <w:tr>
        <w:tc>
          <w:tcPr>
            <w:tcW w:type="dxa" w:w="3120"/>
            <w:tcMar>
              <w:top w:type="dxa" w:w="100"/>
              <w:left w:type="dxa" w:w="120"/>
              <w:bottom w:type="dxa" w:w="100"/>
              <w:right w:type="dxa" w:w="120"/>
            </w:tcMar>
          </w:tcPr>
          <w:p>
            <w:pPr>
              <w:spacing w:after="0"/>
            </w:pPr>
            <w:r>
              <w:rPr>
                <w:b w:val="false"/>
                <w:bCs w:val="false"/>
                <w:color w:val="1F2933"/>
                <w:sz w:val="18"/>
                <w:szCs w:val="18"/>
              </w:rPr>
              <w:t xml:space="preserve">Update cost: tokens, time, API cost</w:t>
            </w:r>
          </w:p>
        </w:tc>
        <w:tc>
          <w:tcPr>
            <w:tcW w:type="dxa" w:w="3120"/>
            <w:tcMar>
              <w:top w:type="dxa" w:w="100"/>
              <w:left w:type="dxa" w:w="120"/>
              <w:bottom w:type="dxa" w:w="100"/>
              <w:right w:type="dxa" w:w="120"/>
            </w:tcMar>
          </w:tcPr>
          <w:p>
            <w:pPr>
              <w:spacing w:after="0"/>
            </w:pPr>
            <w:r>
              <w:rPr>
                <w:b w:val="false"/>
                <w:bCs w:val="false"/>
                <w:color w:val="1F2933"/>
                <w:sz w:val="18"/>
                <w:szCs w:val="18"/>
              </w:rPr>
              <w:t xml:space="preserve">Section 7</w:t>
            </w:r>
          </w:p>
        </w:tc>
        <w:tc>
          <w:tcPr>
            <w:tcW w:type="dxa" w:w="3120"/>
            <w:tcMar>
              <w:top w:type="dxa" w:w="100"/>
              <w:left w:type="dxa" w:w="120"/>
              <w:bottom w:type="dxa" w:w="100"/>
              <w:right w:type="dxa" w:w="120"/>
            </w:tcMar>
          </w:tcPr>
          <w:p>
            <w:pPr>
              <w:spacing w:after="0"/>
            </w:pPr>
            <w:r>
              <w:rPr>
                <w:b w:val="false"/>
                <w:bCs w:val="false"/>
                <w:color w:val="1F2933"/>
                <w:sz w:val="18"/>
                <w:szCs w:val="18"/>
              </w:rPr>
              <w:t xml:space="preserve">reports/d/cost-analysis.csv</w:t>
            </w:r>
          </w:p>
        </w:tc>
      </w:tr>
      <w:tr>
        <w:tc>
          <w:tcPr>
            <w:tcW w:type="dxa" w:w="3120"/>
            <w:tcMar>
              <w:top w:type="dxa" w:w="100"/>
              <w:left w:type="dxa" w:w="120"/>
              <w:bottom w:type="dxa" w:w="100"/>
              <w:right w:type="dxa" w:w="120"/>
            </w:tcMar>
          </w:tcPr>
          <w:p>
            <w:pPr>
              <w:spacing w:after="0"/>
            </w:pPr>
            <w:r>
              <w:rPr>
                <w:b w:val="false"/>
                <w:bCs w:val="false"/>
                <w:color w:val="1F2933"/>
                <w:sz w:val="18"/>
                <w:szCs w:val="18"/>
              </w:rPr>
              <w:t xml:space="preserve">Under-update failure and example trajectory</w:t>
            </w:r>
          </w:p>
        </w:tc>
        <w:tc>
          <w:tcPr>
            <w:tcW w:type="dxa" w:w="3120"/>
            <w:tcMar>
              <w:top w:type="dxa" w:w="100"/>
              <w:left w:type="dxa" w:w="120"/>
              <w:bottom w:type="dxa" w:w="100"/>
              <w:right w:type="dxa" w:w="120"/>
            </w:tcMar>
          </w:tcPr>
          <w:p>
            <w:pPr>
              <w:spacing w:after="0"/>
            </w:pPr>
            <w:r>
              <w:rPr>
                <w:b w:val="false"/>
                <w:bCs w:val="false"/>
                <w:color w:val="1F2933"/>
                <w:sz w:val="18"/>
                <w:szCs w:val="18"/>
              </w:rPr>
              <w:t xml:space="preserve">Section 6.1: candidate only; causal evidence incomplete</w:t>
            </w:r>
          </w:p>
        </w:tc>
        <w:tc>
          <w:tcPr>
            <w:tcW w:type="dxa" w:w="3120"/>
            <w:tcMar>
              <w:top w:type="dxa" w:w="100"/>
              <w:left w:type="dxa" w:w="120"/>
              <w:bottom w:type="dxa" w:w="100"/>
              <w:right w:type="dxa" w:w="120"/>
            </w:tcMar>
          </w:tcPr>
          <w:p>
            <w:pPr>
              <w:spacing w:after="0"/>
            </w:pPr>
            <w:r>
              <w:rPr>
                <w:b w:val="false"/>
                <w:bCs w:val="false"/>
                <w:color w:val="1F2933"/>
                <w:sz w:val="18"/>
                <w:szCs w:val="18"/>
              </w:rPr>
              <w:t xml:space="preserve">reports/d/evidence/task2-under-update-sp.json and paired Full Rewrite evidence</w:t>
            </w:r>
          </w:p>
        </w:tc>
      </w:tr>
      <w:tr>
        <w:tc>
          <w:tcPr>
            <w:tcW w:type="dxa" w:w="3120"/>
            <w:tcMar>
              <w:top w:type="dxa" w:w="100"/>
              <w:left w:type="dxa" w:w="120"/>
              <w:bottom w:type="dxa" w:w="100"/>
              <w:right w:type="dxa" w:w="120"/>
            </w:tcMar>
          </w:tcPr>
          <w:p>
            <w:pPr>
              <w:spacing w:after="0"/>
            </w:pPr>
            <w:r>
              <w:rPr>
                <w:b w:val="false"/>
                <w:bCs w:val="false"/>
                <w:color w:val="1F2933"/>
                <w:sz w:val="18"/>
                <w:szCs w:val="18"/>
              </w:rPr>
              <w:t xml:space="preserve">Over-update failure and example trajectory</w:t>
            </w:r>
          </w:p>
        </w:tc>
        <w:tc>
          <w:tcPr>
            <w:tcW w:type="dxa" w:w="3120"/>
            <w:tcMar>
              <w:top w:type="dxa" w:w="100"/>
              <w:left w:type="dxa" w:w="120"/>
              <w:bottom w:type="dxa" w:w="100"/>
              <w:right w:type="dxa" w:w="120"/>
            </w:tcMar>
          </w:tcPr>
          <w:p>
            <w:pPr>
              <w:spacing w:after="0"/>
            </w:pPr>
            <w:r>
              <w:rPr>
                <w:b w:val="false"/>
                <w:bCs w:val="false"/>
                <w:color w:val="1F2933"/>
                <w:sz w:val="18"/>
                <w:szCs w:val="18"/>
              </w:rPr>
              <w:t xml:space="preserve">Section 6.3; explicitly labelled supplementary and excluded from formal statistics</w:t>
            </w:r>
          </w:p>
        </w:tc>
        <w:tc>
          <w:tcPr>
            <w:tcW w:type="dxa" w:w="3120"/>
            <w:tcMar>
              <w:top w:type="dxa" w:w="100"/>
              <w:left w:type="dxa" w:w="120"/>
              <w:bottom w:type="dxa" w:w="100"/>
              <w:right w:type="dxa" w:w="120"/>
            </w:tcMar>
          </w:tcPr>
          <w:p>
            <w:pPr>
              <w:spacing w:after="0"/>
            </w:pPr>
            <w:r>
              <w:rPr>
                <w:b w:val="false"/>
                <w:bCs w:val="false"/>
                <w:color w:val="1F2933"/>
                <w:sz w:val="18"/>
                <w:szCs w:val="18"/>
              </w:rPr>
              <w:t xml:space="preserve">reports/d/evidence/task235-over-update-ablation.json and paired baseline evidence</w:t>
            </w:r>
          </w:p>
        </w:tc>
      </w:tr>
      <w:tr>
        <w:tc>
          <w:tcPr>
            <w:tcW w:type="dxa" w:w="3120"/>
            <w:tcMar>
              <w:top w:type="dxa" w:w="100"/>
              <w:left w:type="dxa" w:w="120"/>
              <w:bottom w:type="dxa" w:w="100"/>
              <w:right w:type="dxa" w:w="120"/>
            </w:tcMar>
          </w:tcPr>
          <w:p>
            <w:pPr>
              <w:spacing w:after="0"/>
            </w:pPr>
            <w:r>
              <w:rPr>
                <w:b w:val="false"/>
                <w:bCs w:val="false"/>
                <w:color w:val="1F2933"/>
                <w:sz w:val="18"/>
                <w:szCs w:val="18"/>
              </w:rPr>
              <w:t xml:space="preserve">Discussion of when patching helps, fails, and difficult changes</w:t>
            </w:r>
          </w:p>
        </w:tc>
        <w:tc>
          <w:tcPr>
            <w:tcW w:type="dxa" w:w="3120"/>
            <w:tcMar>
              <w:top w:type="dxa" w:w="100"/>
              <w:left w:type="dxa" w:w="120"/>
              <w:bottom w:type="dxa" w:w="100"/>
              <w:right w:type="dxa" w:w="120"/>
            </w:tcMar>
          </w:tcPr>
          <w:p>
            <w:pPr>
              <w:spacing w:after="0"/>
            </w:pPr>
            <w:r>
              <w:rPr>
                <w:b w:val="false"/>
                <w:bCs w:val="false"/>
                <w:color w:val="1F2933"/>
                <w:sz w:val="18"/>
                <w:szCs w:val="18"/>
              </w:rPr>
              <w:t xml:space="preserve">Section 8</w:t>
            </w:r>
          </w:p>
        </w:tc>
        <w:tc>
          <w:tcPr>
            <w:tcW w:type="dxa" w:w="3120"/>
            <w:tcMar>
              <w:top w:type="dxa" w:w="100"/>
              <w:left w:type="dxa" w:w="120"/>
              <w:bottom w:type="dxa" w:w="100"/>
              <w:right w:type="dxa" w:w="120"/>
            </w:tcMar>
          </w:tcPr>
          <w:p>
            <w:pPr>
              <w:spacing w:after="0"/>
            </w:pPr>
            <w:r>
              <w:rPr>
                <w:b w:val="false"/>
                <w:bCs w:val="false"/>
                <w:color w:val="1F2933"/>
                <w:sz w:val="18"/>
                <w:szCs w:val="18"/>
              </w:rPr>
              <w:t xml:space="preserve">Paired results, failure analysis, and limitations</w:t>
            </w:r>
          </w:p>
        </w:tc>
      </w:tr>
    </w:tbl>
    <w:p>
      <w:pPr>
        <w:spacing w:after="80"/>
      </w:pPr>
    </w:p>
    <w:p>
      <w:pPr>
        <w:pStyle w:val="Heading1"/>
        <w:pageBreakBefore/>
      </w:pPr>
      <w:r>
        <w:t xml:space="preserve">Reproduction and evidence</w:t>
      </w:r>
    </w:p>
    <w:p>
      <w:pPr>
        <w:pStyle w:val="ListParagraph"/>
        <w:numPr>
          <w:ilvl w:val="0"/>
          <w:numId w:val="1"/>
        </w:numPr>
        <w:spacing w:after="70"/>
      </w:pPr>
      <w:r>
        <w:t xml:space="preserve">Final audit: reports/d/final-experiment-audit.json</w:t>
      </w:r>
    </w:p>
    <w:p>
      <w:pPr>
        <w:pStyle w:val="ListParagraph"/>
        <w:numPr>
          <w:ilvl w:val="0"/>
          <w:numId w:val="1"/>
        </w:numPr>
        <w:spacing w:after="70"/>
      </w:pPr>
      <w:r>
        <w:t xml:space="preserve">Aggregate results: reports/d/final-comparison.csv and</w:t>
      </w:r>
    </w:p>
    <w:p>
      <w:pPr>
        <w:spacing w:after="150" w:line="300"/>
        <w:jc w:val="both"/>
      </w:pPr>
      <w:r>
        <w:rPr>
          <w:rFonts w:ascii="Consolas" w:cs="Consolas" w:eastAsia="Consolas" w:hAnsi="Consolas"/>
          <w:color w:val="1F2933"/>
          <w:sz w:val="21"/>
          <w:szCs w:val="21"/>
        </w:rPr>
        <w:t xml:space="preserve">reports/d/comparison-analysis.json</w:t>
      </w:r>
    </w:p>
    <w:p>
      <w:pPr>
        <w:pStyle w:val="ListParagraph"/>
        <w:numPr>
          <w:ilvl w:val="0"/>
          <w:numId w:val="1"/>
        </w:numPr>
        <w:spacing w:after="70"/>
      </w:pPr>
      <w:r>
        <w:t xml:space="preserve">Detailed scores: results/summary.csv and results/summary.json</w:t>
      </w:r>
    </w:p>
    <w:p>
      <w:pPr>
        <w:pStyle w:val="ListParagraph"/>
        <w:numPr>
          <w:ilvl w:val="0"/>
          <w:numId w:val="1"/>
        </w:numPr>
        <w:spacing w:after="70"/>
      </w:pPr>
      <w:r>
        <w:t xml:space="preserve">Failure evidence: reports/d/failure-analysis.md</w:t>
      </w:r>
    </w:p>
    <w:p>
      <w:pPr>
        <w:pStyle w:val="ListParagraph"/>
        <w:numPr>
          <w:ilvl w:val="0"/>
          <w:numId w:val="1"/>
        </w:numPr>
        <w:spacing w:after="70"/>
      </w:pPr>
      <w:r>
        <w:t xml:space="preserve">Cost analysis: reports/d/cost-analysis.csv</w:t>
      </w:r>
    </w:p>
    <w:p>
      <w:pPr>
        <w:pStyle w:val="ListParagraph"/>
        <w:numPr>
          <w:ilvl w:val="0"/>
          <w:numId w:val="1"/>
        </w:numPr>
        <w:spacing w:after="70"/>
      </w:pPr>
      <w:r>
        <w:t xml:space="preserve">Raw trajectories and Judge records: results/{strategy}/{version}/run-XX/</w:t>
      </w:r>
    </w:p>
    <w:p>
      <w:pPr>
        <w:pStyle w:val="ListParagraph"/>
        <w:numPr>
          <w:ilvl w:val="0"/>
          <w:numId w:val="1"/>
        </w:numPr>
        <w:spacing w:after="70"/>
      </w:pPr>
      <w:r>
        <w:t xml:space="preserve">Safe packaged submission: deliverables/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Final Report  |  </w:t>
    </w:r>
    <w:r>
      <w:rPr>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MCPEvol Harness Adaptation  ·  PE6203 Case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3"/>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jc w:val="center"/>
    </w:pPr>
    <w:rPr>
      <w:rFonts w:ascii="Aptos Display" w:cs="Aptos Display" w:eastAsia="Aptos Display" w:hAnsi="Aptos Display"/>
      <w:b/>
      <w:bCs/>
      <w:color w:val="153A5B"/>
      <w:sz w:val="52"/>
      <w:szCs w:val="52"/>
    </w:rPr>
  </w:style>
  <w:style w:type="paragraph" w:styleId="Heading1">
    <w:name w:val="Heading 1"/>
    <w:basedOn w:val="Normal"/>
    <w:next w:val="Normal"/>
    <w:qFormat/>
    <w:pPr>
      <w:pBdr>
        <w:bottom w:val="single" w:color="147D84" w:sz="10" w:space="6"/>
      </w:pBdr>
      <w:spacing w:after="150" w:before="220"/>
      <w:outlineLvl w:val="0"/>
    </w:pPr>
    <w:rPr>
      <w:rFonts w:ascii="Aptos Display" w:cs="Aptos Display" w:eastAsia="Aptos Display" w:hAnsi="Aptos Display"/>
      <w:b/>
      <w:bCs/>
      <w:color w:val="153A5B"/>
      <w:sz w:val="31"/>
      <w:szCs w:val="31"/>
    </w:rPr>
  </w:style>
  <w:style w:type="paragraph" w:styleId="Heading2">
    <w:name w:val="Heading 2"/>
    <w:basedOn w:val="Normal"/>
    <w:next w:val="Normal"/>
    <w:qFormat/>
    <w:pPr>
      <w:spacing w:after="100" w:before="180"/>
      <w:outlineLvl w:val="1"/>
    </w:pPr>
    <w:rPr>
      <w:rFonts w:ascii="Aptos Display" w:cs="Aptos Display" w:eastAsia="Aptos Display" w:hAnsi="Aptos Display"/>
      <w:b/>
      <w:bCs/>
      <w:color w:val="147D84"/>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 Harness Adaptation under Environment Change</dc:title>
  <dc:creator>PE6203 Case 4 Team</dc:creator>
  <dc:description>Final experiment report for PE6203 Case 4</dc:description>
  <cp:lastModifiedBy>Un-named</cp:lastModifiedBy>
  <cp:revision>1</cp:revision>
  <dcterms:created xsi:type="dcterms:W3CDTF">2026-10-15T23:44:42.640Z</dcterms:created>
  <dcterms:modified xsi:type="dcterms:W3CDTF">2026-10-15T23:44:42.641Z</dcterms:modified>
</cp:coreProperties>
</file>

<file path=docProps/custom.xml><?xml version="1.0" encoding="utf-8"?>
<Properties xmlns="http://schemas.openxmlformats.org/officeDocument/2006/custom-properties" xmlns:vt="http://schemas.openxmlformats.org/officeDocument/2006/docPropsVTypes"/>
</file>