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003366"/>
          <w:sz w:val="32"/>
        </w:rPr>
        <w:t>PERENCANAAN STRATEGIS SISTEM INFORMASI DENGAN METODE WARD &amp; PEPPARD UNTUK INTEGRASI MULTI-FACTOR AUTHENTICATION (MFA) PADA SINGLE SIGN-ON (SSO)</w:t>
      </w:r>
    </w:p>
    <w:p>
      <w:pPr>
        <w:spacing w:after="480"/>
        <w:jc w:val="center"/>
      </w:pPr>
      <w:r>
        <w:rPr>
          <w:rFonts w:ascii="Arial" w:hAnsi="Arial"/>
          <w:color w:val="666666"/>
          <w:sz w:val="26"/>
        </w:rPr>
        <w:t>Studi Kasus: UIN Syarif Hidayatullah Jakarta</w:t>
      </w:r>
    </w:p>
    <w:p>
      <w:pPr>
        <w:spacing w:after="720"/>
        <w:jc w:val="center"/>
      </w:pPr>
      <w:r>
        <w:rPr>
          <w:rFonts w:ascii="Arial" w:hAnsi="Arial"/>
          <w:color w:val="808080"/>
          <w:sz w:val="20"/>
        </w:rPr>
        <w:t>DOKUMEN RENCANA STRATEGIS FINAL (FINAL STRATEGIC PLAN)</w:t>
        <w:br/>
        <w:t>Fokus Analisis: SWOT &amp; PESTEL</w:t>
        <w:br/>
        <w:t>Tanggal Pengesahan: 21 September 2026</w:t>
        <w:br/>
        <w:t>Status: DIKUNCI / LOCKED (M0 - M14)</w:t>
      </w:r>
    </w:p>
    <w:p>
      <w:r>
        <w:br w:type="page"/>
      </w:r>
    </w:p>
    <w:p>
      <w:pPr>
        <w:keepNext/>
        <w:spacing w:before="360" w:after="160"/>
      </w:pPr>
      <w:r>
        <w:rPr>
          <w:rFonts w:ascii="Arial" w:hAnsi="Arial"/>
          <w:b/>
          <w:color w:val="003366"/>
          <w:sz w:val="28"/>
        </w:rPr>
        <w:t>RINGKASAN EKSEKUTIF</w:t>
      </w:r>
    </w:p>
    <w:p>
      <w:pPr>
        <w:spacing w:after="120" w:line="276" w:lineRule="auto"/>
      </w:pPr>
      <w:r>
        <w:rPr>
          <w:rFonts w:ascii="Arial" w:hAnsi="Arial"/>
          <w:sz w:val="21"/>
        </w:rPr>
        <w:t>Dokumen Rencana Strategis ini menyajikan perencanaan strategis Sistem Informasi/Teknologi Informasi (SI/TI) untuk transformasi sistem Single Sign-On (SSO e-Semesta) di UIN Syarif Hidayatullah Jakarta menuju penerapan Multi-Factor Authentication (MFA) yang aman, patuh regulasi, efisien, dan ramah pengguna.</w:t>
      </w:r>
    </w:p>
    <w:p>
      <w:pPr>
        <w:spacing w:after="120" w:line="276" w:lineRule="auto"/>
      </w:pPr>
      <w:r>
        <w:rPr>
          <w:rFonts w:ascii="Arial" w:hAnsi="Arial"/>
          <w:sz w:val="21"/>
        </w:rPr>
        <w:t>Studi ini mengadopsi metodologi Ward &amp; Peppard dengan fokus analisis lingkungan menggunakan analisis SWOT (Strengths, Weaknesses, Opportunities, Threats) dan analisis PESTEL (Political, Economic, Social, Technological, Environmental, Legal). Seluruh analisis didasarkan pada 19 sumber bukti terdaftar (S1 s/d S19), 12 bukti teknis tangkapan layar Keycloak Admin Console (T-01 s/d T-12), 3 dokumen operasional resmi (D-01 s/d D-03), dan 10 konfirmasi data pengguna (U-01 s/d U-10).</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bottom w:val="none"/>
              <w:right w:val="none"/>
              <w:left w:val="single" w:sz="24" w:space="0" w:color="003366"/>
            </w:tcBorders>
          </w:tcPr>
          <w:p>
            <w:pPr>
              <w:spacing w:before="40" w:after="80"/>
            </w:pPr>
            <w:r>
              <w:rPr>
                <w:rFonts w:ascii="Arial" w:hAnsi="Arial"/>
                <w:b/>
                <w:color w:val="003366"/>
                <w:sz w:val="21"/>
              </w:rPr>
              <w:t>📌 RANGKUMAN HASIL STRATEGIS</w:t>
              <w:br/>
            </w:r>
          </w:p>
          <w:p>
            <w:pPr>
              <w:spacing w:before="0" w:after="40"/>
            </w:pPr>
            <w:r>
              <w:rPr>
                <w:rFonts w:ascii="Arial" w:hAnsi="Arial"/>
                <w:color w:val="333333"/>
                <w:sz w:val="19"/>
              </w:rPr>
              <w:t>Sistem SSO e-Semesta (Keycloak realm SSOUIN) melayani 45.219+ pengguna (42.088 mahasiswa, 1.593 dosen, 1.438 tendik) dan 44 client/aplikasi terintegrasi.</w:t>
            </w:r>
          </w:p>
          <w:p>
            <w:pPr>
              <w:spacing w:before="0" w:after="40"/>
            </w:pPr>
            <w:r>
              <w:rPr>
                <w:rFonts w:ascii="Arial" w:hAnsi="Arial"/>
                <w:color w:val="333333"/>
                <w:sz w:val="19"/>
              </w:rPr>
              <w:t>Celah Keamanan Kritis: Kebijakan Kata Sandi (Password Policy) KOSONG (T-06), kata sandi default terprediksi berbasis NIK/NIM (U-06, U-07), MFA belum diwajibkan (T-04), dan Verify Email DISABLED (T-04).</w:t>
            </w:r>
          </w:p>
          <w:p>
            <w:pPr>
              <w:spacing w:before="0" w:after="40"/>
            </w:pPr>
            <w:r>
              <w:rPr>
                <w:rFonts w:ascii="Arial" w:hAnsi="Arial"/>
                <w:color w:val="333333"/>
                <w:sz w:val="19"/>
              </w:rPr>
              <w:t>Beban Operasional Helpdesk SMILE menangani 2.624 tiket manual terkait masalah login/reset kata sandi (D-02).</w:t>
            </w:r>
          </w:p>
          <w:p>
            <w:pPr>
              <w:spacing w:before="0" w:after="40"/>
            </w:pPr>
            <w:r>
              <w:rPr>
                <w:rFonts w:ascii="Arial" w:hAnsi="Arial"/>
                <w:color w:val="333333"/>
                <w:sz w:val="19"/>
              </w:rPr>
              <w:t>Rekomendasi Strategis: Penerapan TOTP Massal nirbiaya lisensi untuk 45rb pengguna, FIDO2/WebAuthn untuk admin, Password Policy Enforcer, dan Self-Service Recovery mandiri.</w:t>
            </w:r>
          </w:p>
          <w:p>
            <w:pPr>
              <w:spacing w:before="0" w:after="40"/>
            </w:pPr>
            <w:r>
              <w:rPr>
                <w:rFonts w:ascii="Arial" w:hAnsi="Arial"/>
                <w:color w:val="333333"/>
                <w:sz w:val="19"/>
              </w:rPr>
              <w:t>Target Hasil (KPI): Penurunan tiket helpdesk SMILE &gt;80% (menjadi &lt;500 tiket/tahun), adopsi TOTP massal &gt;85%, dan 100% kepatuhan UU PDP No. 27/2022.</w:t>
            </w:r>
          </w:p>
        </w:tc>
      </w:tr>
    </w:tbl>
    <w:p>
      <w:pPr>
        <w:spacing w:after="120"/>
      </w:pPr>
    </w:p>
    <w:p>
      <w:pPr>
        <w:keepNext/>
        <w:spacing w:before="360" w:after="160"/>
      </w:pPr>
      <w:r>
        <w:rPr>
          <w:rFonts w:ascii="Arial" w:hAnsi="Arial"/>
          <w:b/>
          <w:color w:val="003366"/>
          <w:sz w:val="28"/>
        </w:rPr>
        <w:t>BAB I: PENDAHULUAN &amp; ORGANIZATIONAL CONTEXT</w:t>
      </w:r>
    </w:p>
    <w:p>
      <w:pPr>
        <w:keepNext/>
        <w:spacing w:before="280" w:after="120"/>
      </w:pPr>
      <w:r>
        <w:rPr>
          <w:rFonts w:ascii="Arial" w:hAnsi="Arial"/>
          <w:b/>
          <w:color w:val="004D99"/>
          <w:sz w:val="24"/>
        </w:rPr>
        <w:t>1.1 Profil Institusi &amp; Konteks Layanan SSO</w:t>
      </w:r>
    </w:p>
    <w:p>
      <w:pPr>
        <w:spacing w:after="120" w:line="276" w:lineRule="auto"/>
      </w:pPr>
      <w:r>
        <w:rPr>
          <w:rFonts w:ascii="Arial" w:hAnsi="Arial"/>
          <w:sz w:val="21"/>
        </w:rPr>
        <w:t>UIN Syarif Hidayatullah Jakarta merupakan Perguruan Tinggi Keagamaan Islam Negeri (PTKIN) terkemuka yang menyelenggarakan layanan pendidikan tinggi bagi 45.219+ sivitas akademika. Untuk memfasilitasi akses digital terpadu, institusi mengoperasikan portal SSO e-Semesta berbasis platform Keycloak Identity Provider (realm SSOUIN).</w:t>
      </w:r>
    </w:p>
    <w:p>
      <w:pPr>
        <w:keepNext/>
        <w:spacing w:before="280" w:after="120"/>
      </w:pPr>
      <w:r>
        <w:rPr>
          <w:rFonts w:ascii="Arial" w:hAnsi="Arial"/>
          <w:b/>
          <w:color w:val="004D99"/>
          <w:sz w:val="24"/>
        </w:rPr>
        <w:t>1.2 Perumusan Masalah Utama</w:t>
      </w:r>
    </w:p>
    <w:p>
      <w:pPr>
        <w:spacing w:after="120" w:line="276" w:lineRule="auto"/>
      </w:pPr>
      <w:r>
        <w:rPr>
          <w:rFonts w:ascii="Arial" w:hAnsi="Arial"/>
          <w:sz w:val="21"/>
        </w:rPr>
        <w:t>Meskipun SSO e-Semesta telah mengintegrasikan 44 aplikasi institusi, sistem autentikasi saat ini masih sepenuhnya bergantung pada kata sandi faktor tunggal (single-factor password). Kondisi ini diperparah oleh penggunaan kata sandi default terprediksi berbasis NIK/NIM dan ketiadaan kebijakan kata sandi (Password Policy kosong). Hal ini menciptakan kerentanan tinggi terhadap serangan penyerobotan akun (credential guessing &amp; stuffing), phishing, dan ketidakpatuhan terhadap regulasi pelindungan data pribadi (UU PDP No. 27 Tahun 2022).</w:t>
      </w:r>
    </w:p>
    <w:p>
      <w:pPr>
        <w:keepNext/>
        <w:spacing w:before="280" w:after="120"/>
      </w:pPr>
      <w:r>
        <w:rPr>
          <w:rFonts w:ascii="Arial" w:hAnsi="Arial"/>
          <w:b/>
          <w:color w:val="004D99"/>
          <w:sz w:val="24"/>
        </w:rPr>
        <w:t>1.3 Pendekatan Metodologi Ward &amp; Peppard</w:t>
      </w:r>
    </w:p>
    <w:p>
      <w:pPr>
        <w:spacing w:after="120" w:line="276" w:lineRule="auto"/>
      </w:pPr>
      <w:r>
        <w:rPr>
          <w:rFonts w:ascii="Arial" w:hAnsi="Arial"/>
          <w:sz w:val="21"/>
        </w:rPr>
        <w:t>Perencanaan strategis ini mengeksekusi kerangka kerja Ward &amp; Peppard yang disesuaikan, berfokus pada analisis lingkungan bisnis internal/eksternal dan SI/TI internal/eksternal menggunakan analisis SWOT dan PESTEL. Sesuai arahan, analisis Value Chain, Porter Five Forces, McFarlan Strategic Grid, dan Critical Success Factors (CSF) dieliminasi untuk menjaga fokus studi.</w:t>
      </w:r>
    </w:p>
    <w:p>
      <w:pPr>
        <w:keepNext/>
        <w:spacing w:before="360" w:after="160"/>
      </w:pPr>
      <w:r>
        <w:rPr>
          <w:rFonts w:ascii="Arial" w:hAnsi="Arial"/>
          <w:b/>
          <w:color w:val="003366"/>
          <w:sz w:val="28"/>
        </w:rPr>
        <w:t>BAB II: KONDISI SAAT INI SSO (CURRENT STATE BASELINE)</w:t>
      </w:r>
    </w:p>
    <w:p>
      <w:pPr>
        <w:keepNext/>
        <w:spacing w:before="280" w:after="120"/>
      </w:pPr>
      <w:r>
        <w:rPr>
          <w:rFonts w:ascii="Arial" w:hAnsi="Arial"/>
          <w:b/>
          <w:color w:val="004D99"/>
          <w:sz w:val="24"/>
        </w:rPr>
        <w:t>2.1 Arsitektur SSO Eksisting</w:t>
      </w:r>
    </w:p>
    <w:p>
      <w:pPr>
        <w:spacing w:after="120" w:line="276" w:lineRule="auto"/>
      </w:pPr>
      <w:r>
        <w:rPr>
          <w:rFonts w:ascii="Arial" w:hAnsi="Arial"/>
          <w:sz w:val="21"/>
        </w:rPr>
        <w:t>Platform SSO menggunakan Keycloak (realm SSOUIN). Domain development berada pada dev-sso.uinjkt.ac.id, sedangkan lingkungan produksi berada pada app-sso.uinjkt.ac.id. Mekanisme federasi identitas menggunakan provider User Migration Using A REST Client (T-02):</w:t>
      </w:r>
    </w:p>
    <w:p>
      <w:pPr>
        <w:pStyle w:val="ListBullet"/>
        <w:spacing w:after="60" w:line="276" w:lineRule="auto"/>
      </w:pPr>
      <w:r>
        <w:rPr>
          <w:rFonts w:ascii="Arial" w:hAnsi="Arial"/>
          <w:b/>
          <w:sz w:val="21"/>
        </w:rPr>
        <w:t xml:space="preserve">Dosen &amp; Tendik: </w:t>
      </w:r>
      <w:r>
        <w:rPr>
          <w:rFonts w:ascii="Arial" w:hAnsi="Arial"/>
          <w:sz w:val="21"/>
        </w:rPr>
        <w:t>Dikelola oleh eSDM dengan status User Federation enabled dan menyinkronkan data secara real-time via client esdm-sync-service (T-11, U-10).</w:t>
      </w:r>
    </w:p>
    <w:p>
      <w:pPr>
        <w:pStyle w:val="ListBullet"/>
        <w:spacing w:after="60" w:line="276" w:lineRule="auto"/>
      </w:pPr>
      <w:r>
        <w:rPr>
          <w:rFonts w:ascii="Arial" w:hAnsi="Arial"/>
          <w:b/>
          <w:sz w:val="21"/>
        </w:rPr>
        <w:t xml:space="preserve">Mahasiswa: </w:t>
      </w:r>
      <w:r>
        <w:rPr>
          <w:rFonts w:ascii="Arial" w:hAnsi="Arial"/>
          <w:sz w:val="21"/>
        </w:rPr>
        <w:t>Seluruh akun mahasiswa di SSO produksi telah dimigrasi penuh ke database lokal Keycloak (U-09), sehingga entry User Federation eAkademik berada pada status disabled (T-02).</w:t>
      </w:r>
    </w:p>
    <w:p>
      <w:pPr>
        <w:keepNext/>
        <w:spacing w:before="280" w:after="120"/>
      </w:pPr>
      <w:r>
        <w:rPr>
          <w:rFonts w:ascii="Arial" w:hAnsi="Arial"/>
          <w:b/>
          <w:color w:val="004D99"/>
          <w:sz w:val="24"/>
        </w:rPr>
        <w:t>2.2 Inventaris Integrasi Aplikasi (44 Client Terdaftar)</w:t>
      </w:r>
    </w:p>
    <w:p>
      <w:pPr>
        <w:spacing w:after="120" w:line="276" w:lineRule="auto"/>
      </w:pPr>
      <w:r>
        <w:rPr>
          <w:rFonts w:ascii="Arial" w:hAnsi="Arial"/>
          <w:sz w:val="21"/>
        </w:rPr>
        <w:t>Hasil penelusuran 3 halaman Keycloak Admin Console (T-10, T-11, T-12) mengonfirmasi 44 client terdaftar yang mencakup ranah akademik (eAkademik, eRegistrasi, dev-lms, eRiset, eKKN, PLO), keuangan (eFinansi, ePembayaran, eAset, eBeasiswa), SDM (eSDM, eKinerja), dan akses jaringan kampus (Wi-Fi SSO MHS &amp; STAF).</w:t>
      </w:r>
    </w:p>
    <w:p>
      <w:pPr>
        <w:keepNext/>
        <w:spacing w:before="280" w:after="120"/>
      </w:pPr>
      <w:r>
        <w:rPr>
          <w:rFonts w:ascii="Arial" w:hAnsi="Arial"/>
          <w:b/>
          <w:color w:val="004D99"/>
          <w:sz w:val="24"/>
        </w:rPr>
        <w:t>2.3 Evaluasi Kontrol Keamanan Baseline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2592"/>
            <w:shd w:fill="003366"/>
            <w:tcMar>
              <w:top w:w="120" w:type="dxa"/>
              <w:bottom w:w="120" w:type="dxa"/>
              <w:left w:w="140" w:type="dxa"/>
              <w:right w:w="140" w:type="dxa"/>
            </w:tcMar>
          </w:tcPr>
          <w:p>
            <w:pPr>
              <w:jc w:val="left"/>
            </w:pPr>
            <w:r>
              <w:rPr>
                <w:rFonts w:ascii="Arial" w:hAnsi="Arial"/>
                <w:b/>
                <w:color w:val="FFFFFF"/>
                <w:sz w:val="19"/>
              </w:rPr>
              <w:t>Komponen Keamanan</w:t>
            </w:r>
          </w:p>
        </w:tc>
        <w:tc>
          <w:tcPr>
            <w:tcW w:type="dxa" w:w="4608"/>
            <w:shd w:fill="003366"/>
            <w:tcMar>
              <w:top w:w="120" w:type="dxa"/>
              <w:bottom w:w="120" w:type="dxa"/>
              <w:left w:w="140" w:type="dxa"/>
              <w:right w:w="140" w:type="dxa"/>
            </w:tcMar>
          </w:tcPr>
          <w:p>
            <w:pPr>
              <w:jc w:val="left"/>
            </w:pPr>
            <w:r>
              <w:rPr>
                <w:rFonts w:ascii="Arial" w:hAnsi="Arial"/>
                <w:b/>
                <w:color w:val="FFFFFF"/>
                <w:sz w:val="19"/>
              </w:rPr>
              <w:t>Kondisi Eksisting (As-Is)</w:t>
            </w:r>
          </w:p>
        </w:tc>
        <w:tc>
          <w:tcPr>
            <w:tcW w:type="dxa" w:w="2160"/>
            <w:shd w:fill="003366"/>
            <w:tcMar>
              <w:top w:w="120" w:type="dxa"/>
              <w:bottom w:w="120" w:type="dxa"/>
              <w:left w:w="140" w:type="dxa"/>
              <w:right w:w="140" w:type="dxa"/>
            </w:tcMar>
          </w:tcPr>
          <w:p>
            <w:pPr>
              <w:jc w:val="left"/>
            </w:pPr>
            <w:r>
              <w:rPr>
                <w:rFonts w:ascii="Arial" w:hAnsi="Arial"/>
                <w:b/>
                <w:color w:val="FFFFFF"/>
                <w:sz w:val="19"/>
              </w:rPr>
              <w:t>Kode Bukti</w:t>
            </w:r>
          </w:p>
        </w:tc>
      </w:tr>
      <w:tr>
        <w:tc>
          <w:tcPr>
            <w:tcW w:type="dxa" w:w="2592"/>
            <w:shd w:fill="FFFFFF"/>
            <w:tcMar>
              <w:top w:w="100" w:type="dxa"/>
              <w:bottom w:w="100" w:type="dxa"/>
              <w:left w:w="140" w:type="dxa"/>
              <w:right w:w="140" w:type="dxa"/>
            </w:tcMar>
          </w:tcPr>
          <w:p>
            <w:r>
              <w:rPr>
                <w:rFonts w:ascii="Arial" w:hAnsi="Arial"/>
                <w:color w:val="333333"/>
                <w:sz w:val="18"/>
              </w:rPr>
              <w:t>Password Policy</w:t>
            </w:r>
          </w:p>
        </w:tc>
        <w:tc>
          <w:tcPr>
            <w:tcW w:type="dxa" w:w="4608"/>
            <w:shd w:fill="FFFFFF"/>
            <w:tcMar>
              <w:top w:w="100" w:type="dxa"/>
              <w:bottom w:w="100" w:type="dxa"/>
              <w:left w:w="140" w:type="dxa"/>
              <w:right w:w="140" w:type="dxa"/>
            </w:tcMar>
          </w:tcPr>
          <w:p>
            <w:r>
              <w:rPr>
                <w:rFonts w:ascii="Arial" w:hAnsi="Arial"/>
                <w:color w:val="333333"/>
                <w:sz w:val="18"/>
              </w:rPr>
              <w:t>KOSONG — Tidak ada aturan panjang minimal, kompleksitas, atau lockout.</w:t>
            </w:r>
          </w:p>
        </w:tc>
        <w:tc>
          <w:tcPr>
            <w:tcW w:type="dxa" w:w="2160"/>
            <w:shd w:fill="FFFFFF"/>
            <w:tcMar>
              <w:top w:w="100" w:type="dxa"/>
              <w:bottom w:w="100" w:type="dxa"/>
              <w:left w:w="140" w:type="dxa"/>
              <w:right w:w="140" w:type="dxa"/>
            </w:tcMar>
          </w:tcPr>
          <w:p>
            <w:r>
              <w:rPr>
                <w:rFonts w:ascii="Arial" w:hAnsi="Arial"/>
                <w:color w:val="333333"/>
                <w:sz w:val="18"/>
              </w:rPr>
              <w:t>T-06</w:t>
            </w:r>
          </w:p>
        </w:tc>
      </w:tr>
      <w:tr>
        <w:tc>
          <w:tcPr>
            <w:tcW w:type="dxa" w:w="2592"/>
            <w:shd w:fill="F9FAFB"/>
            <w:tcMar>
              <w:top w:w="100" w:type="dxa"/>
              <w:bottom w:w="100" w:type="dxa"/>
              <w:left w:w="140" w:type="dxa"/>
              <w:right w:w="140" w:type="dxa"/>
            </w:tcMar>
          </w:tcPr>
          <w:p>
            <w:r>
              <w:rPr>
                <w:rFonts w:ascii="Arial" w:hAnsi="Arial"/>
                <w:color w:val="333333"/>
                <w:sz w:val="18"/>
              </w:rPr>
              <w:t>Kredensial Default</w:t>
            </w:r>
          </w:p>
        </w:tc>
        <w:tc>
          <w:tcPr>
            <w:tcW w:type="dxa" w:w="4608"/>
            <w:shd w:fill="F9FAFB"/>
            <w:tcMar>
              <w:top w:w="100" w:type="dxa"/>
              <w:bottom w:w="100" w:type="dxa"/>
              <w:left w:w="140" w:type="dxa"/>
              <w:right w:w="140" w:type="dxa"/>
            </w:tcMar>
          </w:tcPr>
          <w:p>
            <w:r>
              <w:rPr>
                <w:rFonts w:ascii="Arial" w:hAnsi="Arial"/>
                <w:color w:val="333333"/>
                <w:sz w:val="18"/>
              </w:rPr>
              <w:t>Mahasiswa: Mhs+NIK; Dosen/Tendik: NIK saja tanpa prefix (Terprediksi).</w:t>
            </w:r>
          </w:p>
        </w:tc>
        <w:tc>
          <w:tcPr>
            <w:tcW w:type="dxa" w:w="2160"/>
            <w:shd w:fill="F9FAFB"/>
            <w:tcMar>
              <w:top w:w="100" w:type="dxa"/>
              <w:bottom w:w="100" w:type="dxa"/>
              <w:left w:w="140" w:type="dxa"/>
              <w:right w:w="140" w:type="dxa"/>
            </w:tcMar>
          </w:tcPr>
          <w:p>
            <w:r>
              <w:rPr>
                <w:rFonts w:ascii="Arial" w:hAnsi="Arial"/>
                <w:color w:val="333333"/>
                <w:sz w:val="18"/>
              </w:rPr>
              <w:t>U-06, U-07</w:t>
            </w:r>
          </w:p>
        </w:tc>
      </w:tr>
      <w:tr>
        <w:tc>
          <w:tcPr>
            <w:tcW w:type="dxa" w:w="2592"/>
            <w:shd w:fill="FFFFFF"/>
            <w:tcMar>
              <w:top w:w="100" w:type="dxa"/>
              <w:bottom w:w="100" w:type="dxa"/>
              <w:left w:w="140" w:type="dxa"/>
              <w:right w:w="140" w:type="dxa"/>
            </w:tcMar>
          </w:tcPr>
          <w:p>
            <w:r>
              <w:rPr>
                <w:rFonts w:ascii="Arial" w:hAnsi="Arial"/>
                <w:color w:val="333333"/>
                <w:sz w:val="18"/>
              </w:rPr>
              <w:t>Required Actions</w:t>
            </w:r>
          </w:p>
        </w:tc>
        <w:tc>
          <w:tcPr>
            <w:tcW w:type="dxa" w:w="4608"/>
            <w:shd w:fill="FFFFFF"/>
            <w:tcMar>
              <w:top w:w="100" w:type="dxa"/>
              <w:bottom w:w="100" w:type="dxa"/>
              <w:left w:w="140" w:type="dxa"/>
              <w:right w:w="140" w:type="dxa"/>
            </w:tcMar>
          </w:tcPr>
          <w:p>
            <w:r>
              <w:rPr>
                <w:rFonts w:ascii="Arial" w:hAnsi="Arial"/>
                <w:color w:val="333333"/>
                <w:sz w:val="18"/>
              </w:rPr>
              <w:t>Update Password = Default &amp; Enabled; Configure OTP = Enabled (Non-default); Verify Email = DISABLED.</w:t>
            </w:r>
          </w:p>
        </w:tc>
        <w:tc>
          <w:tcPr>
            <w:tcW w:type="dxa" w:w="2160"/>
            <w:shd w:fill="FFFFFF"/>
            <w:tcMar>
              <w:top w:w="100" w:type="dxa"/>
              <w:bottom w:w="100" w:type="dxa"/>
              <w:left w:w="140" w:type="dxa"/>
              <w:right w:w="140" w:type="dxa"/>
            </w:tcMar>
          </w:tcPr>
          <w:p>
            <w:r>
              <w:rPr>
                <w:rFonts w:ascii="Arial" w:hAnsi="Arial"/>
                <w:color w:val="333333"/>
                <w:sz w:val="18"/>
              </w:rPr>
              <w:t>T-04</w:t>
            </w:r>
          </w:p>
        </w:tc>
      </w:tr>
      <w:tr>
        <w:tc>
          <w:tcPr>
            <w:tcW w:type="dxa" w:w="2592"/>
            <w:shd w:fill="F9FAFB"/>
            <w:tcMar>
              <w:top w:w="100" w:type="dxa"/>
              <w:bottom w:w="100" w:type="dxa"/>
              <w:left w:w="140" w:type="dxa"/>
              <w:right w:w="140" w:type="dxa"/>
            </w:tcMar>
          </w:tcPr>
          <w:p>
            <w:r>
              <w:rPr>
                <w:rFonts w:ascii="Arial" w:hAnsi="Arial"/>
                <w:color w:val="333333"/>
                <w:sz w:val="18"/>
              </w:rPr>
              <w:t>Logging &amp; Audit</w:t>
            </w:r>
          </w:p>
        </w:tc>
        <w:tc>
          <w:tcPr>
            <w:tcW w:type="dxa" w:w="4608"/>
            <w:shd w:fill="F9FAFB"/>
            <w:tcMar>
              <w:top w:w="100" w:type="dxa"/>
              <w:bottom w:w="100" w:type="dxa"/>
              <w:left w:w="140" w:type="dxa"/>
              <w:right w:w="140" w:type="dxa"/>
            </w:tcMar>
          </w:tcPr>
          <w:p>
            <w:r>
              <w:rPr>
                <w:rFonts w:ascii="Arial" w:hAnsi="Arial"/>
                <w:color w:val="333333"/>
                <w:sz w:val="18"/>
              </w:rPr>
              <w:t>Login Events &amp; Admin Events = ON; Expiration (retensi log) = KOSONG.</w:t>
            </w:r>
          </w:p>
        </w:tc>
        <w:tc>
          <w:tcPr>
            <w:tcW w:type="dxa" w:w="2160"/>
            <w:shd w:fill="F9FAFB"/>
            <w:tcMar>
              <w:top w:w="100" w:type="dxa"/>
              <w:bottom w:w="100" w:type="dxa"/>
              <w:left w:w="140" w:type="dxa"/>
              <w:right w:w="140" w:type="dxa"/>
            </w:tcMar>
          </w:tcPr>
          <w:p>
            <w:r>
              <w:rPr>
                <w:rFonts w:ascii="Arial" w:hAnsi="Arial"/>
                <w:color w:val="333333"/>
                <w:sz w:val="18"/>
              </w:rPr>
              <w:t>T-03, T-08</w:t>
            </w:r>
          </w:p>
        </w:tc>
      </w:tr>
    </w:tbl>
    <w:p>
      <w:pPr>
        <w:keepNext/>
        <w:spacing w:before="360" w:after="160"/>
      </w:pPr>
      <w:r>
        <w:rPr>
          <w:rFonts w:ascii="Arial" w:hAnsi="Arial"/>
          <w:b/>
          <w:color w:val="003366"/>
          <w:sz w:val="28"/>
        </w:rPr>
        <w:t>BAB III: ANALISIS LINGKUNGAN BISNIS INTERNAL</w:t>
      </w:r>
    </w:p>
    <w:p>
      <w:pPr>
        <w:keepNext/>
        <w:spacing w:before="280" w:after="120"/>
      </w:pPr>
      <w:r>
        <w:rPr>
          <w:rFonts w:ascii="Arial" w:hAnsi="Arial"/>
          <w:b/>
          <w:color w:val="004D99"/>
          <w:sz w:val="24"/>
        </w:rPr>
        <w:t>3.1 Pemetaan Layanan Bisnis Terdampak Autentikasi</w:t>
      </w:r>
    </w:p>
    <w:p>
      <w:pPr>
        <w:pStyle w:val="ListBullet"/>
        <w:spacing w:after="60" w:line="276" w:lineRule="auto"/>
      </w:pPr>
      <w:r>
        <w:rPr>
          <w:rFonts w:ascii="Arial" w:hAnsi="Arial"/>
          <w:b/>
          <w:sz w:val="21"/>
        </w:rPr>
        <w:t xml:space="preserve">Layanan Akademik &amp; Kemahasiswaan: </w:t>
      </w:r>
      <w:r>
        <w:rPr>
          <w:rFonts w:ascii="Arial" w:hAnsi="Arial"/>
          <w:sz w:val="21"/>
        </w:rPr>
        <w:t>Penerimaan mhs (eadmisi, eRegistrasi), perkuliahan (eAkademik, dev-lms), riset &amp; KKN (eRiset, eKKN, PLO), dan alumni (eAlumni).</w:t>
      </w:r>
    </w:p>
    <w:p>
      <w:pPr>
        <w:pStyle w:val="ListBullet"/>
        <w:spacing w:after="60" w:line="276" w:lineRule="auto"/>
      </w:pPr>
      <w:r>
        <w:rPr>
          <w:rFonts w:ascii="Arial" w:hAnsi="Arial"/>
          <w:b/>
          <w:sz w:val="21"/>
        </w:rPr>
        <w:t xml:space="preserve">Layanan Tata Kelola SDM: </w:t>
      </w:r>
      <w:r>
        <w:rPr>
          <w:rFonts w:ascii="Arial" w:hAnsi="Arial"/>
          <w:sz w:val="21"/>
        </w:rPr>
        <w:t>Pengelolaan pegawai/dosen (eSDM) dan penilaian kinerja (eKinerja). eSDM berwenang enable/disable akun SSO secara real-time.</w:t>
      </w:r>
    </w:p>
    <w:p>
      <w:pPr>
        <w:pStyle w:val="ListBullet"/>
        <w:spacing w:after="60" w:line="276" w:lineRule="auto"/>
      </w:pPr>
      <w:r>
        <w:rPr>
          <w:rFonts w:ascii="Arial" w:hAnsi="Arial"/>
          <w:b/>
          <w:sz w:val="21"/>
        </w:rPr>
        <w:t xml:space="preserve">Layanan Keuangan &amp; Aset: </w:t>
      </w:r>
      <w:r>
        <w:rPr>
          <w:rFonts w:ascii="Arial" w:hAnsi="Arial"/>
          <w:sz w:val="21"/>
        </w:rPr>
        <w:t>Pembayaran UKT/BOPTN (eFinansi, ePembayaran) dan pencatatan BMN (eAset).</w:t>
      </w:r>
    </w:p>
    <w:p>
      <w:pPr>
        <w:pStyle w:val="ListBullet"/>
        <w:spacing w:after="60" w:line="276" w:lineRule="auto"/>
      </w:pPr>
      <w:r>
        <w:rPr>
          <w:rFonts w:ascii="Arial" w:hAnsi="Arial"/>
          <w:b/>
          <w:sz w:val="21"/>
        </w:rPr>
        <w:t xml:space="preserve">Layanan Operasional Jaringan: </w:t>
      </w:r>
      <w:r>
        <w:rPr>
          <w:rFonts w:ascii="Arial" w:hAnsi="Arial"/>
          <w:sz w:val="21"/>
        </w:rPr>
        <w:t>Akses internet Wi-Fi SSO kampus dengan batas 3 perangkat simultan per akun (D-01, D-03).</w:t>
      </w:r>
    </w:p>
    <w:p>
      <w:pPr>
        <w:keepNext/>
        <w:spacing w:before="280" w:after="120"/>
      </w:pPr>
      <w:r>
        <w:rPr>
          <w:rFonts w:ascii="Arial" w:hAnsi="Arial"/>
          <w:b/>
          <w:color w:val="004D99"/>
          <w:sz w:val="24"/>
        </w:rPr>
        <w:t>3.2 Analisis Kebutuhan Pemangku Kepentingan (Stakeholder Needs)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2592"/>
            <w:shd w:fill="003366"/>
            <w:tcMar>
              <w:top w:w="120" w:type="dxa"/>
              <w:bottom w:w="120" w:type="dxa"/>
              <w:left w:w="140" w:type="dxa"/>
              <w:right w:w="140" w:type="dxa"/>
            </w:tcMar>
          </w:tcPr>
          <w:p>
            <w:pPr>
              <w:jc w:val="left"/>
            </w:pPr>
            <w:r>
              <w:rPr>
                <w:rFonts w:ascii="Arial" w:hAnsi="Arial"/>
                <w:b/>
                <w:color w:val="FFFFFF"/>
                <w:sz w:val="19"/>
              </w:rPr>
              <w:t>Pemangku Kepentingan</w:t>
            </w:r>
          </w:p>
        </w:tc>
        <w:tc>
          <w:tcPr>
            <w:tcW w:type="dxa" w:w="3888"/>
            <w:shd w:fill="003366"/>
            <w:tcMar>
              <w:top w:w="120" w:type="dxa"/>
              <w:bottom w:w="120" w:type="dxa"/>
              <w:left w:w="140" w:type="dxa"/>
              <w:right w:w="140" w:type="dxa"/>
            </w:tcMar>
          </w:tcPr>
          <w:p>
            <w:pPr>
              <w:jc w:val="left"/>
            </w:pPr>
            <w:r>
              <w:rPr>
                <w:rFonts w:ascii="Arial" w:hAnsi="Arial"/>
                <w:b/>
                <w:color w:val="FFFFFF"/>
                <w:sz w:val="19"/>
              </w:rPr>
              <w:t>Kebutuhan Utama (Needs)</w:t>
            </w:r>
          </w:p>
        </w:tc>
        <w:tc>
          <w:tcPr>
            <w:tcW w:type="dxa" w:w="2880"/>
            <w:shd w:fill="003366"/>
            <w:tcMar>
              <w:top w:w="120" w:type="dxa"/>
              <w:bottom w:w="120" w:type="dxa"/>
              <w:left w:w="140" w:type="dxa"/>
              <w:right w:w="140" w:type="dxa"/>
            </w:tcMar>
          </w:tcPr>
          <w:p>
            <w:pPr>
              <w:jc w:val="left"/>
            </w:pPr>
            <w:r>
              <w:rPr>
                <w:rFonts w:ascii="Arial" w:hAnsi="Arial"/>
                <w:b/>
                <w:color w:val="FFFFFF"/>
                <w:sz w:val="19"/>
              </w:rPr>
              <w:t>Tantangan / Pain Points</w:t>
            </w:r>
          </w:p>
        </w:tc>
      </w:tr>
      <w:tr>
        <w:tc>
          <w:tcPr>
            <w:tcW w:type="dxa" w:w="2592"/>
            <w:shd w:fill="FFFFFF"/>
            <w:tcMar>
              <w:top w:w="100" w:type="dxa"/>
              <w:bottom w:w="100" w:type="dxa"/>
              <w:left w:w="140" w:type="dxa"/>
              <w:right w:w="140" w:type="dxa"/>
            </w:tcMar>
          </w:tcPr>
          <w:p>
            <w:r>
              <w:rPr>
                <w:rFonts w:ascii="Arial" w:hAnsi="Arial"/>
                <w:color w:val="333333"/>
                <w:sz w:val="18"/>
              </w:rPr>
              <w:t>Mahasiswa (~42rb)</w:t>
            </w:r>
          </w:p>
        </w:tc>
        <w:tc>
          <w:tcPr>
            <w:tcW w:type="dxa" w:w="3888"/>
            <w:shd w:fill="FFFFFF"/>
            <w:tcMar>
              <w:top w:w="100" w:type="dxa"/>
              <w:bottom w:w="100" w:type="dxa"/>
              <w:left w:w="140" w:type="dxa"/>
              <w:right w:w="140" w:type="dxa"/>
            </w:tcMar>
          </w:tcPr>
          <w:p>
            <w:r>
              <w:rPr>
                <w:rFonts w:ascii="Arial" w:hAnsi="Arial"/>
                <w:color w:val="333333"/>
                <w:sz w:val="18"/>
              </w:rPr>
              <w:t>Akses cepat/stabil ke eAkademik &amp; Wi-Fi; pemulihan akun mandiri.</w:t>
            </w:r>
          </w:p>
        </w:tc>
        <w:tc>
          <w:tcPr>
            <w:tcW w:type="dxa" w:w="2880"/>
            <w:shd w:fill="FFFFFF"/>
            <w:tcMar>
              <w:top w:w="100" w:type="dxa"/>
              <w:bottom w:w="100" w:type="dxa"/>
              <w:left w:w="140" w:type="dxa"/>
              <w:right w:w="140" w:type="dxa"/>
            </w:tcMar>
          </w:tcPr>
          <w:p>
            <w:r>
              <w:rPr>
                <w:rFonts w:ascii="Arial" w:hAnsi="Arial"/>
                <w:color w:val="333333"/>
                <w:sz w:val="18"/>
              </w:rPr>
              <w:t>Password default berisiko; kebingungan saat lupa password.</w:t>
            </w:r>
          </w:p>
        </w:tc>
      </w:tr>
      <w:tr>
        <w:tc>
          <w:tcPr>
            <w:tcW w:type="dxa" w:w="2592"/>
            <w:shd w:fill="F9FAFB"/>
            <w:tcMar>
              <w:top w:w="100" w:type="dxa"/>
              <w:bottom w:w="100" w:type="dxa"/>
              <w:left w:w="140" w:type="dxa"/>
              <w:right w:w="140" w:type="dxa"/>
            </w:tcMar>
          </w:tcPr>
          <w:p>
            <w:r>
              <w:rPr>
                <w:rFonts w:ascii="Arial" w:hAnsi="Arial"/>
                <w:color w:val="333333"/>
                <w:sz w:val="18"/>
              </w:rPr>
              <w:t>Dosen &amp; Tendik (~3rb)</w:t>
            </w:r>
          </w:p>
        </w:tc>
        <w:tc>
          <w:tcPr>
            <w:tcW w:type="dxa" w:w="3888"/>
            <w:shd w:fill="F9FAFB"/>
            <w:tcMar>
              <w:top w:w="100" w:type="dxa"/>
              <w:bottom w:w="100" w:type="dxa"/>
              <w:left w:w="140" w:type="dxa"/>
              <w:right w:w="140" w:type="dxa"/>
            </w:tcMar>
          </w:tcPr>
          <w:p>
            <w:r>
              <w:rPr>
                <w:rFonts w:ascii="Arial" w:hAnsi="Arial"/>
                <w:color w:val="333333"/>
                <w:sz w:val="18"/>
              </w:rPr>
              <w:t>Kelancaran input nilai/materi &amp; akses aplikasi administratif (eSDM, eFinansi).</w:t>
            </w:r>
          </w:p>
        </w:tc>
        <w:tc>
          <w:tcPr>
            <w:tcW w:type="dxa" w:w="2880"/>
            <w:shd w:fill="F9FAFB"/>
            <w:tcMar>
              <w:top w:w="100" w:type="dxa"/>
              <w:bottom w:w="100" w:type="dxa"/>
              <w:left w:w="140" w:type="dxa"/>
              <w:right w:w="140" w:type="dxa"/>
            </w:tcMar>
          </w:tcPr>
          <w:p>
            <w:r>
              <w:rPr>
                <w:rFonts w:ascii="Arial" w:hAnsi="Arial"/>
                <w:color w:val="333333"/>
                <w:sz w:val="18"/>
              </w:rPr>
              <w:t>Password default (NIK) rawan ditebak; tidak ada MFA.</w:t>
            </w:r>
          </w:p>
        </w:tc>
      </w:tr>
      <w:tr>
        <w:tc>
          <w:tcPr>
            <w:tcW w:type="dxa" w:w="2592"/>
            <w:shd w:fill="FFFFFF"/>
            <w:tcMar>
              <w:top w:w="100" w:type="dxa"/>
              <w:bottom w:w="100" w:type="dxa"/>
              <w:left w:w="140" w:type="dxa"/>
              <w:right w:w="140" w:type="dxa"/>
            </w:tcMar>
          </w:tcPr>
          <w:p>
            <w:r>
              <w:rPr>
                <w:rFonts w:ascii="Arial" w:hAnsi="Arial"/>
                <w:color w:val="333333"/>
                <w:sz w:val="18"/>
              </w:rPr>
              <w:t>Tim Helpdesk PUSTIPANDA</w:t>
            </w:r>
          </w:p>
        </w:tc>
        <w:tc>
          <w:tcPr>
            <w:tcW w:type="dxa" w:w="3888"/>
            <w:shd w:fill="FFFFFF"/>
            <w:tcMar>
              <w:top w:w="100" w:type="dxa"/>
              <w:bottom w:w="100" w:type="dxa"/>
              <w:left w:w="140" w:type="dxa"/>
              <w:right w:w="140" w:type="dxa"/>
            </w:tcMar>
          </w:tcPr>
          <w:p>
            <w:r>
              <w:rPr>
                <w:rFonts w:ascii="Arial" w:hAnsi="Arial"/>
                <w:color w:val="333333"/>
                <w:sz w:val="18"/>
              </w:rPr>
              <w:t>Pengurangan tiket reset password manual &amp; prosedur verifikasi jelas.</w:t>
            </w:r>
          </w:p>
        </w:tc>
        <w:tc>
          <w:tcPr>
            <w:tcW w:type="dxa" w:w="2880"/>
            <w:shd w:fill="FFFFFF"/>
            <w:tcMar>
              <w:top w:w="100" w:type="dxa"/>
              <w:bottom w:w="100" w:type="dxa"/>
              <w:left w:w="140" w:type="dxa"/>
              <w:right w:w="140" w:type="dxa"/>
            </w:tcMar>
          </w:tcPr>
          <w:p>
            <w:r>
              <w:rPr>
                <w:rFonts w:ascii="Arial" w:hAnsi="Arial"/>
                <w:color w:val="333333"/>
                <w:sz w:val="18"/>
              </w:rPr>
              <w:t>Menangani 2.624 tiket manual via SMILE (D-02); Verify Email mati.</w:t>
            </w:r>
          </w:p>
        </w:tc>
      </w:tr>
      <w:tr>
        <w:tc>
          <w:tcPr>
            <w:tcW w:type="dxa" w:w="2592"/>
            <w:shd w:fill="F9FAFB"/>
            <w:tcMar>
              <w:top w:w="100" w:type="dxa"/>
              <w:bottom w:w="100" w:type="dxa"/>
              <w:left w:w="140" w:type="dxa"/>
              <w:right w:w="140" w:type="dxa"/>
            </w:tcMar>
          </w:tcPr>
          <w:p>
            <w:r>
              <w:rPr>
                <w:rFonts w:ascii="Arial" w:hAnsi="Arial"/>
                <w:color w:val="333333"/>
                <w:sz w:val="18"/>
              </w:rPr>
              <w:t>Pimpinan Universitas</w:t>
            </w:r>
          </w:p>
        </w:tc>
        <w:tc>
          <w:tcPr>
            <w:tcW w:type="dxa" w:w="3888"/>
            <w:shd w:fill="F9FAFB"/>
            <w:tcMar>
              <w:top w:w="100" w:type="dxa"/>
              <w:bottom w:w="100" w:type="dxa"/>
              <w:left w:w="140" w:type="dxa"/>
              <w:right w:w="140" w:type="dxa"/>
            </w:tcMar>
          </w:tcPr>
          <w:p>
            <w:r>
              <w:rPr>
                <w:rFonts w:ascii="Arial" w:hAnsi="Arial"/>
                <w:color w:val="333333"/>
                <w:sz w:val="18"/>
              </w:rPr>
              <w:t>Pelindungan reputasi UIN Jakarta, kepatuhan UU PDP, keberlanjutan e-Semesta.</w:t>
            </w:r>
          </w:p>
        </w:tc>
        <w:tc>
          <w:tcPr>
            <w:tcW w:type="dxa" w:w="2880"/>
            <w:shd w:fill="F9FAFB"/>
            <w:tcMar>
              <w:top w:w="100" w:type="dxa"/>
              <w:bottom w:w="100" w:type="dxa"/>
              <w:left w:w="140" w:type="dxa"/>
              <w:right w:w="140" w:type="dxa"/>
            </w:tcMar>
          </w:tcPr>
          <w:p>
            <w:r>
              <w:rPr>
                <w:rFonts w:ascii="Arial" w:hAnsi="Arial"/>
                <w:color w:val="333333"/>
                <w:sz w:val="18"/>
              </w:rPr>
              <w:t>Risiko kebocoran data akibat autentikasi faktor tunggal.</w:t>
            </w:r>
          </w:p>
        </w:tc>
      </w:tr>
    </w:tbl>
    <w:p>
      <w:pPr>
        <w:keepNext/>
        <w:spacing w:before="360" w:after="160"/>
      </w:pPr>
      <w:r>
        <w:rPr>
          <w:rFonts w:ascii="Arial" w:hAnsi="Arial"/>
          <w:b/>
          <w:color w:val="003366"/>
          <w:sz w:val="28"/>
        </w:rPr>
        <w:t>BAB IV: ANALISIS LINGKUNGAN BISNIS EKSTERNAL &amp; PESTEL</w:t>
      </w:r>
    </w:p>
    <w:p>
      <w:pPr>
        <w:keepNext/>
        <w:spacing w:before="280" w:after="120"/>
      </w:pPr>
      <w:r>
        <w:rPr>
          <w:rFonts w:ascii="Arial" w:hAnsi="Arial"/>
          <w:b/>
          <w:color w:val="004D99"/>
          <w:sz w:val="24"/>
        </w:rPr>
        <w:t>4.1 Kerangka Regulasi &amp; Kepatuhan Hukum</w:t>
      </w:r>
    </w:p>
    <w:p>
      <w:pPr>
        <w:spacing w:after="120" w:line="276" w:lineRule="auto"/>
      </w:pPr>
      <w:r>
        <w:rPr>
          <w:rFonts w:ascii="Arial" w:hAnsi="Arial"/>
          <w:sz w:val="21"/>
        </w:rPr>
        <w:t>Sebagai Pengendali Data Pribadi berdasarkan UU No. 27 Tahun 2022 tentang Pelindungan Data Pribadi (UU PDP), UIN Jakarta wajib melindungi data pribadi sivitas akademika dari akses tidak sah. Penggunaan kata sandi default NIK tanpa MFA merupakan risiko kepatuhan hukum serius. Selain itu, Perpres No. 95 Tahun 2018 tentang SPBE dan standar keamanan BSSN/ISO 27001 mewajibkan penerapan autentikasi kuat (strong authentication).</w:t>
      </w:r>
    </w:p>
    <w:p>
      <w:pPr>
        <w:keepNext/>
        <w:spacing w:before="280" w:after="120"/>
      </w:pPr>
      <w:r>
        <w:rPr>
          <w:rFonts w:ascii="Arial" w:hAnsi="Arial"/>
          <w:b/>
          <w:color w:val="004D99"/>
          <w:sz w:val="24"/>
        </w:rPr>
        <w:t>4.2 Analisis PESTEL (Sistem Autentikasi SSO UIN Jakarta)</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2592"/>
            <w:shd w:fill="003366"/>
            <w:tcMar>
              <w:top w:w="120" w:type="dxa"/>
              <w:bottom w:w="120" w:type="dxa"/>
              <w:left w:w="140" w:type="dxa"/>
              <w:right w:w="140" w:type="dxa"/>
            </w:tcMar>
          </w:tcPr>
          <w:p>
            <w:pPr>
              <w:jc w:val="left"/>
            </w:pPr>
            <w:r>
              <w:rPr>
                <w:rFonts w:ascii="Arial" w:hAnsi="Arial"/>
                <w:b/>
                <w:color w:val="FFFFFF"/>
                <w:sz w:val="19"/>
              </w:rPr>
              <w:t>Faktor PESTEL</w:t>
            </w:r>
          </w:p>
        </w:tc>
        <w:tc>
          <w:tcPr>
            <w:tcW w:type="dxa" w:w="6768"/>
            <w:shd w:fill="003366"/>
            <w:tcMar>
              <w:top w:w="120" w:type="dxa"/>
              <w:bottom w:w="120" w:type="dxa"/>
              <w:left w:w="140" w:type="dxa"/>
              <w:right w:w="140" w:type="dxa"/>
            </w:tcMar>
          </w:tcPr>
          <w:p>
            <w:pPr>
              <w:jc w:val="left"/>
            </w:pPr>
            <w:r>
              <w:rPr>
                <w:rFonts w:ascii="Arial" w:hAnsi="Arial"/>
                <w:b/>
                <w:color w:val="FFFFFF"/>
                <w:sz w:val="19"/>
              </w:rPr>
              <w:t>Analisis &amp; Implikasi pada SSO UIN Jakarta</w:t>
            </w:r>
          </w:p>
        </w:tc>
      </w:tr>
      <w:tr>
        <w:tc>
          <w:tcPr>
            <w:tcW w:type="dxa" w:w="2592"/>
            <w:shd w:fill="FFFFFF"/>
            <w:tcMar>
              <w:top w:w="100" w:type="dxa"/>
              <w:bottom w:w="100" w:type="dxa"/>
              <w:left w:w="140" w:type="dxa"/>
              <w:right w:w="140" w:type="dxa"/>
            </w:tcMar>
          </w:tcPr>
          <w:p>
            <w:r>
              <w:rPr>
                <w:rFonts w:ascii="Arial" w:hAnsi="Arial"/>
                <w:color w:val="333333"/>
                <w:sz w:val="18"/>
              </w:rPr>
              <w:t>Political (Politik)</w:t>
            </w:r>
          </w:p>
        </w:tc>
        <w:tc>
          <w:tcPr>
            <w:tcW w:type="dxa" w:w="6768"/>
            <w:shd w:fill="FFFFFF"/>
            <w:tcMar>
              <w:top w:w="100" w:type="dxa"/>
              <w:bottom w:w="100" w:type="dxa"/>
              <w:left w:w="140" w:type="dxa"/>
              <w:right w:w="140" w:type="dxa"/>
            </w:tcMar>
          </w:tcPr>
          <w:p>
            <w:r>
              <w:rPr>
                <w:rFonts w:ascii="Arial" w:hAnsi="Arial"/>
                <w:color w:val="333333"/>
                <w:sz w:val="18"/>
              </w:rPr>
              <w:t>Kebijakan SPBE nasional mendorong penguatan keamanan informasi terpadu di PTN.</w:t>
            </w:r>
          </w:p>
        </w:tc>
      </w:tr>
      <w:tr>
        <w:tc>
          <w:tcPr>
            <w:tcW w:type="dxa" w:w="2592"/>
            <w:shd w:fill="F9FAFB"/>
            <w:tcMar>
              <w:top w:w="100" w:type="dxa"/>
              <w:bottom w:w="100" w:type="dxa"/>
              <w:left w:w="140" w:type="dxa"/>
              <w:right w:w="140" w:type="dxa"/>
            </w:tcMar>
          </w:tcPr>
          <w:p>
            <w:r>
              <w:rPr>
                <w:rFonts w:ascii="Arial" w:hAnsi="Arial"/>
                <w:color w:val="333333"/>
                <w:sz w:val="18"/>
              </w:rPr>
              <w:t>Economic (Ekonomi)</w:t>
            </w:r>
          </w:p>
        </w:tc>
        <w:tc>
          <w:tcPr>
            <w:tcW w:type="dxa" w:w="6768"/>
            <w:shd w:fill="F9FAFB"/>
            <w:tcMar>
              <w:top w:w="100" w:type="dxa"/>
              <w:bottom w:w="100" w:type="dxa"/>
              <w:left w:w="140" w:type="dxa"/>
              <w:right w:w="140" w:type="dxa"/>
            </w:tcMar>
          </w:tcPr>
          <w:p>
            <w:r>
              <w:rPr>
                <w:rFonts w:ascii="Arial" w:hAnsi="Arial"/>
                <w:color w:val="333333"/>
                <w:sz w:val="18"/>
              </w:rPr>
              <w:t>Efisiensi anggaran dengan menekan beban operasional 2.624 tiket SMILE dan menghindari biaya lisensi OTP SMS/WA.</w:t>
            </w:r>
          </w:p>
        </w:tc>
      </w:tr>
      <w:tr>
        <w:tc>
          <w:tcPr>
            <w:tcW w:type="dxa" w:w="2592"/>
            <w:shd w:fill="FFFFFF"/>
            <w:tcMar>
              <w:top w:w="100" w:type="dxa"/>
              <w:bottom w:w="100" w:type="dxa"/>
              <w:left w:w="140" w:type="dxa"/>
              <w:right w:w="140" w:type="dxa"/>
            </w:tcMar>
          </w:tcPr>
          <w:p>
            <w:r>
              <w:rPr>
                <w:rFonts w:ascii="Arial" w:hAnsi="Arial"/>
                <w:color w:val="333333"/>
                <w:sz w:val="18"/>
              </w:rPr>
              <w:t>Social (Sosial)</w:t>
            </w:r>
          </w:p>
        </w:tc>
        <w:tc>
          <w:tcPr>
            <w:tcW w:type="dxa" w:w="6768"/>
            <w:shd w:fill="FFFFFF"/>
            <w:tcMar>
              <w:top w:w="100" w:type="dxa"/>
              <w:bottom w:w="100" w:type="dxa"/>
              <w:left w:w="140" w:type="dxa"/>
              <w:right w:w="140" w:type="dxa"/>
            </w:tcMar>
          </w:tcPr>
          <w:p>
            <w:r>
              <w:rPr>
                <w:rFonts w:ascii="Arial" w:hAnsi="Arial"/>
                <w:color w:val="333333"/>
                <w:sz w:val="18"/>
              </w:rPr>
              <w:t>Variasi literasi digital sivitas akademika menuntut solusi MFA yang ramah pengguna (user-friendly).</w:t>
            </w:r>
          </w:p>
        </w:tc>
      </w:tr>
      <w:tr>
        <w:tc>
          <w:tcPr>
            <w:tcW w:type="dxa" w:w="2592"/>
            <w:shd w:fill="F9FAFB"/>
            <w:tcMar>
              <w:top w:w="100" w:type="dxa"/>
              <w:bottom w:w="100" w:type="dxa"/>
              <w:left w:w="140" w:type="dxa"/>
              <w:right w:w="140" w:type="dxa"/>
            </w:tcMar>
          </w:tcPr>
          <w:p>
            <w:r>
              <w:rPr>
                <w:rFonts w:ascii="Arial" w:hAnsi="Arial"/>
                <w:color w:val="333333"/>
                <w:sz w:val="18"/>
              </w:rPr>
              <w:t>Technological (Teknologi)</w:t>
            </w:r>
          </w:p>
        </w:tc>
        <w:tc>
          <w:tcPr>
            <w:tcW w:type="dxa" w:w="6768"/>
            <w:shd w:fill="F9FAFB"/>
            <w:tcMar>
              <w:top w:w="100" w:type="dxa"/>
              <w:bottom w:w="100" w:type="dxa"/>
              <w:left w:w="140" w:type="dxa"/>
              <w:right w:w="140" w:type="dxa"/>
            </w:tcMar>
          </w:tcPr>
          <w:p>
            <w:r>
              <w:rPr>
                <w:rFonts w:ascii="Arial" w:hAnsi="Arial"/>
                <w:color w:val="333333"/>
                <w:sz w:val="18"/>
              </w:rPr>
              <w:t>Ketersediaan kapabilitas TOTP/WebAuthn bawaan Keycloak membuka peluang penerapan MFA nirbiaya lisensi.</w:t>
            </w:r>
          </w:p>
        </w:tc>
      </w:tr>
      <w:tr>
        <w:tc>
          <w:tcPr>
            <w:tcW w:type="dxa" w:w="2592"/>
            <w:shd w:fill="FFFFFF"/>
            <w:tcMar>
              <w:top w:w="100" w:type="dxa"/>
              <w:bottom w:w="100" w:type="dxa"/>
              <w:left w:w="140" w:type="dxa"/>
              <w:right w:w="140" w:type="dxa"/>
            </w:tcMar>
          </w:tcPr>
          <w:p>
            <w:r>
              <w:rPr>
                <w:rFonts w:ascii="Arial" w:hAnsi="Arial"/>
                <w:color w:val="333333"/>
                <w:sz w:val="18"/>
              </w:rPr>
              <w:t>Environmental (Lingkungan)</w:t>
            </w:r>
          </w:p>
        </w:tc>
        <w:tc>
          <w:tcPr>
            <w:tcW w:type="dxa" w:w="6768"/>
            <w:shd w:fill="FFFFFF"/>
            <w:tcMar>
              <w:top w:w="100" w:type="dxa"/>
              <w:bottom w:w="100" w:type="dxa"/>
              <w:left w:w="140" w:type="dxa"/>
              <w:right w:w="140" w:type="dxa"/>
            </w:tcMar>
          </w:tcPr>
          <w:p>
            <w:r>
              <w:rPr>
                <w:rFonts w:ascii="Arial" w:hAnsi="Arial"/>
                <w:color w:val="333333"/>
                <w:sz w:val="18"/>
              </w:rPr>
              <w:t>Digitalisasi tata kelola (PLO paperless) meningkatkan ketergantungan pada keandalan SSO.</w:t>
            </w:r>
          </w:p>
        </w:tc>
      </w:tr>
      <w:tr>
        <w:tc>
          <w:tcPr>
            <w:tcW w:type="dxa" w:w="2592"/>
            <w:shd w:fill="F9FAFB"/>
            <w:tcMar>
              <w:top w:w="100" w:type="dxa"/>
              <w:bottom w:w="100" w:type="dxa"/>
              <w:left w:w="140" w:type="dxa"/>
              <w:right w:w="140" w:type="dxa"/>
            </w:tcMar>
          </w:tcPr>
          <w:p>
            <w:r>
              <w:rPr>
                <w:rFonts w:ascii="Arial" w:hAnsi="Arial"/>
                <w:color w:val="333333"/>
                <w:sz w:val="18"/>
              </w:rPr>
              <w:t>Legal (Hukum)</w:t>
            </w:r>
          </w:p>
        </w:tc>
        <w:tc>
          <w:tcPr>
            <w:tcW w:type="dxa" w:w="6768"/>
            <w:shd w:fill="F9FAFB"/>
            <w:tcMar>
              <w:top w:w="100" w:type="dxa"/>
              <w:bottom w:w="100" w:type="dxa"/>
              <w:left w:w="140" w:type="dxa"/>
              <w:right w:w="140" w:type="dxa"/>
            </w:tcMar>
          </w:tcPr>
          <w:p>
            <w:r>
              <w:rPr>
                <w:rFonts w:ascii="Arial" w:hAnsi="Arial"/>
                <w:color w:val="333333"/>
                <w:sz w:val="18"/>
              </w:rPr>
              <w:t>Kepatuhan wajib pada UU PDP No. 27/2022 untuk menghindari sanksi administratif/hukum akibat kebocoran data.</w:t>
            </w:r>
          </w:p>
        </w:tc>
      </w:tr>
    </w:tbl>
    <w:p>
      <w:pPr>
        <w:keepNext/>
        <w:spacing w:before="360" w:after="160"/>
      </w:pPr>
      <w:r>
        <w:rPr>
          <w:rFonts w:ascii="Arial" w:hAnsi="Arial"/>
          <w:b/>
          <w:color w:val="003366"/>
          <w:sz w:val="28"/>
        </w:rPr>
        <w:t>BAB V &amp; VI: EVALUASI SI/TI INTERNAL &amp; EKSTERNAL</w:t>
      </w:r>
    </w:p>
    <w:p>
      <w:pPr>
        <w:keepNext/>
        <w:spacing w:before="280" w:after="120"/>
      </w:pPr>
      <w:r>
        <w:rPr>
          <w:rFonts w:ascii="Arial" w:hAnsi="Arial"/>
          <w:b/>
          <w:color w:val="004D99"/>
          <w:sz w:val="24"/>
        </w:rPr>
        <w:t>5.1 Evaluasi Platform &amp; Celah Teknis Keycloak (M5)</w:t>
      </w:r>
    </w:p>
    <w:p>
      <w:pPr>
        <w:spacing w:after="120" w:line="276" w:lineRule="auto"/>
      </w:pPr>
      <w:r>
        <w:rPr>
          <w:rFonts w:ascii="Arial" w:hAnsi="Arial"/>
          <w:sz w:val="21"/>
        </w:rPr>
        <w:t>Keycloak SSO (realm SSOUIN) berbasis Quarkus/JPA dan Infinispan terbukti kokoh dan telah mendukung modul TOTP serta WebAuthn SPI secara bawaan (T-01). Namun, celah teknis mendasar terletak pada konfigurasi keamanan: Password Policy kosong (T-06), Verify Email disabled (T-04), MFA belum diwajibkan (T-04), dan Expiration log retention kosong (T-08).</w:t>
      </w:r>
    </w:p>
    <w:p>
      <w:pPr>
        <w:keepNext/>
        <w:spacing w:before="280" w:after="120"/>
      </w:pPr>
      <w:r>
        <w:rPr>
          <w:rFonts w:ascii="Arial" w:hAnsi="Arial"/>
          <w:b/>
          <w:color w:val="004D99"/>
          <w:sz w:val="24"/>
        </w:rPr>
        <w:t>5.2 Evaluasi Rumpun Teknologi MFA (M6)</w:t>
      </w:r>
    </w:p>
    <w:p>
      <w:pPr>
        <w:spacing w:after="120" w:line="276" w:lineRule="auto"/>
      </w:pPr>
      <w:r>
        <w:rPr>
          <w:rFonts w:ascii="Arial" w:hAnsi="Arial"/>
          <w:sz w:val="21"/>
        </w:rPr>
        <w:t>Evaluasi netral terhadap 5 rumpun teknologi MFA menyimpulkan:</w:t>
      </w:r>
    </w:p>
    <w:p>
      <w:pPr>
        <w:pStyle w:val="ListBullet"/>
        <w:spacing w:after="60" w:line="276" w:lineRule="auto"/>
      </w:pPr>
      <w:r>
        <w:rPr>
          <w:rFonts w:ascii="Arial" w:hAnsi="Arial"/>
          <w:b/>
          <w:sz w:val="21"/>
        </w:rPr>
        <w:t xml:space="preserve">TOTP via Authenticator Apps (Google/FreeOTP): </w:t>
      </w:r>
      <w:r>
        <w:rPr>
          <w:rFonts w:ascii="Arial" w:hAnsi="Arial"/>
          <w:sz w:val="21"/>
        </w:rPr>
        <w:t>Pilihan Terbaik untuk Massal (~45rb pengguna) karena didukung native Keycloak, bebas biaya lisensi/pesan, dan bekerja offline.</w:t>
      </w:r>
    </w:p>
    <w:p>
      <w:pPr>
        <w:pStyle w:val="ListBullet"/>
        <w:spacing w:after="60" w:line="276" w:lineRule="auto"/>
      </w:pPr>
      <w:r>
        <w:rPr>
          <w:rFonts w:ascii="Arial" w:hAnsi="Arial"/>
          <w:b/>
          <w:sz w:val="21"/>
        </w:rPr>
        <w:t xml:space="preserve">FIDO2 / WebAuthn Passkeys: </w:t>
      </w:r>
      <w:r>
        <w:rPr>
          <w:rFonts w:ascii="Arial" w:hAnsi="Arial"/>
          <w:sz w:val="21"/>
        </w:rPr>
        <w:t>Pilihan Terbaik untuk Akun Privileged / Admin karena memberikan ketahanan maksimal terhadap serangan phishing &amp; MitM.</w:t>
      </w:r>
    </w:p>
    <w:p>
      <w:pPr>
        <w:pStyle w:val="ListBullet"/>
        <w:spacing w:after="60" w:line="276" w:lineRule="auto"/>
      </w:pPr>
      <w:r>
        <w:rPr>
          <w:rFonts w:ascii="Arial" w:hAnsi="Arial"/>
          <w:b/>
          <w:sz w:val="21"/>
        </w:rPr>
        <w:t xml:space="preserve">SMS / WhatsApp OTP: </w:t>
      </w:r>
      <w:r>
        <w:rPr>
          <w:rFonts w:ascii="Arial" w:hAnsi="Arial"/>
          <w:sz w:val="21"/>
        </w:rPr>
        <w:t>TIDAK DIREKOMENDASIKAN karena potensi pembengkakan biaya operasional pesan berulang yang tidak terkelola bagi anggaran universitas.</w:t>
      </w:r>
    </w:p>
    <w:p>
      <w:pPr>
        <w:keepNext/>
        <w:spacing w:before="360" w:after="160"/>
      </w:pPr>
      <w:r>
        <w:rPr>
          <w:rFonts w:ascii="Arial" w:hAnsi="Arial"/>
          <w:b/>
          <w:color w:val="003366"/>
          <w:sz w:val="28"/>
        </w:rPr>
        <w:t>BAB VII: ANALISIS SWOT &amp; ISU-ISU STRATEGIS</w:t>
      </w:r>
    </w:p>
    <w:p>
      <w:pPr>
        <w:keepNext/>
        <w:spacing w:before="280" w:after="120"/>
      </w:pPr>
      <w:r>
        <w:rPr>
          <w:rFonts w:ascii="Arial" w:hAnsi="Arial"/>
          <w:b/>
          <w:color w:val="004D99"/>
          <w:sz w:val="24"/>
        </w:rPr>
        <w:t>7.1 Matriks Analisis SWOT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4680"/>
            <w:shd w:fill="003366"/>
            <w:tcMar>
              <w:top w:w="120" w:type="dxa"/>
              <w:bottom w:w="120" w:type="dxa"/>
              <w:left w:w="140" w:type="dxa"/>
              <w:right w:w="140" w:type="dxa"/>
            </w:tcMar>
          </w:tcPr>
          <w:p>
            <w:pPr>
              <w:jc w:val="left"/>
            </w:pPr>
            <w:r>
              <w:rPr>
                <w:rFonts w:ascii="Arial" w:hAnsi="Arial"/>
                <w:b/>
                <w:color w:val="FFFFFF"/>
                <w:sz w:val="19"/>
              </w:rPr>
              <w:t>STRENGTHS (Kekuatan Internal)</w:t>
            </w:r>
          </w:p>
        </w:tc>
        <w:tc>
          <w:tcPr>
            <w:tcW w:type="dxa" w:w="4680"/>
            <w:shd w:fill="003366"/>
            <w:tcMar>
              <w:top w:w="120" w:type="dxa"/>
              <w:bottom w:w="120" w:type="dxa"/>
              <w:left w:w="140" w:type="dxa"/>
              <w:right w:w="140" w:type="dxa"/>
            </w:tcMar>
          </w:tcPr>
          <w:p>
            <w:pPr>
              <w:jc w:val="left"/>
            </w:pPr>
            <w:r>
              <w:rPr>
                <w:rFonts w:ascii="Arial" w:hAnsi="Arial"/>
                <w:b/>
                <w:color w:val="FFFFFF"/>
                <w:sz w:val="19"/>
              </w:rPr>
              <w:t>WEAKNESSES (Kelemahan Internal)</w:t>
            </w:r>
          </w:p>
        </w:tc>
      </w:tr>
      <w:tr>
        <w:tc>
          <w:tcPr>
            <w:tcW w:type="dxa" w:w="4680"/>
            <w:shd w:fill="FFFFFF"/>
            <w:tcMar>
              <w:top w:w="100" w:type="dxa"/>
              <w:bottom w:w="100" w:type="dxa"/>
              <w:left w:w="140" w:type="dxa"/>
              <w:right w:w="140" w:type="dxa"/>
            </w:tcMar>
          </w:tcPr>
          <w:p>
            <w:r>
              <w:rPr>
                <w:rFonts w:ascii="Arial" w:hAnsi="Arial"/>
                <w:color w:val="333333"/>
                <w:sz w:val="18"/>
              </w:rPr>
              <w:t>• Keycloak SSO terpusat &amp; modern berbasis Quarkus/JPA.</w:t>
              <w:br/>
              <w:t>• Integrasi terpusat pada 44 client aplikasi.</w:t>
              <w:br/>
              <w:t>• Sync real-time eSDM &amp; migrasi mhs penuh di prod.</w:t>
              <w:br/>
              <w:t>• Kapabilitas TOTP &amp; WebAuthn ready secara native.</w:t>
              <w:br/>
              <w:t>• Audit logging (Login/Admin Events) aktif.</w:t>
            </w:r>
          </w:p>
        </w:tc>
        <w:tc>
          <w:tcPr>
            <w:tcW w:type="dxa" w:w="4680"/>
            <w:shd w:fill="FFFFFF"/>
            <w:tcMar>
              <w:top w:w="100" w:type="dxa"/>
              <w:bottom w:w="100" w:type="dxa"/>
              <w:left w:w="140" w:type="dxa"/>
              <w:right w:w="140" w:type="dxa"/>
            </w:tcMar>
          </w:tcPr>
          <w:p>
            <w:r>
              <w:rPr>
                <w:rFonts w:ascii="Arial" w:hAnsi="Arial"/>
                <w:color w:val="333333"/>
                <w:sz w:val="18"/>
              </w:rPr>
              <w:t>• Password Policy KOSONG (T-06).</w:t>
              <w:br/>
              <w:t>• Password default NIK/NIM terprediksi (U-06, U-07).</w:t>
              <w:br/>
              <w:t>• MFA belum diwajibkan (non-default Required Action).</w:t>
              <w:br/>
              <w:t>• Verify Email DISABLED (T-04).</w:t>
              <w:br/>
              <w:t>• Retensi log Expiration KOSONG &amp; 2.624 tiket SMILE.</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bl>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4680"/>
            <w:shd w:fill="003366"/>
            <w:tcMar>
              <w:top w:w="120" w:type="dxa"/>
              <w:bottom w:w="120" w:type="dxa"/>
              <w:left w:w="140" w:type="dxa"/>
              <w:right w:w="140" w:type="dxa"/>
            </w:tcMar>
          </w:tcPr>
          <w:p>
            <w:pPr>
              <w:jc w:val="left"/>
            </w:pPr>
            <w:r>
              <w:rPr>
                <w:rFonts w:ascii="Arial" w:hAnsi="Arial"/>
                <w:b/>
                <w:color w:val="FFFFFF"/>
                <w:sz w:val="19"/>
              </w:rPr>
              <w:t>OPPORTUNITIES (Peluang Eksternal)</w:t>
            </w:r>
          </w:p>
        </w:tc>
        <w:tc>
          <w:tcPr>
            <w:tcW w:type="dxa" w:w="4680"/>
            <w:shd w:fill="003366"/>
            <w:tcMar>
              <w:top w:w="120" w:type="dxa"/>
              <w:bottom w:w="120" w:type="dxa"/>
              <w:left w:w="140" w:type="dxa"/>
              <w:right w:w="140" w:type="dxa"/>
            </w:tcMar>
          </w:tcPr>
          <w:p>
            <w:pPr>
              <w:jc w:val="left"/>
            </w:pPr>
            <w:r>
              <w:rPr>
                <w:rFonts w:ascii="Arial" w:hAnsi="Arial"/>
                <w:b/>
                <w:color w:val="FFFFFF"/>
                <w:sz w:val="19"/>
              </w:rPr>
              <w:t>THREATS (Ancaman Eksternal)</w:t>
            </w:r>
          </w:p>
        </w:tc>
      </w:tr>
      <w:tr>
        <w:tc>
          <w:tcPr>
            <w:tcW w:type="dxa" w:w="4680"/>
            <w:shd w:fill="FFFFFF"/>
            <w:tcMar>
              <w:top w:w="100" w:type="dxa"/>
              <w:bottom w:w="100" w:type="dxa"/>
              <w:left w:w="140" w:type="dxa"/>
              <w:right w:w="140" w:type="dxa"/>
            </w:tcMar>
          </w:tcPr>
          <w:p>
            <w:r>
              <w:rPr>
                <w:rFonts w:ascii="Arial" w:hAnsi="Arial"/>
                <w:color w:val="333333"/>
                <w:sz w:val="18"/>
              </w:rPr>
              <w:t>• Mandat regulasi UU PDP No. 27/2022 &amp; Perpres SPBE.</w:t>
              <w:br/>
              <w:t>• TOTP Keycloak BEBAS BIAYA lisensi/pesan berulang.</w:t>
              <w:br/>
              <w:t>• Adopsi FIDO2/Passkey untuk akun admin.</w:t>
              <w:br/>
              <w:t>• Budaya digitalisasi &amp; hybrid learning perguruan tinggi.</w:t>
            </w:r>
          </w:p>
        </w:tc>
        <w:tc>
          <w:tcPr>
            <w:tcW w:type="dxa" w:w="4680"/>
            <w:shd w:fill="FFFFFF"/>
            <w:tcMar>
              <w:top w:w="100" w:type="dxa"/>
              <w:bottom w:w="100" w:type="dxa"/>
              <w:left w:w="140" w:type="dxa"/>
              <w:right w:w="140" w:type="dxa"/>
            </w:tcMar>
          </w:tcPr>
          <w:p>
            <w:r>
              <w:rPr>
                <w:rFonts w:ascii="Arial" w:hAnsi="Arial"/>
                <w:color w:val="333333"/>
                <w:sz w:val="18"/>
              </w:rPr>
              <w:t>• Serangan credential guessing &amp; stuffing pada NIK/NIM.</w:t>
              <w:br/>
              <w:t>• Phishing menembus autentikasi faktor tunggal.</w:t>
              <w:br/>
              <w:t>• Penyalahgunaan akses Wi-Fi SSO oleh pihak luar.</w:t>
              <w:br/>
              <w:t>• Sanksi hukum UU PDP &amp; pencemaran reputasi institusi.</w:t>
            </w:r>
          </w:p>
        </w:tc>
      </w:tr>
    </w:tbl>
    <w:p>
      <w:pPr>
        <w:keepNext/>
        <w:spacing w:before="280" w:after="120"/>
      </w:pPr>
      <w:r>
        <w:rPr>
          <w:rFonts w:ascii="Arial" w:hAnsi="Arial"/>
          <w:b/>
          <w:color w:val="004D99"/>
          <w:sz w:val="24"/>
        </w:rPr>
        <w:t>7.2 Formulasi Strategi Matriks TOWS</w:t>
      </w:r>
    </w:p>
    <w:p>
      <w:pPr>
        <w:pStyle w:val="ListBullet"/>
        <w:spacing w:after="60" w:line="276" w:lineRule="auto"/>
      </w:pPr>
      <w:r>
        <w:rPr>
          <w:rFonts w:ascii="Arial" w:hAnsi="Arial"/>
          <w:b/>
          <w:sz w:val="21"/>
        </w:rPr>
        <w:t xml:space="preserve">Strategi SO: </w:t>
      </w:r>
      <w:r>
        <w:rPr>
          <w:rFonts w:ascii="Arial" w:hAnsi="Arial"/>
          <w:sz w:val="21"/>
        </w:rPr>
        <w:t>Memanfaatkan kapabilitas native Keycloak (TOTP &amp; WebAuthn) nirbiaya lisensi pada 44 client terintegrasi untuk memenuhi kepatuhan UU PDP &amp; SPBE.</w:t>
      </w:r>
    </w:p>
    <w:p>
      <w:pPr>
        <w:pStyle w:val="ListBullet"/>
        <w:spacing w:after="60" w:line="276" w:lineRule="auto"/>
      </w:pPr>
      <w:r>
        <w:rPr>
          <w:rFonts w:ascii="Arial" w:hAnsi="Arial"/>
          <w:b/>
          <w:sz w:val="21"/>
        </w:rPr>
        <w:t xml:space="preserve">Strategi WO: </w:t>
      </w:r>
      <w:r>
        <w:rPr>
          <w:rFonts w:ascii="Arial" w:hAnsi="Arial"/>
          <w:sz w:val="21"/>
        </w:rPr>
        <w:t>Mengonfigurasi Password Policy &amp; Verify Email di Keycloak untuk memenuhi standar BSSN sekaligus memotong tiket helpdesk SMILE.</w:t>
      </w:r>
    </w:p>
    <w:p>
      <w:pPr>
        <w:pStyle w:val="ListBullet"/>
        <w:spacing w:after="60" w:line="276" w:lineRule="auto"/>
      </w:pPr>
      <w:r>
        <w:rPr>
          <w:rFonts w:ascii="Arial" w:hAnsi="Arial"/>
          <w:b/>
          <w:sz w:val="21"/>
        </w:rPr>
        <w:t xml:space="preserve">Strategi ST: </w:t>
      </w:r>
      <w:r>
        <w:rPr>
          <w:rFonts w:ascii="Arial" w:hAnsi="Arial"/>
          <w:sz w:val="21"/>
        </w:rPr>
        <w:t>Mewajibkan TOTP bagi seluruh pengguna untuk melumpuhkan ancaman phishing dan credential stuffing.</w:t>
      </w:r>
    </w:p>
    <w:p>
      <w:pPr>
        <w:pStyle w:val="ListBullet"/>
        <w:spacing w:after="60" w:line="276" w:lineRule="auto"/>
      </w:pPr>
      <w:r>
        <w:rPr>
          <w:rFonts w:ascii="Arial" w:hAnsi="Arial"/>
          <w:b/>
          <w:sz w:val="21"/>
        </w:rPr>
        <w:t xml:space="preserve">Strategi WT: </w:t>
      </w:r>
      <w:r>
        <w:rPr>
          <w:rFonts w:ascii="Arial" w:hAnsi="Arial"/>
          <w:sz w:val="21"/>
        </w:rPr>
        <w:t>Menghentikan kata sandi default NIK/NIM dan menerapkan pelindungan FIDO2/WebAuthn khusus pada akun admin.</w:t>
      </w:r>
    </w:p>
    <w:p>
      <w:pPr>
        <w:keepNext/>
        <w:spacing w:before="280" w:after="120"/>
      </w:pPr>
      <w:r>
        <w:rPr>
          <w:rFonts w:ascii="Arial" w:hAnsi="Arial"/>
          <w:b/>
          <w:color w:val="004D99"/>
          <w:sz w:val="24"/>
        </w:rPr>
        <w:t>7.3 4 Isu Strategis Terprioritas</w:t>
      </w:r>
    </w:p>
    <w:p>
      <w:pPr>
        <w:pStyle w:val="ListBullet"/>
        <w:spacing w:after="60" w:line="276" w:lineRule="auto"/>
      </w:pPr>
      <w:r>
        <w:rPr>
          <w:rFonts w:ascii="Arial" w:hAnsi="Arial"/>
          <w:b/>
          <w:sz w:val="21"/>
        </w:rPr>
        <w:t xml:space="preserve">IS-1 (Prioritas 1 - Kritis): </w:t>
      </w:r>
      <w:r>
        <w:rPr>
          <w:rFonts w:ascii="Arial" w:hAnsi="Arial"/>
          <w:sz w:val="21"/>
        </w:rPr>
        <w:t>Penanganan Kerentanan Kata Sandi Faktor Tunggal &amp; Password Default NIK/NIM.</w:t>
      </w:r>
    </w:p>
    <w:p>
      <w:pPr>
        <w:pStyle w:val="ListBullet"/>
        <w:spacing w:after="60" w:line="276" w:lineRule="auto"/>
      </w:pPr>
      <w:r>
        <w:rPr>
          <w:rFonts w:ascii="Arial" w:hAnsi="Arial"/>
          <w:b/>
          <w:sz w:val="21"/>
        </w:rPr>
        <w:t xml:space="preserve">IS-2 (Prioritas 2 - Kritis): </w:t>
      </w:r>
      <w:r>
        <w:rPr>
          <w:rFonts w:ascii="Arial" w:hAnsi="Arial"/>
          <w:sz w:val="21"/>
        </w:rPr>
        <w:t>Penerapan Multi-Factor Authentication (MFA/TOTP) Bertahap Berbasis Risiko.</w:t>
      </w:r>
    </w:p>
    <w:p>
      <w:pPr>
        <w:pStyle w:val="ListBullet"/>
        <w:spacing w:after="60" w:line="276" w:lineRule="auto"/>
      </w:pPr>
      <w:r>
        <w:rPr>
          <w:rFonts w:ascii="Arial" w:hAnsi="Arial"/>
          <w:b/>
          <w:sz w:val="21"/>
        </w:rPr>
        <w:t xml:space="preserve">IS-3 (Prioritas 3 - Tinggi): </w:t>
      </w:r>
      <w:r>
        <w:rPr>
          <w:rFonts w:ascii="Arial" w:hAnsi="Arial"/>
          <w:sz w:val="21"/>
        </w:rPr>
        <w:t>Peningkatan Pemulihan Akun Mandiri (Self-Service Recovery) untuk Mengurangi Beban Helpdesk SMILE.</w:t>
      </w:r>
    </w:p>
    <w:p>
      <w:pPr>
        <w:pStyle w:val="ListBullet"/>
        <w:spacing w:after="60" w:line="276" w:lineRule="auto"/>
      </w:pPr>
      <w:r>
        <w:rPr>
          <w:rFonts w:ascii="Arial" w:hAnsi="Arial"/>
          <w:b/>
          <w:sz w:val="21"/>
        </w:rPr>
        <w:t xml:space="preserve">IS-4 (Prioritas 4 - Sedang-Tinggi): </w:t>
      </w:r>
      <w:r>
        <w:rPr>
          <w:rFonts w:ascii="Arial" w:hAnsi="Arial"/>
          <w:sz w:val="21"/>
        </w:rPr>
        <w:t>Penguatan Tata Kelola, Retensi Log Audit (180 Hari), dan SOP Keamanan SSO.</w:t>
      </w:r>
    </w:p>
    <w:p>
      <w:pPr>
        <w:keepNext/>
        <w:spacing w:before="360" w:after="160"/>
      </w:pPr>
      <w:r>
        <w:rPr>
          <w:rFonts w:ascii="Arial" w:hAnsi="Arial"/>
          <w:b/>
          <w:color w:val="003366"/>
          <w:sz w:val="28"/>
        </w:rPr>
        <w:t>BAB VIII: ANALISIS KESENJANGAN (GAP ANALYSIS)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c>
          <w:tcPr>
            <w:tcW w:type="dxa" w:w="1728"/>
            <w:shd w:fill="003366"/>
            <w:tcMar>
              <w:top w:w="120" w:type="dxa"/>
              <w:bottom w:w="120" w:type="dxa"/>
              <w:left w:w="140" w:type="dxa"/>
              <w:right w:w="140" w:type="dxa"/>
            </w:tcMar>
          </w:tcPr>
          <w:p>
            <w:pPr>
              <w:jc w:val="left"/>
            </w:pPr>
            <w:r>
              <w:rPr>
                <w:rFonts w:ascii="Arial" w:hAnsi="Arial"/>
                <w:b/>
                <w:color w:val="FFFFFF"/>
                <w:sz w:val="19"/>
              </w:rPr>
              <w:t>Dimensi</w:t>
            </w:r>
          </w:p>
        </w:tc>
        <w:tc>
          <w:tcPr>
            <w:tcW w:type="dxa" w:w="2592"/>
            <w:shd w:fill="003366"/>
            <w:tcMar>
              <w:top w:w="120" w:type="dxa"/>
              <w:bottom w:w="120" w:type="dxa"/>
              <w:left w:w="140" w:type="dxa"/>
              <w:right w:w="140" w:type="dxa"/>
            </w:tcMar>
          </w:tcPr>
          <w:p>
            <w:pPr>
              <w:jc w:val="left"/>
            </w:pPr>
            <w:r>
              <w:rPr>
                <w:rFonts w:ascii="Arial" w:hAnsi="Arial"/>
                <w:b/>
                <w:color w:val="FFFFFF"/>
                <w:sz w:val="19"/>
              </w:rPr>
              <w:t>Kondisi Saat Ini (As-Is)</w:t>
            </w:r>
          </w:p>
        </w:tc>
        <w:tc>
          <w:tcPr>
            <w:tcW w:type="dxa" w:w="2592"/>
            <w:shd w:fill="003366"/>
            <w:tcMar>
              <w:top w:w="120" w:type="dxa"/>
              <w:bottom w:w="120" w:type="dxa"/>
              <w:left w:w="140" w:type="dxa"/>
              <w:right w:w="140" w:type="dxa"/>
            </w:tcMar>
          </w:tcPr>
          <w:p>
            <w:pPr>
              <w:jc w:val="left"/>
            </w:pPr>
            <w:r>
              <w:rPr>
                <w:rFonts w:ascii="Arial" w:hAnsi="Arial"/>
                <w:b/>
                <w:color w:val="FFFFFF"/>
                <w:sz w:val="19"/>
              </w:rPr>
              <w:t>Kondisi Target (To-Be)</w:t>
            </w:r>
          </w:p>
        </w:tc>
        <w:tc>
          <w:tcPr>
            <w:tcW w:type="dxa" w:w="2448"/>
            <w:shd w:fill="003366"/>
            <w:tcMar>
              <w:top w:w="120" w:type="dxa"/>
              <w:bottom w:w="120" w:type="dxa"/>
              <w:left w:w="140" w:type="dxa"/>
              <w:right w:w="140" w:type="dxa"/>
            </w:tcMar>
          </w:tcPr>
          <w:p>
            <w:pPr>
              <w:jc w:val="left"/>
            </w:pPr>
            <w:r>
              <w:rPr>
                <w:rFonts w:ascii="Arial" w:hAnsi="Arial"/>
                <w:b/>
                <w:color w:val="FFFFFF"/>
                <w:sz w:val="19"/>
              </w:rPr>
              <w:t>Tindakan Penutupan Gap</w:t>
            </w:r>
          </w:p>
        </w:tc>
      </w:tr>
      <w:tr>
        <w:tc>
          <w:tcPr>
            <w:tcW w:type="dxa" w:w="1728"/>
            <w:shd w:fill="FFFFFF"/>
            <w:tcMar>
              <w:top w:w="100" w:type="dxa"/>
              <w:bottom w:w="100" w:type="dxa"/>
              <w:left w:w="140" w:type="dxa"/>
              <w:right w:w="140" w:type="dxa"/>
            </w:tcMar>
          </w:tcPr>
          <w:p>
            <w:r>
              <w:rPr>
                <w:rFonts w:ascii="Arial" w:hAnsi="Arial"/>
                <w:color w:val="333333"/>
                <w:sz w:val="18"/>
              </w:rPr>
              <w:t>Teknologi</w:t>
            </w:r>
          </w:p>
        </w:tc>
        <w:tc>
          <w:tcPr>
            <w:tcW w:type="dxa" w:w="2592"/>
            <w:shd w:fill="FFFFFF"/>
            <w:tcMar>
              <w:top w:w="100" w:type="dxa"/>
              <w:bottom w:w="100" w:type="dxa"/>
              <w:left w:w="140" w:type="dxa"/>
              <w:right w:w="140" w:type="dxa"/>
            </w:tcMar>
          </w:tcPr>
          <w:p>
            <w:r>
              <w:rPr>
                <w:rFonts w:ascii="Arial" w:hAnsi="Arial"/>
                <w:color w:val="333333"/>
                <w:sz w:val="18"/>
              </w:rPr>
              <w:t>MFA Configure OTP non-default; WebAuthn belum di-register.</w:t>
            </w:r>
          </w:p>
        </w:tc>
        <w:tc>
          <w:tcPr>
            <w:tcW w:type="dxa" w:w="2592"/>
            <w:shd w:fill="FFFFFF"/>
            <w:tcMar>
              <w:top w:w="100" w:type="dxa"/>
              <w:bottom w:w="100" w:type="dxa"/>
              <w:left w:w="140" w:type="dxa"/>
              <w:right w:w="140" w:type="dxa"/>
            </w:tcMar>
          </w:tcPr>
          <w:p>
            <w:r>
              <w:rPr>
                <w:rFonts w:ascii="Arial" w:hAnsi="Arial"/>
                <w:color w:val="333333"/>
                <w:sz w:val="18"/>
              </w:rPr>
              <w:t>MFA diwajibkan (TOTP massal, WebAuthn admin).</w:t>
            </w:r>
          </w:p>
        </w:tc>
        <w:tc>
          <w:tcPr>
            <w:tcW w:type="dxa" w:w="2448"/>
            <w:shd w:fill="FFFFFF"/>
            <w:tcMar>
              <w:top w:w="100" w:type="dxa"/>
              <w:bottom w:w="100" w:type="dxa"/>
              <w:left w:w="140" w:type="dxa"/>
              <w:right w:w="140" w:type="dxa"/>
            </w:tcMar>
          </w:tcPr>
          <w:p>
            <w:r>
              <w:rPr>
                <w:rFonts w:ascii="Arial" w:hAnsi="Arial"/>
                <w:color w:val="333333"/>
                <w:sz w:val="18"/>
              </w:rPr>
              <w:t>Set OTP sebagai Default Action &amp; register WebAuthn SPI.</w:t>
            </w:r>
          </w:p>
        </w:tc>
      </w:tr>
      <w:tr>
        <w:tc>
          <w:tcPr>
            <w:tcW w:type="dxa" w:w="1728"/>
            <w:shd w:fill="F9FAFB"/>
            <w:tcMar>
              <w:top w:w="100" w:type="dxa"/>
              <w:bottom w:w="100" w:type="dxa"/>
              <w:left w:w="140" w:type="dxa"/>
              <w:right w:w="140" w:type="dxa"/>
            </w:tcMar>
          </w:tcPr>
          <w:p>
            <w:r>
              <w:rPr>
                <w:rFonts w:ascii="Arial" w:hAnsi="Arial"/>
                <w:color w:val="333333"/>
                <w:sz w:val="18"/>
              </w:rPr>
              <w:t>Kebijakan</w:t>
            </w:r>
          </w:p>
        </w:tc>
        <w:tc>
          <w:tcPr>
            <w:tcW w:type="dxa" w:w="2592"/>
            <w:shd w:fill="F9FAFB"/>
            <w:tcMar>
              <w:top w:w="100" w:type="dxa"/>
              <w:bottom w:w="100" w:type="dxa"/>
              <w:left w:w="140" w:type="dxa"/>
              <w:right w:w="140" w:type="dxa"/>
            </w:tcMar>
          </w:tcPr>
          <w:p>
            <w:r>
              <w:rPr>
                <w:rFonts w:ascii="Arial" w:hAnsi="Arial"/>
                <w:color w:val="333333"/>
                <w:sz w:val="18"/>
              </w:rPr>
              <w:t>Password Policy KOSONG (T-06); Verify Email DISABLED.</w:t>
            </w:r>
          </w:p>
        </w:tc>
        <w:tc>
          <w:tcPr>
            <w:tcW w:type="dxa" w:w="2592"/>
            <w:shd w:fill="F9FAFB"/>
            <w:tcMar>
              <w:top w:w="100" w:type="dxa"/>
              <w:bottom w:w="100" w:type="dxa"/>
              <w:left w:w="140" w:type="dxa"/>
              <w:right w:w="140" w:type="dxa"/>
            </w:tcMar>
          </w:tcPr>
          <w:p>
            <w:r>
              <w:rPr>
                <w:rFonts w:ascii="Arial" w:hAnsi="Arial"/>
                <w:color w:val="333333"/>
                <w:sz w:val="18"/>
              </w:rPr>
              <w:t>Password Policy ketat &amp; Verify Email ENABLED.</w:t>
            </w:r>
          </w:p>
        </w:tc>
        <w:tc>
          <w:tcPr>
            <w:tcW w:type="dxa" w:w="2448"/>
            <w:shd w:fill="F9FAFB"/>
            <w:tcMar>
              <w:top w:w="100" w:type="dxa"/>
              <w:bottom w:w="100" w:type="dxa"/>
              <w:left w:w="140" w:type="dxa"/>
              <w:right w:w="140" w:type="dxa"/>
            </w:tcMar>
          </w:tcPr>
          <w:p>
            <w:r>
              <w:rPr>
                <w:rFonts w:ascii="Arial" w:hAnsi="Arial"/>
                <w:color w:val="333333"/>
                <w:sz w:val="18"/>
              </w:rPr>
              <w:t>Enforce Password Policy &amp; aktifkan Verify Email.</w:t>
            </w:r>
          </w:p>
        </w:tc>
      </w:tr>
      <w:tr>
        <w:tc>
          <w:tcPr>
            <w:tcW w:type="dxa" w:w="1728"/>
            <w:shd w:fill="FFFFFF"/>
            <w:tcMar>
              <w:top w:w="100" w:type="dxa"/>
              <w:bottom w:w="100" w:type="dxa"/>
              <w:left w:w="140" w:type="dxa"/>
              <w:right w:w="140" w:type="dxa"/>
            </w:tcMar>
          </w:tcPr>
          <w:p>
            <w:r>
              <w:rPr>
                <w:rFonts w:ascii="Arial" w:hAnsi="Arial"/>
                <w:color w:val="333333"/>
                <w:sz w:val="18"/>
              </w:rPr>
              <w:t>Proses</w:t>
            </w:r>
          </w:p>
        </w:tc>
        <w:tc>
          <w:tcPr>
            <w:tcW w:type="dxa" w:w="2592"/>
            <w:shd w:fill="FFFFFF"/>
            <w:tcMar>
              <w:top w:w="100" w:type="dxa"/>
              <w:bottom w:w="100" w:type="dxa"/>
              <w:left w:w="140" w:type="dxa"/>
              <w:right w:w="140" w:type="dxa"/>
            </w:tcMar>
          </w:tcPr>
          <w:p>
            <w:r>
              <w:rPr>
                <w:rFonts w:ascii="Arial" w:hAnsi="Arial"/>
                <w:color w:val="333333"/>
                <w:sz w:val="18"/>
              </w:rPr>
              <w:t>Password default NIK; 2.624 tiket SMILE manual.</w:t>
            </w:r>
          </w:p>
        </w:tc>
        <w:tc>
          <w:tcPr>
            <w:tcW w:type="dxa" w:w="2592"/>
            <w:shd w:fill="FFFFFF"/>
            <w:tcMar>
              <w:top w:w="100" w:type="dxa"/>
              <w:bottom w:w="100" w:type="dxa"/>
              <w:left w:w="140" w:type="dxa"/>
              <w:right w:w="140" w:type="dxa"/>
            </w:tcMar>
          </w:tcPr>
          <w:p>
            <w:r>
              <w:rPr>
                <w:rFonts w:ascii="Arial" w:hAnsi="Arial"/>
                <w:color w:val="333333"/>
                <w:sz w:val="18"/>
              </w:rPr>
              <w:t>Password NIK terhapus; self-service recovery mandiri.</w:t>
            </w:r>
          </w:p>
        </w:tc>
        <w:tc>
          <w:tcPr>
            <w:tcW w:type="dxa" w:w="2448"/>
            <w:shd w:fill="FFFFFF"/>
            <w:tcMar>
              <w:top w:w="100" w:type="dxa"/>
              <w:bottom w:w="100" w:type="dxa"/>
              <w:left w:w="140" w:type="dxa"/>
              <w:right w:w="140" w:type="dxa"/>
            </w:tcMar>
          </w:tcPr>
          <w:p>
            <w:r>
              <w:rPr>
                <w:rFonts w:ascii="Arial" w:hAnsi="Arial"/>
                <w:color w:val="333333"/>
                <w:sz w:val="18"/>
              </w:rPr>
              <w:t>Wajibkan Update Password login 1 &amp; reset mandiri via email.</w:t>
            </w:r>
          </w:p>
        </w:tc>
      </w:tr>
      <w:tr>
        <w:tc>
          <w:tcPr>
            <w:tcW w:type="dxa" w:w="1728"/>
            <w:shd w:fill="F9FAFB"/>
            <w:tcMar>
              <w:top w:w="100" w:type="dxa"/>
              <w:bottom w:w="100" w:type="dxa"/>
              <w:left w:w="140" w:type="dxa"/>
              <w:right w:w="140" w:type="dxa"/>
            </w:tcMar>
          </w:tcPr>
          <w:p>
            <w:r>
              <w:rPr>
                <w:rFonts w:ascii="Arial" w:hAnsi="Arial"/>
                <w:color w:val="333333"/>
                <w:sz w:val="18"/>
              </w:rPr>
              <w:t>Tata Kelola</w:t>
            </w:r>
          </w:p>
        </w:tc>
        <w:tc>
          <w:tcPr>
            <w:tcW w:type="dxa" w:w="2592"/>
            <w:shd w:fill="F9FAFB"/>
            <w:tcMar>
              <w:top w:w="100" w:type="dxa"/>
              <w:bottom w:w="100" w:type="dxa"/>
              <w:left w:w="140" w:type="dxa"/>
              <w:right w:w="140" w:type="dxa"/>
            </w:tcMar>
          </w:tcPr>
          <w:p>
            <w:r>
              <w:rPr>
                <w:rFonts w:ascii="Arial" w:hAnsi="Arial"/>
                <w:color w:val="333333"/>
                <w:sz w:val="18"/>
              </w:rPr>
              <w:t>Belum ada dokumen SOP resmi SSO.</w:t>
            </w:r>
          </w:p>
        </w:tc>
        <w:tc>
          <w:tcPr>
            <w:tcW w:type="dxa" w:w="2592"/>
            <w:shd w:fill="F9FAFB"/>
            <w:tcMar>
              <w:top w:w="100" w:type="dxa"/>
              <w:bottom w:w="100" w:type="dxa"/>
              <w:left w:w="140" w:type="dxa"/>
              <w:right w:w="140" w:type="dxa"/>
            </w:tcMar>
          </w:tcPr>
          <w:p>
            <w:r>
              <w:rPr>
                <w:rFonts w:ascii="Arial" w:hAnsi="Arial"/>
                <w:color w:val="333333"/>
                <w:sz w:val="18"/>
              </w:rPr>
              <w:t>SOP resmi operasional, role matrix, &amp; insiden SSO.</w:t>
            </w:r>
          </w:p>
        </w:tc>
        <w:tc>
          <w:tcPr>
            <w:tcW w:type="dxa" w:w="2448"/>
            <w:shd w:fill="F9FAFB"/>
            <w:tcMar>
              <w:top w:w="100" w:type="dxa"/>
              <w:bottom w:w="100" w:type="dxa"/>
              <w:left w:w="140" w:type="dxa"/>
              <w:right w:w="140" w:type="dxa"/>
            </w:tcMar>
          </w:tcPr>
          <w:p>
            <w:r>
              <w:rPr>
                <w:rFonts w:ascii="Arial" w:hAnsi="Arial"/>
                <w:color w:val="333333"/>
                <w:sz w:val="18"/>
              </w:rPr>
              <w:t>Menyusun dan mengesahkan dokumen SOP Keamanan SSO.</w:t>
            </w:r>
          </w:p>
        </w:tc>
      </w:tr>
      <w:tr>
        <w:tc>
          <w:tcPr>
            <w:tcW w:type="dxa" w:w="1728"/>
            <w:shd w:fill="FFFFFF"/>
            <w:tcMar>
              <w:top w:w="100" w:type="dxa"/>
              <w:bottom w:w="100" w:type="dxa"/>
              <w:left w:w="140" w:type="dxa"/>
              <w:right w:w="140" w:type="dxa"/>
            </w:tcMar>
          </w:tcPr>
          <w:p>
            <w:r>
              <w:rPr>
                <w:rFonts w:ascii="Arial" w:hAnsi="Arial"/>
                <w:color w:val="333333"/>
                <w:sz w:val="18"/>
              </w:rPr>
              <w:t>SDM</w:t>
            </w:r>
          </w:p>
        </w:tc>
        <w:tc>
          <w:tcPr>
            <w:tcW w:type="dxa" w:w="2592"/>
            <w:shd w:fill="FFFFFF"/>
            <w:tcMar>
              <w:top w:w="100" w:type="dxa"/>
              <w:bottom w:w="100" w:type="dxa"/>
              <w:left w:w="140" w:type="dxa"/>
              <w:right w:w="140" w:type="dxa"/>
            </w:tcMar>
          </w:tcPr>
          <w:p>
            <w:r>
              <w:rPr>
                <w:rFonts w:ascii="Arial" w:hAnsi="Arial"/>
                <w:color w:val="333333"/>
                <w:sz w:val="18"/>
              </w:rPr>
              <w:t>Beban helpdesk tersedot tiket manual.</w:t>
            </w:r>
          </w:p>
        </w:tc>
        <w:tc>
          <w:tcPr>
            <w:tcW w:type="dxa" w:w="2592"/>
            <w:shd w:fill="FFFFFF"/>
            <w:tcMar>
              <w:top w:w="100" w:type="dxa"/>
              <w:bottom w:w="100" w:type="dxa"/>
              <w:left w:w="140" w:type="dxa"/>
              <w:right w:w="140" w:type="dxa"/>
            </w:tcMar>
          </w:tcPr>
          <w:p>
            <w:r>
              <w:rPr>
                <w:rFonts w:ascii="Arial" w:hAnsi="Arial"/>
                <w:color w:val="333333"/>
                <w:sz w:val="18"/>
              </w:rPr>
              <w:t>Helpdesk fokus eskalasi; user paham TOTP.</w:t>
            </w:r>
          </w:p>
        </w:tc>
        <w:tc>
          <w:tcPr>
            <w:tcW w:type="dxa" w:w="2448"/>
            <w:shd w:fill="FFFFFF"/>
            <w:tcMar>
              <w:top w:w="100" w:type="dxa"/>
              <w:bottom w:w="100" w:type="dxa"/>
              <w:left w:w="140" w:type="dxa"/>
              <w:right w:w="140" w:type="dxa"/>
            </w:tcMar>
          </w:tcPr>
          <w:p>
            <w:r>
              <w:rPr>
                <w:rFonts w:ascii="Arial" w:hAnsi="Arial"/>
                <w:color w:val="333333"/>
                <w:sz w:val="18"/>
              </w:rPr>
              <w:t>Kampanye edukasi TOTP &amp; pelatihan SOP helpdesk.</w:t>
            </w:r>
          </w:p>
        </w:tc>
      </w:tr>
      <w:tr>
        <w:tc>
          <w:tcPr>
            <w:tcW w:type="dxa" w:w="1728"/>
            <w:shd w:fill="F9FAFB"/>
            <w:tcMar>
              <w:top w:w="100" w:type="dxa"/>
              <w:bottom w:w="100" w:type="dxa"/>
              <w:left w:w="140" w:type="dxa"/>
              <w:right w:w="140" w:type="dxa"/>
            </w:tcMar>
          </w:tcPr>
          <w:p>
            <w:r>
              <w:rPr>
                <w:rFonts w:ascii="Arial" w:hAnsi="Arial"/>
                <w:color w:val="333333"/>
                <w:sz w:val="18"/>
              </w:rPr>
              <w:t>Audit Log</w:t>
            </w:r>
          </w:p>
        </w:tc>
        <w:tc>
          <w:tcPr>
            <w:tcW w:type="dxa" w:w="2592"/>
            <w:shd w:fill="F9FAFB"/>
            <w:tcMar>
              <w:top w:w="100" w:type="dxa"/>
              <w:bottom w:w="100" w:type="dxa"/>
              <w:left w:w="140" w:type="dxa"/>
              <w:right w:w="140" w:type="dxa"/>
            </w:tcMar>
          </w:tcPr>
          <w:p>
            <w:r>
              <w:rPr>
                <w:rFonts w:ascii="Arial" w:hAnsi="Arial"/>
                <w:color w:val="333333"/>
                <w:sz w:val="18"/>
              </w:rPr>
              <w:t>Event Expiration KOSONG (T-08).</w:t>
            </w:r>
          </w:p>
        </w:tc>
        <w:tc>
          <w:tcPr>
            <w:tcW w:type="dxa" w:w="2592"/>
            <w:shd w:fill="F9FAFB"/>
            <w:tcMar>
              <w:top w:w="100" w:type="dxa"/>
              <w:bottom w:w="100" w:type="dxa"/>
              <w:left w:w="140" w:type="dxa"/>
              <w:right w:w="140" w:type="dxa"/>
            </w:tcMar>
          </w:tcPr>
          <w:p>
            <w:r>
              <w:rPr>
                <w:rFonts w:ascii="Arial" w:hAnsi="Arial"/>
                <w:color w:val="333333"/>
                <w:sz w:val="18"/>
              </w:rPr>
              <w:t>Retensi log audit 180 hari (auto-purge).</w:t>
            </w:r>
          </w:p>
        </w:tc>
        <w:tc>
          <w:tcPr>
            <w:tcW w:type="dxa" w:w="2448"/>
            <w:shd w:fill="F9FAFB"/>
            <w:tcMar>
              <w:top w:w="100" w:type="dxa"/>
              <w:bottom w:w="100" w:type="dxa"/>
              <w:left w:w="140" w:type="dxa"/>
              <w:right w:w="140" w:type="dxa"/>
            </w:tcMar>
          </w:tcPr>
          <w:p>
            <w:r>
              <w:rPr>
                <w:rFonts w:ascii="Arial" w:hAnsi="Arial"/>
                <w:color w:val="333333"/>
                <w:sz w:val="18"/>
              </w:rPr>
              <w:t>Konfirmasi Expiration Policy 180 hari di Keycloak.</w:t>
            </w:r>
          </w:p>
        </w:tc>
      </w:tr>
      <w:tr>
        <w:tc>
          <w:tcPr>
            <w:tcW w:type="dxa" w:w="1728"/>
            <w:shd w:fill="FFFFFF"/>
            <w:tcMar>
              <w:top w:w="100" w:type="dxa"/>
              <w:bottom w:w="100" w:type="dxa"/>
              <w:left w:w="140" w:type="dxa"/>
              <w:right w:w="140" w:type="dxa"/>
            </w:tcMar>
          </w:tcPr>
          <w:p>
            <w:r>
              <w:rPr>
                <w:rFonts w:ascii="Arial" w:hAnsi="Arial"/>
                <w:color w:val="333333"/>
                <w:sz w:val="18"/>
              </w:rPr>
              <w:t>Risiko</w:t>
            </w:r>
          </w:p>
        </w:tc>
        <w:tc>
          <w:tcPr>
            <w:tcW w:type="dxa" w:w="2592"/>
            <w:shd w:fill="FFFFFF"/>
            <w:tcMar>
              <w:top w:w="100" w:type="dxa"/>
              <w:bottom w:w="100" w:type="dxa"/>
              <w:left w:w="140" w:type="dxa"/>
              <w:right w:w="140" w:type="dxa"/>
            </w:tcMar>
          </w:tcPr>
          <w:p>
            <w:r>
              <w:rPr>
                <w:rFonts w:ascii="Arial" w:hAnsi="Arial"/>
                <w:color w:val="333333"/>
                <w:sz w:val="18"/>
              </w:rPr>
              <w:t>Autentikasi 1-faktor rentan pembobolan.</w:t>
            </w:r>
          </w:p>
        </w:tc>
        <w:tc>
          <w:tcPr>
            <w:tcW w:type="dxa" w:w="2592"/>
            <w:shd w:fill="FFFFFF"/>
            <w:tcMar>
              <w:top w:w="100" w:type="dxa"/>
              <w:bottom w:w="100" w:type="dxa"/>
              <w:left w:w="140" w:type="dxa"/>
              <w:right w:w="140" w:type="dxa"/>
            </w:tcMar>
          </w:tcPr>
          <w:p>
            <w:r>
              <w:rPr>
                <w:rFonts w:ascii="Arial" w:hAnsi="Arial"/>
                <w:color w:val="333333"/>
                <w:sz w:val="18"/>
              </w:rPr>
              <w:t>Autentikasi 2-faktor yang compliant UU PDP.</w:t>
            </w:r>
          </w:p>
        </w:tc>
        <w:tc>
          <w:tcPr>
            <w:tcW w:type="dxa" w:w="2448"/>
            <w:shd w:fill="FFFFFF"/>
            <w:tcMar>
              <w:top w:w="100" w:type="dxa"/>
              <w:bottom w:w="100" w:type="dxa"/>
              <w:left w:w="140" w:type="dxa"/>
              <w:right w:w="140" w:type="dxa"/>
            </w:tcMar>
          </w:tcPr>
          <w:p>
            <w:r>
              <w:rPr>
                <w:rFonts w:ascii="Arial" w:hAnsi="Arial"/>
                <w:color w:val="333333"/>
                <w:sz w:val="18"/>
              </w:rPr>
              <w:t>Integrasi Step-Up MFA pada 44 client aplikasi.</w:t>
            </w:r>
          </w:p>
        </w:tc>
      </w:tr>
    </w:tbl>
    <w:p>
      <w:pPr>
        <w:keepNext/>
        <w:spacing w:before="360" w:after="160"/>
      </w:pPr>
      <w:r>
        <w:rPr>
          <w:rFonts w:ascii="Arial" w:hAnsi="Arial"/>
          <w:b/>
          <w:color w:val="003366"/>
          <w:sz w:val="28"/>
        </w:rPr>
        <w:t>BAB IX: FORMULASI TIGA PILAR STRATEGI SI/TI</w:t>
      </w:r>
    </w:p>
    <w:p>
      <w:pPr>
        <w:keepNext/>
        <w:spacing w:before="280" w:after="120"/>
      </w:pPr>
      <w:r>
        <w:rPr>
          <w:rFonts w:ascii="Arial" w:hAnsi="Arial"/>
          <w:b/>
          <w:color w:val="004D99"/>
          <w:sz w:val="24"/>
        </w:rPr>
        <w:t>9.1 Pilar 1: Strategi Sistem Informasi (IS Strategy)</w:t>
      </w:r>
    </w:p>
    <w:p>
      <w:pPr>
        <w:pStyle w:val="ListBullet"/>
        <w:spacing w:after="60" w:line="276" w:lineRule="auto"/>
      </w:pPr>
      <w:r>
        <w:rPr>
          <w:rFonts w:ascii="Arial" w:hAnsi="Arial"/>
          <w:b/>
          <w:sz w:val="21"/>
        </w:rPr>
        <w:t xml:space="preserve">SI-1: </w:t>
      </w:r>
      <w:r>
        <w:rPr>
          <w:rFonts w:ascii="Arial" w:hAnsi="Arial"/>
          <w:sz w:val="21"/>
        </w:rPr>
        <w:t>Integrasi Layanan Autentikasi Berlapis (MFA Step-Up) pada 44 Client Aplikasi Terdaftar.</w:t>
      </w:r>
    </w:p>
    <w:p>
      <w:pPr>
        <w:pStyle w:val="ListBullet"/>
        <w:spacing w:after="60" w:line="276" w:lineRule="auto"/>
      </w:pPr>
      <w:r>
        <w:rPr>
          <w:rFonts w:ascii="Arial" w:hAnsi="Arial"/>
          <w:b/>
          <w:sz w:val="21"/>
        </w:rPr>
        <w:t xml:space="preserve">SI-2: </w:t>
      </w:r>
      <w:r>
        <w:rPr>
          <w:rFonts w:ascii="Arial" w:hAnsi="Arial"/>
          <w:sz w:val="21"/>
        </w:rPr>
        <w:t>Peluncuran Sistem Pemulihan Identitas Mandiri (Self-Service Recovery System) via Email Terverifikasi.</w:t>
      </w:r>
    </w:p>
    <w:p>
      <w:pPr>
        <w:pStyle w:val="ListBullet"/>
        <w:spacing w:after="60" w:line="276" w:lineRule="auto"/>
      </w:pPr>
      <w:r>
        <w:rPr>
          <w:rFonts w:ascii="Arial" w:hAnsi="Arial"/>
          <w:b/>
          <w:sz w:val="21"/>
        </w:rPr>
        <w:t xml:space="preserve">SI-3: </w:t>
      </w:r>
      <w:r>
        <w:rPr>
          <w:rFonts w:ascii="Arial" w:hAnsi="Arial"/>
          <w:sz w:val="21"/>
        </w:rPr>
        <w:t>Penguatan Integrasi Otomatis Siklus Hidup Identitas (eRegistrasi -&gt; eAkademik -&gt; Keycloak &amp; eSDM Sync).</w:t>
      </w:r>
    </w:p>
    <w:p>
      <w:pPr>
        <w:keepNext/>
        <w:spacing w:before="280" w:after="120"/>
      </w:pPr>
      <w:r>
        <w:rPr>
          <w:rFonts w:ascii="Arial" w:hAnsi="Arial"/>
          <w:b/>
          <w:color w:val="004D99"/>
          <w:sz w:val="24"/>
        </w:rPr>
        <w:t>9.2 Pilar 2: Strategi Teknologi Informasi (IT Strategy)</w:t>
      </w:r>
    </w:p>
    <w:p>
      <w:pPr>
        <w:pStyle w:val="ListBullet"/>
        <w:spacing w:after="60" w:line="276" w:lineRule="auto"/>
      </w:pPr>
      <w:r>
        <w:rPr>
          <w:rFonts w:ascii="Arial" w:hAnsi="Arial"/>
          <w:b/>
          <w:sz w:val="21"/>
        </w:rPr>
        <w:t xml:space="preserve">TI-1: </w:t>
      </w:r>
      <w:r>
        <w:rPr>
          <w:rFonts w:ascii="Arial" w:hAnsi="Arial"/>
          <w:sz w:val="21"/>
        </w:rPr>
        <w:t>Pengerasan Keamanan Keycloak (Hardening: Enforce Password Policy, Verify Email, Event Expiration 180 Hari).</w:t>
      </w:r>
    </w:p>
    <w:p>
      <w:pPr>
        <w:pStyle w:val="ListBullet"/>
        <w:spacing w:after="60" w:line="276" w:lineRule="auto"/>
      </w:pPr>
      <w:r>
        <w:rPr>
          <w:rFonts w:ascii="Arial" w:hAnsi="Arial"/>
          <w:b/>
          <w:sz w:val="21"/>
        </w:rPr>
        <w:t xml:space="preserve">TI-2: </w:t>
      </w:r>
      <w:r>
        <w:rPr>
          <w:rFonts w:ascii="Arial" w:hAnsi="Arial"/>
          <w:sz w:val="21"/>
        </w:rPr>
        <w:t>Penerapan MFA Rumpun TOTP via Authenticator Apps untuk Massal (~45.000 Sivitas Akademika).</w:t>
      </w:r>
    </w:p>
    <w:p>
      <w:pPr>
        <w:pStyle w:val="ListBullet"/>
        <w:spacing w:after="60" w:line="276" w:lineRule="auto"/>
      </w:pPr>
      <w:r>
        <w:rPr>
          <w:rFonts w:ascii="Arial" w:hAnsi="Arial"/>
          <w:b/>
          <w:sz w:val="21"/>
        </w:rPr>
        <w:t xml:space="preserve">TI-3: </w:t>
      </w:r>
      <w:r>
        <w:rPr>
          <w:rFonts w:ascii="Arial" w:hAnsi="Arial"/>
          <w:sz w:val="21"/>
        </w:rPr>
        <w:t>Penerapan MFA FIDO2 / WebAuthn Passkeys untuk Akun Administrative / Privileged.</w:t>
      </w:r>
    </w:p>
    <w:p>
      <w:pPr>
        <w:pStyle w:val="ListBullet"/>
        <w:spacing w:after="60" w:line="276" w:lineRule="auto"/>
      </w:pPr>
      <w:r>
        <w:rPr>
          <w:rFonts w:ascii="Arial" w:hAnsi="Arial"/>
          <w:b/>
          <w:sz w:val="21"/>
        </w:rPr>
        <w:t xml:space="preserve">TI-4: </w:t>
      </w:r>
      <w:r>
        <w:rPr>
          <w:rFonts w:ascii="Arial" w:hAnsi="Arial"/>
          <w:sz w:val="21"/>
        </w:rPr>
        <w:t>Penghentian Total Kata Sandi Default berbasis NIK/NIM via Update Password Required Action Login Pertama.</w:t>
      </w:r>
    </w:p>
    <w:p>
      <w:pPr>
        <w:keepNext/>
        <w:spacing w:before="280" w:after="120"/>
      </w:pPr>
      <w:r>
        <w:rPr>
          <w:rFonts w:ascii="Arial" w:hAnsi="Arial"/>
          <w:b/>
          <w:color w:val="004D99"/>
          <w:sz w:val="24"/>
        </w:rPr>
        <w:t>9.3 Pilar 3: Strategi Manajemen SI/TI (IS/IT Management Strategy)</w:t>
      </w:r>
    </w:p>
    <w:p>
      <w:pPr>
        <w:pStyle w:val="ListBullet"/>
        <w:spacing w:after="60" w:line="276" w:lineRule="auto"/>
      </w:pPr>
      <w:r>
        <w:rPr>
          <w:rFonts w:ascii="Arial" w:hAnsi="Arial"/>
          <w:b/>
          <w:sz w:val="21"/>
        </w:rPr>
        <w:t xml:space="preserve">MGT-1: </w:t>
      </w:r>
      <w:r>
        <w:rPr>
          <w:rFonts w:ascii="Arial" w:hAnsi="Arial"/>
          <w:sz w:val="21"/>
        </w:rPr>
        <w:t>Penyusunan dan Pengesahan Dokumentasi SOP Resmi Operasional &amp; Keamanan SSO.</w:t>
      </w:r>
    </w:p>
    <w:p>
      <w:pPr>
        <w:pStyle w:val="ListBullet"/>
        <w:spacing w:after="60" w:line="276" w:lineRule="auto"/>
      </w:pPr>
      <w:r>
        <w:rPr>
          <w:rFonts w:ascii="Arial" w:hAnsi="Arial"/>
          <w:b/>
          <w:sz w:val="21"/>
        </w:rPr>
        <w:t xml:space="preserve">MGT-2: </w:t>
      </w:r>
      <w:r>
        <w:rPr>
          <w:rFonts w:ascii="Arial" w:hAnsi="Arial"/>
          <w:sz w:val="21"/>
        </w:rPr>
        <w:t>Efisiensi Layanan Helpdesk SMILE melalui Edukasi &amp; Panduan Visual Pendaftaran TOTP Mandiri.</w:t>
      </w:r>
    </w:p>
    <w:p>
      <w:pPr>
        <w:pStyle w:val="ListBullet"/>
        <w:spacing w:after="60" w:line="276" w:lineRule="auto"/>
      </w:pPr>
      <w:r>
        <w:rPr>
          <w:rFonts w:ascii="Arial" w:hAnsi="Arial"/>
          <w:b/>
          <w:sz w:val="21"/>
        </w:rPr>
        <w:t xml:space="preserve">MGT-3: </w:t>
      </w:r>
      <w:r>
        <w:rPr>
          <w:rFonts w:ascii="Arial" w:hAnsi="Arial"/>
          <w:sz w:val="21"/>
        </w:rPr>
        <w:t>Kepatuhan Regulasi UU PDP No. 27/2022 &amp; Audit Log Keamanan Berkala.</w:t>
      </w:r>
    </w:p>
    <w:p>
      <w:pPr>
        <w:keepNext/>
        <w:spacing w:before="360" w:after="160"/>
      </w:pPr>
      <w:r>
        <w:rPr>
          <w:rFonts w:ascii="Arial" w:hAnsi="Arial"/>
          <w:b/>
          <w:color w:val="003366"/>
          <w:sz w:val="28"/>
        </w:rPr>
        <w:t>BAB X: ARSITEKTUR KONSEPTUAL TARGET &amp; ALUR AUTENTIKASI</w:t>
      </w:r>
    </w:p>
    <w:p>
      <w:pPr>
        <w:keepNext/>
        <w:spacing w:before="280" w:after="120"/>
      </w:pPr>
      <w:r>
        <w:rPr>
          <w:rFonts w:ascii="Arial" w:hAnsi="Arial"/>
          <w:b/>
          <w:color w:val="004D99"/>
          <w:sz w:val="24"/>
        </w:rPr>
        <w:t>10.1 Pembandingan Arsitektur Eksisting (As-Is) vs Target (To-Be)</w:t>
      </w:r>
    </w:p>
    <w:p>
      <w:pPr>
        <w:spacing w:after="120" w:line="276" w:lineRule="auto"/>
      </w:pPr>
      <w:r>
        <w:rPr>
          <w:rFonts w:ascii="Arial" w:hAnsi="Arial"/>
          <w:sz w:val="21"/>
        </w:rPr>
        <w:t>Arsitektur Eksisting (As-Is) menempatkan Keycloak tanpa Password Policy, tanpa Verify Email, dan tanpa MFA diwajibkan, sehingga 44 aplikasi rentan terhadap phishing. Arsitektur Target (To-Be) menambahkan WAF/Reverse Proxy di lapisan perimeter, mengaktifkan Password Policy Enforcer, Required Action Pipeline, TOTP &amp; WebAuthn Engine, serta Event Expiration 180 Hari.</w:t>
      </w:r>
    </w:p>
    <w:p>
      <w:pPr>
        <w:keepNext/>
        <w:spacing w:before="280" w:after="120"/>
      </w:pPr>
      <w:r>
        <w:rPr>
          <w:rFonts w:ascii="Arial" w:hAnsi="Arial"/>
          <w:b/>
          <w:color w:val="004D99"/>
          <w:sz w:val="24"/>
        </w:rPr>
        <w:t>10.2 Pembandingan Alur Autentikasi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2592"/>
            <w:shd w:fill="003366"/>
            <w:tcMar>
              <w:top w:w="120" w:type="dxa"/>
              <w:bottom w:w="120" w:type="dxa"/>
              <w:left w:w="140" w:type="dxa"/>
              <w:right w:w="140" w:type="dxa"/>
            </w:tcMar>
          </w:tcPr>
          <w:p>
            <w:pPr>
              <w:jc w:val="left"/>
            </w:pPr>
            <w:r>
              <w:rPr>
                <w:rFonts w:ascii="Arial" w:hAnsi="Arial"/>
                <w:b/>
                <w:color w:val="FFFFFF"/>
                <w:sz w:val="19"/>
              </w:rPr>
              <w:t>Jenis Alur</w:t>
            </w:r>
          </w:p>
        </w:tc>
        <w:tc>
          <w:tcPr>
            <w:tcW w:type="dxa" w:w="3312"/>
            <w:shd w:fill="003366"/>
            <w:tcMar>
              <w:top w:w="120" w:type="dxa"/>
              <w:bottom w:w="120" w:type="dxa"/>
              <w:left w:w="140" w:type="dxa"/>
              <w:right w:w="140" w:type="dxa"/>
            </w:tcMar>
          </w:tcPr>
          <w:p>
            <w:pPr>
              <w:jc w:val="left"/>
            </w:pPr>
            <w:r>
              <w:rPr>
                <w:rFonts w:ascii="Arial" w:hAnsi="Arial"/>
                <w:b/>
                <w:color w:val="FFFFFF"/>
                <w:sz w:val="19"/>
              </w:rPr>
              <w:t>Alur Eksisting (As-Is)</w:t>
            </w:r>
          </w:p>
        </w:tc>
        <w:tc>
          <w:tcPr>
            <w:tcW w:type="dxa" w:w="3456"/>
            <w:shd w:fill="003366"/>
            <w:tcMar>
              <w:top w:w="120" w:type="dxa"/>
              <w:bottom w:w="120" w:type="dxa"/>
              <w:left w:w="140" w:type="dxa"/>
              <w:right w:w="140" w:type="dxa"/>
            </w:tcMar>
          </w:tcPr>
          <w:p>
            <w:pPr>
              <w:jc w:val="left"/>
            </w:pPr>
            <w:r>
              <w:rPr>
                <w:rFonts w:ascii="Arial" w:hAnsi="Arial"/>
                <w:b/>
                <w:color w:val="FFFFFF"/>
                <w:sz w:val="19"/>
              </w:rPr>
              <w:t>Alur Target Terimprovisasi (To-Be)</w:t>
            </w:r>
          </w:p>
        </w:tc>
      </w:tr>
      <w:tr>
        <w:tc>
          <w:tcPr>
            <w:tcW w:type="dxa" w:w="2592"/>
            <w:shd w:fill="FFFFFF"/>
            <w:tcMar>
              <w:top w:w="100" w:type="dxa"/>
              <w:bottom w:w="100" w:type="dxa"/>
              <w:left w:w="140" w:type="dxa"/>
              <w:right w:w="140" w:type="dxa"/>
            </w:tcMar>
          </w:tcPr>
          <w:p>
            <w:r>
              <w:rPr>
                <w:rFonts w:ascii="Arial" w:hAnsi="Arial"/>
                <w:color w:val="333333"/>
                <w:sz w:val="18"/>
              </w:rPr>
              <w:t>Login Rutin</w:t>
            </w:r>
          </w:p>
        </w:tc>
        <w:tc>
          <w:tcPr>
            <w:tcW w:type="dxa" w:w="3312"/>
            <w:shd w:fill="FFFFFF"/>
            <w:tcMar>
              <w:top w:w="100" w:type="dxa"/>
              <w:bottom w:w="100" w:type="dxa"/>
              <w:left w:w="140" w:type="dxa"/>
              <w:right w:w="140" w:type="dxa"/>
            </w:tcMar>
          </w:tcPr>
          <w:p>
            <w:r>
              <w:rPr>
                <w:rFonts w:ascii="Arial" w:hAnsi="Arial"/>
                <w:color w:val="333333"/>
                <w:sz w:val="18"/>
              </w:rPr>
              <w:t>Input Username + Password Default NIK -&gt; Langsung Masuk (Faktor Tunggal).</w:t>
            </w:r>
          </w:p>
        </w:tc>
        <w:tc>
          <w:tcPr>
            <w:tcW w:type="dxa" w:w="3456"/>
            <w:shd w:fill="FFFFFF"/>
            <w:tcMar>
              <w:top w:w="100" w:type="dxa"/>
              <w:bottom w:w="100" w:type="dxa"/>
              <w:left w:w="140" w:type="dxa"/>
              <w:right w:w="140" w:type="dxa"/>
            </w:tcMar>
          </w:tcPr>
          <w:p>
            <w:r>
              <w:rPr>
                <w:rFonts w:ascii="Arial" w:hAnsi="Arial"/>
                <w:color w:val="333333"/>
                <w:sz w:val="18"/>
              </w:rPr>
              <w:t>Input Username &amp; Password -&gt; Validasi -&gt; Input 6-Digit TOTP -&gt; Token Issued -&gt; Masuk.</w:t>
            </w:r>
          </w:p>
        </w:tc>
      </w:tr>
      <w:tr>
        <w:tc>
          <w:tcPr>
            <w:tcW w:type="dxa" w:w="2592"/>
            <w:shd w:fill="F9FAFB"/>
            <w:tcMar>
              <w:top w:w="100" w:type="dxa"/>
              <w:bottom w:w="100" w:type="dxa"/>
              <w:left w:w="140" w:type="dxa"/>
              <w:right w:w="140" w:type="dxa"/>
            </w:tcMar>
          </w:tcPr>
          <w:p>
            <w:r>
              <w:rPr>
                <w:rFonts w:ascii="Arial" w:hAnsi="Arial"/>
                <w:color w:val="333333"/>
                <w:sz w:val="18"/>
              </w:rPr>
              <w:t>Login Pertama</w:t>
            </w:r>
          </w:p>
        </w:tc>
        <w:tc>
          <w:tcPr>
            <w:tcW w:type="dxa" w:w="3312"/>
            <w:shd w:fill="F9FAFB"/>
            <w:tcMar>
              <w:top w:w="100" w:type="dxa"/>
              <w:bottom w:w="100" w:type="dxa"/>
              <w:left w:w="140" w:type="dxa"/>
              <w:right w:w="140" w:type="dxa"/>
            </w:tcMar>
          </w:tcPr>
          <w:p>
            <w:r>
              <w:rPr>
                <w:rFonts w:ascii="Arial" w:hAnsi="Arial"/>
                <w:color w:val="333333"/>
                <w:sz w:val="18"/>
              </w:rPr>
              <w:t>Input Password Default NIK -&gt; Ganti Password (tanpa kriteria kompleksitas).</w:t>
            </w:r>
          </w:p>
        </w:tc>
        <w:tc>
          <w:tcPr>
            <w:tcW w:type="dxa" w:w="3456"/>
            <w:shd w:fill="F9FAFB"/>
            <w:tcMar>
              <w:top w:w="100" w:type="dxa"/>
              <w:bottom w:w="100" w:type="dxa"/>
              <w:left w:w="140" w:type="dxa"/>
              <w:right w:w="140" w:type="dxa"/>
            </w:tcMar>
          </w:tcPr>
          <w:p>
            <w:r>
              <w:rPr>
                <w:rFonts w:ascii="Arial" w:hAnsi="Arial"/>
                <w:color w:val="333333"/>
                <w:sz w:val="18"/>
              </w:rPr>
              <w:t>Input Kredensial Awal -&gt; Wajib Password Kompleks -&gt; Verifikasi Email Kampus -&gt; Scan QR TOTP.</w:t>
            </w:r>
          </w:p>
        </w:tc>
      </w:tr>
      <w:tr>
        <w:tc>
          <w:tcPr>
            <w:tcW w:type="dxa" w:w="2592"/>
            <w:shd w:fill="FFFFFF"/>
            <w:tcMar>
              <w:top w:w="100" w:type="dxa"/>
              <w:bottom w:w="100" w:type="dxa"/>
              <w:left w:w="140" w:type="dxa"/>
              <w:right w:w="140" w:type="dxa"/>
            </w:tcMar>
          </w:tcPr>
          <w:p>
            <w:r>
              <w:rPr>
                <w:rFonts w:ascii="Arial" w:hAnsi="Arial"/>
                <w:color w:val="333333"/>
                <w:sz w:val="18"/>
              </w:rPr>
              <w:t>Lupa Password</w:t>
            </w:r>
          </w:p>
        </w:tc>
        <w:tc>
          <w:tcPr>
            <w:tcW w:type="dxa" w:w="3312"/>
            <w:shd w:fill="FFFFFF"/>
            <w:tcMar>
              <w:top w:w="100" w:type="dxa"/>
              <w:bottom w:w="100" w:type="dxa"/>
              <w:left w:w="140" w:type="dxa"/>
              <w:right w:w="140" w:type="dxa"/>
            </w:tcMar>
          </w:tcPr>
          <w:p>
            <w:r>
              <w:rPr>
                <w:rFonts w:ascii="Arial" w:hAnsi="Arial"/>
                <w:color w:val="333333"/>
                <w:sz w:val="18"/>
              </w:rPr>
              <w:t>Verify Email Mati -&gt; Mengajukan Tiket Manual ke SMILE (2.624 tiket, D-02).</w:t>
            </w:r>
          </w:p>
        </w:tc>
        <w:tc>
          <w:tcPr>
            <w:tcW w:type="dxa" w:w="3456"/>
            <w:shd w:fill="FFFFFF"/>
            <w:tcMar>
              <w:top w:w="100" w:type="dxa"/>
              <w:bottom w:w="100" w:type="dxa"/>
              <w:left w:w="140" w:type="dxa"/>
              <w:right w:w="140" w:type="dxa"/>
            </w:tcMar>
          </w:tcPr>
          <w:p>
            <w:r>
              <w:rPr>
                <w:rFonts w:ascii="Arial" w:hAnsi="Arial"/>
                <w:color w:val="333333"/>
                <w:sz w:val="18"/>
              </w:rPr>
              <w:t>Klik Forgot Password -&gt; Tautan Reset ke Email Terverifikasi -&gt; Reset Password &amp; Konfirmasi TOTP.</w:t>
            </w:r>
          </w:p>
        </w:tc>
      </w:tr>
    </w:tbl>
    <w:p>
      <w:pPr>
        <w:keepNext/>
        <w:spacing w:before="360" w:after="160"/>
      </w:pPr>
      <w:r>
        <w:rPr>
          <w:rFonts w:ascii="Arial" w:hAnsi="Arial"/>
          <w:b/>
          <w:color w:val="003366"/>
          <w:sz w:val="28"/>
        </w:rPr>
        <w:t>BAB XI: PETA JALAN IMPLEMENTASI &amp; MANAJEMEN RISIKO</w:t>
      </w:r>
    </w:p>
    <w:p>
      <w:pPr>
        <w:keepNext/>
        <w:spacing w:before="280" w:after="120"/>
      </w:pPr>
      <w:r>
        <w:rPr>
          <w:rFonts w:ascii="Arial" w:hAnsi="Arial"/>
          <w:b/>
          <w:color w:val="004D99"/>
          <w:sz w:val="24"/>
        </w:rPr>
        <w:t>11.1 Pentahapan Peta Jalan 12-Bulan (Q1 s/d Q4)</w:t>
      </w:r>
    </w:p>
    <w:p>
      <w:pPr>
        <w:pStyle w:val="ListBullet"/>
        <w:spacing w:after="60" w:line="276" w:lineRule="auto"/>
      </w:pPr>
      <w:r>
        <w:rPr>
          <w:rFonts w:ascii="Arial" w:hAnsi="Arial"/>
          <w:b/>
          <w:sz w:val="21"/>
        </w:rPr>
        <w:t xml:space="preserve">Fase 1: Quick Wins &amp; Fondasi Keamanan (Q1 / Bulan 1–3): </w:t>
      </w:r>
      <w:r>
        <w:rPr>
          <w:rFonts w:ascii="Arial" w:hAnsi="Arial"/>
          <w:sz w:val="21"/>
        </w:rPr>
        <w:t>Keycloak Hardening (TI-1), Penghentian Password NIK Default (TI-4), Pengesahan Dokumen SOP SSO (MGT-1).</w:t>
      </w:r>
    </w:p>
    <w:p>
      <w:pPr>
        <w:pStyle w:val="ListBullet"/>
        <w:spacing w:after="60" w:line="276" w:lineRule="auto"/>
      </w:pPr>
      <w:r>
        <w:rPr>
          <w:rFonts w:ascii="Arial" w:hAnsi="Arial"/>
          <w:b/>
          <w:sz w:val="21"/>
        </w:rPr>
        <w:t xml:space="preserve">Fase 2: MFA Massal &amp; Pemulihan Mandiri (Q2–Q3 / Bulan 4–9): </w:t>
      </w:r>
      <w:r>
        <w:rPr>
          <w:rFonts w:ascii="Arial" w:hAnsi="Arial"/>
          <w:sz w:val="21"/>
        </w:rPr>
        <w:t>Integrasi MFA 44 Client (SI-1), Rollout TOTP Massal (TI-2), Peluncuran Self-Service Recovery (SI-2), Kampanye Edukasi User &amp; Helpdesk SMILE (MGT-2), Auto-Sync Lifecycle (SI-3).</w:t>
      </w:r>
    </w:p>
    <w:p>
      <w:pPr>
        <w:pStyle w:val="ListBullet"/>
        <w:spacing w:after="60" w:line="276" w:lineRule="auto"/>
      </w:pPr>
      <w:r>
        <w:rPr>
          <w:rFonts w:ascii="Arial" w:hAnsi="Arial"/>
          <w:b/>
          <w:sz w:val="21"/>
        </w:rPr>
        <w:t xml:space="preserve">Fase 3: Privileged Protection &amp; Audit Kepatuhan (Q4 / Bulan 10–12): </w:t>
      </w:r>
      <w:r>
        <w:rPr>
          <w:rFonts w:ascii="Arial" w:hAnsi="Arial"/>
          <w:sz w:val="21"/>
        </w:rPr>
        <w:t>Implementasi WebAuthn/FIDO2 Admin (TI-3), Audit Kepatuhan UU PDP &amp; Retensi Log 180 Hari (MGT-3).</w:t>
      </w:r>
    </w:p>
    <w:p>
      <w:pPr>
        <w:keepNext/>
        <w:spacing w:before="280" w:after="120"/>
      </w:pPr>
      <w:r>
        <w:rPr>
          <w:rFonts w:ascii="Arial" w:hAnsi="Arial"/>
          <w:b/>
          <w:color w:val="004D99"/>
          <w:sz w:val="24"/>
        </w:rPr>
        <w:t>11.2 Manajemen Risiko &amp; Mitigasi Strategis</w:t>
      </w:r>
    </w:p>
    <w:p>
      <w:pPr>
        <w:pStyle w:val="ListBullet"/>
        <w:spacing w:after="60" w:line="276" w:lineRule="auto"/>
      </w:pPr>
      <w:r>
        <w:rPr>
          <w:rFonts w:ascii="Arial" w:hAnsi="Arial"/>
          <w:b/>
          <w:sz w:val="21"/>
        </w:rPr>
        <w:t xml:space="preserve">Risiko Kebingungan User TOTP: </w:t>
      </w:r>
      <w:r>
        <w:rPr>
          <w:rFonts w:ascii="Arial" w:hAnsi="Arial"/>
          <w:sz w:val="21"/>
        </w:rPr>
        <w:t>Mitigasi via panduan visual, video tutorial, dan masa transisi pendaftaran mandiri 30 hari sebelum MFA enforced.</w:t>
      </w:r>
    </w:p>
    <w:p>
      <w:pPr>
        <w:pStyle w:val="ListBullet"/>
        <w:spacing w:after="60" w:line="276" w:lineRule="auto"/>
      </w:pPr>
      <w:r>
        <w:rPr>
          <w:rFonts w:ascii="Arial" w:hAnsi="Arial"/>
          <w:b/>
          <w:sz w:val="21"/>
        </w:rPr>
        <w:t xml:space="preserve">Risiko Lonjakan Tiket SMILE: </w:t>
      </w:r>
      <w:r>
        <w:rPr>
          <w:rFonts w:ascii="Arial" w:hAnsi="Arial"/>
          <w:sz w:val="21"/>
        </w:rPr>
        <w:t>Mitigasi via fitur backup codes dan task force helpdesk dedicated PUSTIPANDA selama 2 minggu Go-Live.</w:t>
      </w:r>
    </w:p>
    <w:p>
      <w:pPr>
        <w:pStyle w:val="ListBullet"/>
        <w:spacing w:after="60" w:line="276" w:lineRule="auto"/>
      </w:pPr>
      <w:r>
        <w:rPr>
          <w:rFonts w:ascii="Arial" w:hAnsi="Arial"/>
          <w:b/>
          <w:sz w:val="21"/>
        </w:rPr>
        <w:t xml:space="preserve">Risiko Perangkat Hilang: </w:t>
      </w:r>
      <w:r>
        <w:rPr>
          <w:rFonts w:ascii="Arial" w:hAnsi="Arial"/>
          <w:sz w:val="21"/>
        </w:rPr>
        <w:t>Mitigasi via alur pemulihan mandiri berbasis email kampus terverifikasi.</w:t>
      </w:r>
    </w:p>
    <w:p>
      <w:pPr>
        <w:keepNext/>
        <w:spacing w:before="360" w:after="160"/>
      </w:pPr>
      <w:r>
        <w:rPr>
          <w:rFonts w:ascii="Arial" w:hAnsi="Arial"/>
          <w:b/>
          <w:color w:val="003366"/>
          <w:sz w:val="28"/>
        </w:rPr>
        <w:t>BAB XII: INDIKATOR KINERJA UTAMA (KPI STRATEGIS)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c>
          <w:tcPr>
            <w:tcW w:type="dxa" w:w="2160"/>
            <w:shd w:fill="003366"/>
            <w:tcMar>
              <w:top w:w="120" w:type="dxa"/>
              <w:bottom w:w="120" w:type="dxa"/>
              <w:left w:w="140" w:type="dxa"/>
              <w:right w:w="140" w:type="dxa"/>
            </w:tcMar>
          </w:tcPr>
          <w:p>
            <w:pPr>
              <w:jc w:val="left"/>
            </w:pPr>
            <w:r>
              <w:rPr>
                <w:rFonts w:ascii="Arial" w:hAnsi="Arial"/>
                <w:b/>
                <w:color w:val="FFFFFF"/>
                <w:sz w:val="19"/>
              </w:rPr>
              <w:t>Kode KPI</w:t>
            </w:r>
          </w:p>
        </w:tc>
        <w:tc>
          <w:tcPr>
            <w:tcW w:type="dxa" w:w="3600"/>
            <w:shd w:fill="003366"/>
            <w:tcMar>
              <w:top w:w="120" w:type="dxa"/>
              <w:bottom w:w="120" w:type="dxa"/>
              <w:left w:w="140" w:type="dxa"/>
              <w:right w:w="140" w:type="dxa"/>
            </w:tcMar>
          </w:tcPr>
          <w:p>
            <w:pPr>
              <w:jc w:val="left"/>
            </w:pPr>
            <w:r>
              <w:rPr>
                <w:rFonts w:ascii="Arial" w:hAnsi="Arial"/>
                <w:b/>
                <w:color w:val="FFFFFF"/>
                <w:sz w:val="19"/>
              </w:rPr>
              <w:t>Indikator Kinerja Utama</w:t>
            </w:r>
          </w:p>
        </w:tc>
        <w:tc>
          <w:tcPr>
            <w:tcW w:type="dxa" w:w="1728"/>
            <w:shd w:fill="003366"/>
            <w:tcMar>
              <w:top w:w="120" w:type="dxa"/>
              <w:bottom w:w="120" w:type="dxa"/>
              <w:left w:w="140" w:type="dxa"/>
              <w:right w:w="140" w:type="dxa"/>
            </w:tcMar>
          </w:tcPr>
          <w:p>
            <w:pPr>
              <w:jc w:val="left"/>
            </w:pPr>
            <w:r>
              <w:rPr>
                <w:rFonts w:ascii="Arial" w:hAnsi="Arial"/>
                <w:b/>
                <w:color w:val="FFFFFF"/>
                <w:sz w:val="19"/>
              </w:rPr>
              <w:t>Baseline M2</w:t>
            </w:r>
          </w:p>
        </w:tc>
        <w:tc>
          <w:tcPr>
            <w:tcW w:type="dxa" w:w="1872"/>
            <w:shd w:fill="003366"/>
            <w:tcMar>
              <w:top w:w="120" w:type="dxa"/>
              <w:bottom w:w="120" w:type="dxa"/>
              <w:left w:w="140" w:type="dxa"/>
              <w:right w:w="140" w:type="dxa"/>
            </w:tcMar>
          </w:tcPr>
          <w:p>
            <w:pPr>
              <w:jc w:val="left"/>
            </w:pPr>
            <w:r>
              <w:rPr>
                <w:rFonts w:ascii="Arial" w:hAnsi="Arial"/>
                <w:b/>
                <w:color w:val="FFFFFF"/>
                <w:sz w:val="19"/>
              </w:rPr>
              <w:t>Target M13</w:t>
            </w:r>
          </w:p>
        </w:tc>
      </w:tr>
      <w:tr>
        <w:tc>
          <w:tcPr>
            <w:tcW w:type="dxa" w:w="2160"/>
            <w:shd w:fill="FFFFFF"/>
            <w:tcMar>
              <w:top w:w="100" w:type="dxa"/>
              <w:bottom w:w="100" w:type="dxa"/>
              <w:left w:w="140" w:type="dxa"/>
              <w:right w:w="140" w:type="dxa"/>
            </w:tcMar>
          </w:tcPr>
          <w:p>
            <w:r>
              <w:rPr>
                <w:rFonts w:ascii="Arial" w:hAnsi="Arial"/>
                <w:color w:val="333333"/>
                <w:sz w:val="18"/>
              </w:rPr>
              <w:t>KPI-1</w:t>
            </w:r>
          </w:p>
        </w:tc>
        <w:tc>
          <w:tcPr>
            <w:tcW w:type="dxa" w:w="3600"/>
            <w:shd w:fill="FFFFFF"/>
            <w:tcMar>
              <w:top w:w="100" w:type="dxa"/>
              <w:bottom w:w="100" w:type="dxa"/>
              <w:left w:w="140" w:type="dxa"/>
              <w:right w:w="140" w:type="dxa"/>
            </w:tcMar>
          </w:tcPr>
          <w:p>
            <w:r>
              <w:rPr>
                <w:rFonts w:ascii="Arial" w:hAnsi="Arial"/>
                <w:color w:val="333333"/>
                <w:sz w:val="18"/>
              </w:rPr>
              <w:t>Adopsi TOTP Massal (Mahasiswa, Dosen, Tendik)</w:t>
            </w:r>
          </w:p>
        </w:tc>
        <w:tc>
          <w:tcPr>
            <w:tcW w:type="dxa" w:w="1728"/>
            <w:shd w:fill="FFFFFF"/>
            <w:tcMar>
              <w:top w:w="100" w:type="dxa"/>
              <w:bottom w:w="100" w:type="dxa"/>
              <w:left w:w="140" w:type="dxa"/>
              <w:right w:w="140" w:type="dxa"/>
            </w:tcMar>
          </w:tcPr>
          <w:p>
            <w:r>
              <w:rPr>
                <w:rFonts w:ascii="Arial" w:hAnsi="Arial"/>
                <w:color w:val="333333"/>
                <w:sz w:val="18"/>
              </w:rPr>
              <w:t>0% (Non-Default)</w:t>
            </w:r>
          </w:p>
        </w:tc>
        <w:tc>
          <w:tcPr>
            <w:tcW w:type="dxa" w:w="1872"/>
            <w:shd w:fill="FFFFFF"/>
            <w:tcMar>
              <w:top w:w="100" w:type="dxa"/>
              <w:bottom w:w="100" w:type="dxa"/>
              <w:left w:w="140" w:type="dxa"/>
              <w:right w:w="140" w:type="dxa"/>
            </w:tcMar>
          </w:tcPr>
          <w:p>
            <w:r>
              <w:rPr>
                <w:rFonts w:ascii="Arial" w:hAnsi="Arial"/>
                <w:color w:val="333333"/>
                <w:sz w:val="18"/>
              </w:rPr>
              <w:t>&gt;85% (Q3) / 100% (Q4)</w:t>
            </w:r>
          </w:p>
        </w:tc>
      </w:tr>
      <w:tr>
        <w:tc>
          <w:tcPr>
            <w:tcW w:type="dxa" w:w="2160"/>
            <w:shd w:fill="F9FAFB"/>
            <w:tcMar>
              <w:top w:w="100" w:type="dxa"/>
              <w:bottom w:w="100" w:type="dxa"/>
              <w:left w:w="140" w:type="dxa"/>
              <w:right w:w="140" w:type="dxa"/>
            </w:tcMar>
          </w:tcPr>
          <w:p>
            <w:r>
              <w:rPr>
                <w:rFonts w:ascii="Arial" w:hAnsi="Arial"/>
                <w:color w:val="333333"/>
                <w:sz w:val="18"/>
              </w:rPr>
              <w:t>KPI-2</w:t>
            </w:r>
          </w:p>
        </w:tc>
        <w:tc>
          <w:tcPr>
            <w:tcW w:type="dxa" w:w="3600"/>
            <w:shd w:fill="F9FAFB"/>
            <w:tcMar>
              <w:top w:w="100" w:type="dxa"/>
              <w:bottom w:w="100" w:type="dxa"/>
              <w:left w:w="140" w:type="dxa"/>
              <w:right w:w="140" w:type="dxa"/>
            </w:tcMar>
          </w:tcPr>
          <w:p>
            <w:r>
              <w:rPr>
                <w:rFonts w:ascii="Arial" w:hAnsi="Arial"/>
                <w:color w:val="333333"/>
                <w:sz w:val="18"/>
              </w:rPr>
              <w:t>Adopsi WebAuthn/FIDO2 Akun Admin</w:t>
            </w:r>
          </w:p>
        </w:tc>
        <w:tc>
          <w:tcPr>
            <w:tcW w:type="dxa" w:w="1728"/>
            <w:shd w:fill="F9FAFB"/>
            <w:tcMar>
              <w:top w:w="100" w:type="dxa"/>
              <w:bottom w:w="100" w:type="dxa"/>
              <w:left w:w="140" w:type="dxa"/>
              <w:right w:w="140" w:type="dxa"/>
            </w:tcMar>
          </w:tcPr>
          <w:p>
            <w:r>
              <w:rPr>
                <w:rFonts w:ascii="Arial" w:hAnsi="Arial"/>
                <w:color w:val="333333"/>
                <w:sz w:val="18"/>
              </w:rPr>
              <w:t>0% (Faktor Tunggal)</w:t>
            </w:r>
          </w:p>
        </w:tc>
        <w:tc>
          <w:tcPr>
            <w:tcW w:type="dxa" w:w="1872"/>
            <w:shd w:fill="F9FAFB"/>
            <w:tcMar>
              <w:top w:w="100" w:type="dxa"/>
              <w:bottom w:w="100" w:type="dxa"/>
              <w:left w:w="140" w:type="dxa"/>
              <w:right w:w="140" w:type="dxa"/>
            </w:tcMar>
          </w:tcPr>
          <w:p>
            <w:r>
              <w:rPr>
                <w:rFonts w:ascii="Arial" w:hAnsi="Arial"/>
                <w:color w:val="333333"/>
                <w:sz w:val="18"/>
              </w:rPr>
              <w:t>100% (Q1 Admin, Q4 All)</w:t>
            </w:r>
          </w:p>
        </w:tc>
      </w:tr>
      <w:tr>
        <w:tc>
          <w:tcPr>
            <w:tcW w:type="dxa" w:w="2160"/>
            <w:shd w:fill="FFFFFF"/>
            <w:tcMar>
              <w:top w:w="100" w:type="dxa"/>
              <w:bottom w:w="100" w:type="dxa"/>
              <w:left w:w="140" w:type="dxa"/>
              <w:right w:w="140" w:type="dxa"/>
            </w:tcMar>
          </w:tcPr>
          <w:p>
            <w:r>
              <w:rPr>
                <w:rFonts w:ascii="Arial" w:hAnsi="Arial"/>
                <w:color w:val="333333"/>
                <w:sz w:val="18"/>
              </w:rPr>
              <w:t>KPI-4</w:t>
            </w:r>
          </w:p>
        </w:tc>
        <w:tc>
          <w:tcPr>
            <w:tcW w:type="dxa" w:w="3600"/>
            <w:shd w:fill="FFFFFF"/>
            <w:tcMar>
              <w:top w:w="100" w:type="dxa"/>
              <w:bottom w:w="100" w:type="dxa"/>
              <w:left w:w="140" w:type="dxa"/>
              <w:right w:w="140" w:type="dxa"/>
            </w:tcMar>
          </w:tcPr>
          <w:p>
            <w:r>
              <w:rPr>
                <w:rFonts w:ascii="Arial" w:hAnsi="Arial"/>
                <w:color w:val="333333"/>
                <w:sz w:val="18"/>
              </w:rPr>
              <w:t>Penegakan Kebijakan Password Policy</w:t>
            </w:r>
          </w:p>
        </w:tc>
        <w:tc>
          <w:tcPr>
            <w:tcW w:type="dxa" w:w="1728"/>
            <w:shd w:fill="FFFFFF"/>
            <w:tcMar>
              <w:top w:w="100" w:type="dxa"/>
              <w:bottom w:w="100" w:type="dxa"/>
              <w:left w:w="140" w:type="dxa"/>
              <w:right w:w="140" w:type="dxa"/>
            </w:tcMar>
          </w:tcPr>
          <w:p>
            <w:r>
              <w:rPr>
                <w:rFonts w:ascii="Arial" w:hAnsi="Arial"/>
                <w:color w:val="333333"/>
                <w:sz w:val="18"/>
              </w:rPr>
              <w:t>Kosong (T-06)</w:t>
            </w:r>
          </w:p>
        </w:tc>
        <w:tc>
          <w:tcPr>
            <w:tcW w:type="dxa" w:w="1872"/>
            <w:shd w:fill="FFFFFF"/>
            <w:tcMar>
              <w:top w:w="100" w:type="dxa"/>
              <w:bottom w:w="100" w:type="dxa"/>
              <w:left w:w="140" w:type="dxa"/>
              <w:right w:w="140" w:type="dxa"/>
            </w:tcMar>
          </w:tcPr>
          <w:p>
            <w:r>
              <w:rPr>
                <w:rFonts w:ascii="Arial" w:hAnsi="Arial"/>
                <w:color w:val="333333"/>
                <w:sz w:val="18"/>
              </w:rPr>
              <w:t>100% Enforced di Q1</w:t>
            </w:r>
          </w:p>
        </w:tc>
      </w:tr>
      <w:tr>
        <w:tc>
          <w:tcPr>
            <w:tcW w:type="dxa" w:w="2160"/>
            <w:shd w:fill="F9FAFB"/>
            <w:tcMar>
              <w:top w:w="100" w:type="dxa"/>
              <w:bottom w:w="100" w:type="dxa"/>
              <w:left w:w="140" w:type="dxa"/>
              <w:right w:w="140" w:type="dxa"/>
            </w:tcMar>
          </w:tcPr>
          <w:p>
            <w:r>
              <w:rPr>
                <w:rFonts w:ascii="Arial" w:hAnsi="Arial"/>
                <w:color w:val="333333"/>
                <w:sz w:val="18"/>
              </w:rPr>
              <w:t>KPI-5</w:t>
            </w:r>
          </w:p>
        </w:tc>
        <w:tc>
          <w:tcPr>
            <w:tcW w:type="dxa" w:w="3600"/>
            <w:shd w:fill="F9FAFB"/>
            <w:tcMar>
              <w:top w:w="100" w:type="dxa"/>
              <w:bottom w:w="100" w:type="dxa"/>
              <w:left w:w="140" w:type="dxa"/>
              <w:right w:w="140" w:type="dxa"/>
            </w:tcMar>
          </w:tcPr>
          <w:p>
            <w:r>
              <w:rPr>
                <w:rFonts w:ascii="Arial" w:hAnsi="Arial"/>
                <w:color w:val="333333"/>
                <w:sz w:val="18"/>
              </w:rPr>
              <w:t>Eliminasi Kata Sandi Default NIK/NIM</w:t>
            </w:r>
          </w:p>
        </w:tc>
        <w:tc>
          <w:tcPr>
            <w:tcW w:type="dxa" w:w="1728"/>
            <w:shd w:fill="F9FAFB"/>
            <w:tcMar>
              <w:top w:w="100" w:type="dxa"/>
              <w:bottom w:w="100" w:type="dxa"/>
              <w:left w:w="140" w:type="dxa"/>
              <w:right w:w="140" w:type="dxa"/>
            </w:tcMar>
          </w:tcPr>
          <w:p>
            <w:r>
              <w:rPr>
                <w:rFonts w:ascii="Arial" w:hAnsi="Arial"/>
                <w:color w:val="333333"/>
                <w:sz w:val="18"/>
              </w:rPr>
              <w:t>0% Terhapus</w:t>
            </w:r>
          </w:p>
        </w:tc>
        <w:tc>
          <w:tcPr>
            <w:tcW w:type="dxa" w:w="1872"/>
            <w:shd w:fill="F9FAFB"/>
            <w:tcMar>
              <w:top w:w="100" w:type="dxa"/>
              <w:bottom w:w="100" w:type="dxa"/>
              <w:left w:w="140" w:type="dxa"/>
              <w:right w:w="140" w:type="dxa"/>
            </w:tcMar>
          </w:tcPr>
          <w:p>
            <w:r>
              <w:rPr>
                <w:rFonts w:ascii="Arial" w:hAnsi="Arial"/>
                <w:color w:val="333333"/>
                <w:sz w:val="18"/>
              </w:rPr>
              <w:t>100% Terhapus di Q1</w:t>
            </w:r>
          </w:p>
        </w:tc>
      </w:tr>
      <w:tr>
        <w:tc>
          <w:tcPr>
            <w:tcW w:type="dxa" w:w="2160"/>
            <w:shd w:fill="FFFFFF"/>
            <w:tcMar>
              <w:top w:w="100" w:type="dxa"/>
              <w:bottom w:w="100" w:type="dxa"/>
              <w:left w:w="140" w:type="dxa"/>
              <w:right w:w="140" w:type="dxa"/>
            </w:tcMar>
          </w:tcPr>
          <w:p>
            <w:r>
              <w:rPr>
                <w:rFonts w:ascii="Arial" w:hAnsi="Arial"/>
                <w:color w:val="333333"/>
                <w:sz w:val="18"/>
              </w:rPr>
              <w:t>KPI-7</w:t>
            </w:r>
          </w:p>
        </w:tc>
        <w:tc>
          <w:tcPr>
            <w:tcW w:type="dxa" w:w="3600"/>
            <w:shd w:fill="FFFFFF"/>
            <w:tcMar>
              <w:top w:w="100" w:type="dxa"/>
              <w:bottom w:w="100" w:type="dxa"/>
              <w:left w:w="140" w:type="dxa"/>
              <w:right w:w="140" w:type="dxa"/>
            </w:tcMar>
          </w:tcPr>
          <w:p>
            <w:r>
              <w:rPr>
                <w:rFonts w:ascii="Arial" w:hAnsi="Arial"/>
                <w:color w:val="333333"/>
                <w:sz w:val="18"/>
              </w:rPr>
              <w:t>Penurunan Volume Tiket Helpdesk SMILE</w:t>
            </w:r>
          </w:p>
        </w:tc>
        <w:tc>
          <w:tcPr>
            <w:tcW w:type="dxa" w:w="1728"/>
            <w:shd w:fill="FFFFFF"/>
            <w:tcMar>
              <w:top w:w="100" w:type="dxa"/>
              <w:bottom w:w="100" w:type="dxa"/>
              <w:left w:w="140" w:type="dxa"/>
              <w:right w:w="140" w:type="dxa"/>
            </w:tcMar>
          </w:tcPr>
          <w:p>
            <w:r>
              <w:rPr>
                <w:rFonts w:ascii="Arial" w:hAnsi="Arial"/>
                <w:color w:val="333333"/>
                <w:sz w:val="18"/>
              </w:rPr>
              <w:t>2.624 Tiket (D-02)</w:t>
            </w:r>
          </w:p>
        </w:tc>
        <w:tc>
          <w:tcPr>
            <w:tcW w:type="dxa" w:w="1872"/>
            <w:shd w:fill="FFFFFF"/>
            <w:tcMar>
              <w:top w:w="100" w:type="dxa"/>
              <w:bottom w:w="100" w:type="dxa"/>
              <w:left w:w="140" w:type="dxa"/>
              <w:right w:w="140" w:type="dxa"/>
            </w:tcMar>
          </w:tcPr>
          <w:p>
            <w:r>
              <w:rPr>
                <w:rFonts w:ascii="Arial" w:hAnsi="Arial"/>
                <w:color w:val="333333"/>
                <w:sz w:val="18"/>
              </w:rPr>
              <w:t>Penurunan &gt;80% (&lt;500/th)</w:t>
            </w:r>
          </w:p>
        </w:tc>
      </w:tr>
      <w:tr>
        <w:tc>
          <w:tcPr>
            <w:tcW w:type="dxa" w:w="2160"/>
            <w:shd w:fill="F9FAFB"/>
            <w:tcMar>
              <w:top w:w="100" w:type="dxa"/>
              <w:bottom w:w="100" w:type="dxa"/>
              <w:left w:w="140" w:type="dxa"/>
              <w:right w:w="140" w:type="dxa"/>
            </w:tcMar>
          </w:tcPr>
          <w:p>
            <w:r>
              <w:rPr>
                <w:rFonts w:ascii="Arial" w:hAnsi="Arial"/>
                <w:color w:val="333333"/>
                <w:sz w:val="18"/>
              </w:rPr>
              <w:t>KPI-12</w:t>
            </w:r>
          </w:p>
        </w:tc>
        <w:tc>
          <w:tcPr>
            <w:tcW w:type="dxa" w:w="3600"/>
            <w:shd w:fill="F9FAFB"/>
            <w:tcMar>
              <w:top w:w="100" w:type="dxa"/>
              <w:bottom w:w="100" w:type="dxa"/>
              <w:left w:w="140" w:type="dxa"/>
              <w:right w:w="140" w:type="dxa"/>
            </w:tcMar>
          </w:tcPr>
          <w:p>
            <w:r>
              <w:rPr>
                <w:rFonts w:ascii="Arial" w:hAnsi="Arial"/>
                <w:color w:val="333333"/>
                <w:sz w:val="18"/>
              </w:rPr>
              <w:t>Kepatuhan Regulasi UU PDP No. 27/2022</w:t>
            </w:r>
          </w:p>
        </w:tc>
        <w:tc>
          <w:tcPr>
            <w:tcW w:type="dxa" w:w="1728"/>
            <w:shd w:fill="F9FAFB"/>
            <w:tcMar>
              <w:top w:w="100" w:type="dxa"/>
              <w:bottom w:w="100" w:type="dxa"/>
              <w:left w:w="140" w:type="dxa"/>
              <w:right w:w="140" w:type="dxa"/>
            </w:tcMar>
          </w:tcPr>
          <w:p>
            <w:r>
              <w:rPr>
                <w:rFonts w:ascii="Arial" w:hAnsi="Arial"/>
                <w:color w:val="333333"/>
                <w:sz w:val="18"/>
              </w:rPr>
              <w:t>Non-Compliant</w:t>
            </w:r>
          </w:p>
        </w:tc>
        <w:tc>
          <w:tcPr>
            <w:tcW w:type="dxa" w:w="1872"/>
            <w:shd w:fill="F9FAFB"/>
            <w:tcMar>
              <w:top w:w="100" w:type="dxa"/>
              <w:bottom w:w="100" w:type="dxa"/>
              <w:left w:w="140" w:type="dxa"/>
              <w:right w:w="140" w:type="dxa"/>
            </w:tcMar>
          </w:tcPr>
          <w:p>
            <w:r>
              <w:rPr>
                <w:rFonts w:ascii="Arial" w:hAnsi="Arial"/>
                <w:color w:val="333333"/>
                <w:sz w:val="18"/>
              </w:rPr>
              <w:t>100% Compliant (Audit)</w:t>
            </w:r>
          </w:p>
        </w:tc>
      </w:tr>
    </w:tbl>
    <w:p>
      <w:pPr>
        <w:keepNext/>
        <w:spacing w:before="360" w:after="160"/>
      </w:pPr>
      <w:r>
        <w:rPr>
          <w:rFonts w:ascii="Arial" w:hAnsi="Arial"/>
          <w:b/>
          <w:color w:val="003366"/>
          <w:sz w:val="28"/>
        </w:rPr>
        <w:t>BAB XIII: KESIMPULAN &amp; REKOMENDASI PENUTUP</w:t>
      </w:r>
    </w:p>
    <w:p>
      <w:pPr>
        <w:spacing w:after="120" w:line="276" w:lineRule="auto"/>
      </w:pPr>
      <w:r>
        <w:rPr>
          <w:rFonts w:ascii="Arial" w:hAnsi="Arial"/>
          <w:sz w:val="21"/>
        </w:rPr>
        <w:t>Perencanaan Strategis Sistem Informasi integrasi Multi-Factor Authentication (MFA) pada Single Sign-On (SSO) UIN Syarif Hidayatullah Jakarta menyimpulkan:</w:t>
      </w:r>
    </w:p>
    <w:p>
      <w:pPr>
        <w:pStyle w:val="ListBullet"/>
        <w:spacing w:after="60" w:line="276" w:lineRule="auto"/>
      </w:pPr>
      <w:r>
        <w:rPr>
          <w:rFonts w:ascii="Arial" w:hAnsi="Arial"/>
          <w:b/>
          <w:sz w:val="21"/>
        </w:rPr>
        <w:t xml:space="preserve">Tanpa Pembangunan Ulang Infrastruktur: </w:t>
      </w:r>
      <w:r>
        <w:rPr>
          <w:rFonts w:ascii="Arial" w:hAnsi="Arial"/>
          <w:sz w:val="21"/>
        </w:rPr>
        <w:t>Mengoptimalkan kapabilitas native platform Keycloak SSO yang sudah ada.</w:t>
      </w:r>
    </w:p>
    <w:p>
      <w:pPr>
        <w:pStyle w:val="ListBullet"/>
        <w:spacing w:after="60" w:line="276" w:lineRule="auto"/>
      </w:pPr>
      <w:r>
        <w:rPr>
          <w:rFonts w:ascii="Arial" w:hAnsi="Arial"/>
          <w:b/>
          <w:sz w:val="21"/>
        </w:rPr>
        <w:t xml:space="preserve">Bebas Biaya Lisensi Berulang: </w:t>
      </w:r>
      <w:r>
        <w:rPr>
          <w:rFonts w:ascii="Arial" w:hAnsi="Arial"/>
          <w:sz w:val="21"/>
        </w:rPr>
        <w:t>Memilih teknologi TOTP berbasis Authenticator Apps yang bebas biaya per-pesan.</w:t>
      </w:r>
    </w:p>
    <w:p>
      <w:pPr>
        <w:pStyle w:val="ListBullet"/>
        <w:spacing w:after="60" w:line="276" w:lineRule="auto"/>
      </w:pPr>
      <w:r>
        <w:rPr>
          <w:rFonts w:ascii="Arial" w:hAnsi="Arial"/>
          <w:b/>
          <w:sz w:val="21"/>
        </w:rPr>
        <w:t xml:space="preserve">Menutup Celah Kritis: </w:t>
      </w:r>
      <w:r>
        <w:rPr>
          <w:rFonts w:ascii="Arial" w:hAnsi="Arial"/>
          <w:sz w:val="21"/>
        </w:rPr>
        <w:t>Menghapuskan kata sandi default NIK, menegakkan Password Policy ketat, dan mengaktifkan verifikasi email mandiri.</w:t>
      </w:r>
    </w:p>
    <w:p>
      <w:pPr>
        <w:pStyle w:val="ListBullet"/>
        <w:spacing w:after="60" w:line="276" w:lineRule="auto"/>
      </w:pPr>
      <w:r>
        <w:rPr>
          <w:rFonts w:ascii="Arial" w:hAnsi="Arial"/>
          <w:b/>
          <w:sz w:val="21"/>
        </w:rPr>
        <w:t xml:space="preserve">Efisiensi Operasional: </w:t>
      </w:r>
      <w:r>
        <w:rPr>
          <w:rFonts w:ascii="Arial" w:hAnsi="Arial"/>
          <w:sz w:val="21"/>
        </w:rPr>
        <w:t>Memotong &gt;80% tiket manual SMILE melalui fitur Self-Service Identity Recovery.</w:t>
      </w:r>
    </w:p>
    <w:p>
      <w:pPr>
        <w:keepNext/>
        <w:spacing w:before="360" w:after="160"/>
      </w:pPr>
      <w:r>
        <w:rPr>
          <w:rFonts w:ascii="Arial" w:hAnsi="Arial"/>
          <w:b/>
          <w:color w:val="003366"/>
          <w:sz w:val="28"/>
        </w:rPr>
        <w:t>LAMPIRAN: REGISTER BUKTI TERDAFTAR (SOURCE REGISTER)</w:t>
      </w:r>
    </w:p>
    <w:p>
      <w:pPr>
        <w:spacing w:after="120" w:line="276" w:lineRule="auto"/>
      </w:pPr>
      <w:r>
        <w:rPr>
          <w:rFonts w:ascii="Arial" w:hAnsi="Arial"/>
          <w:sz w:val="21"/>
        </w:rPr>
        <w:t>Dokumen rencana strategis ini disusun berdasarkan 19 bukti terverifikasi:</w:t>
      </w:r>
    </w:p>
    <w:p>
      <w:pPr>
        <w:pStyle w:val="ListBullet"/>
        <w:spacing w:after="60" w:line="276" w:lineRule="auto"/>
      </w:pPr>
      <w:r>
        <w:rPr>
          <w:rFonts w:ascii="Arial" w:hAnsi="Arial"/>
          <w:b/>
          <w:sz w:val="21"/>
        </w:rPr>
        <w:t xml:space="preserve">S1 - S5 / D-01..D-03: </w:t>
      </w:r>
      <w:r>
        <w:rPr>
          <w:rFonts w:ascii="Arial" w:hAnsi="Arial"/>
          <w:sz w:val="21"/>
        </w:rPr>
        <w:t>Ward &amp; Peppard Paper, Tugas 2, Surat Wi-Fi SSO, Ekspor 2.624 Tiket SMILE (D-02), Panduan Wi-Fi SSO (D-03).</w:t>
      </w:r>
    </w:p>
    <w:p>
      <w:pPr>
        <w:pStyle w:val="ListBullet"/>
        <w:spacing w:after="60" w:line="276" w:lineRule="auto"/>
      </w:pPr>
      <w:r>
        <w:rPr>
          <w:rFonts w:ascii="Arial" w:hAnsi="Arial"/>
          <w:b/>
          <w:sz w:val="21"/>
        </w:rPr>
        <w:t xml:space="preserve">S6 - S16 / T-01..T-12: </w:t>
      </w:r>
      <w:r>
        <w:rPr>
          <w:rFonts w:ascii="Arial" w:hAnsi="Arial"/>
          <w:sz w:val="21"/>
        </w:rPr>
        <w:t>Tangkapan Layar Keycloak Admin Console (Server Info, User Federation, Login Events, Required Actions, Clients H1-H3, Password Policy Kosong, OTP Policy, Events Config, Client Scopes).</w:t>
      </w:r>
    </w:p>
    <w:p>
      <w:pPr>
        <w:pStyle w:val="ListBullet"/>
        <w:spacing w:after="60" w:line="276" w:lineRule="auto"/>
      </w:pPr>
      <w:r>
        <w:rPr>
          <w:rFonts w:ascii="Arial" w:hAnsi="Arial"/>
          <w:b/>
          <w:sz w:val="21"/>
        </w:rPr>
        <w:t xml:space="preserve">S17 - S19 / U-06..U-10: </w:t>
      </w:r>
      <w:r>
        <w:rPr>
          <w:rFonts w:ascii="Arial" w:hAnsi="Arial"/>
          <w:sz w:val="21"/>
        </w:rPr>
        <w:t>Konfirmasi data pengguna (Password Default Mhs/Dosen/Tendik U-06/U-07, Migrasi Mahasiswa Penuh &amp; Deaktivasi 3 Bulan Pasca LULUS U-09, Sync Real-Time eSDM &amp; Immediate Disable Nonaktif/DO U-10).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