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jc w:val="center"/>
      </w:pPr>
      <w:r>
        <w:rPr>
          <w:rFonts w:ascii="Times New Roman" w:hAnsi="Times New Roman"/>
          <w:b/>
          <w:sz w:val="32"/>
        </w:rPr>
        <w:t>Perencanaan Strategis Pengembangan Single Sign-On (SSO) Terintegrasi Multi-Factor Authentication (MFA) Menggunakan Metode Ward &amp; Peppard pada UIN Syarif Hidayatullah Jakarta</w:t>
      </w:r>
    </w:p>
    <w:p>
      <w:pPr>
        <w:spacing w:after="160"/>
        <w:jc w:val="center"/>
      </w:pPr>
      <w:r>
        <w:rPr>
          <w:rFonts w:ascii="Times New Roman" w:hAnsi="Times New Roman"/>
          <w:sz w:val="20"/>
        </w:rPr>
        <w:t>Wandy1*, Hanyudha2</w:t>
      </w:r>
    </w:p>
    <w:p>
      <w:pPr>
        <w:spacing w:after="80" w:line="252" w:lineRule="auto"/>
        <w:jc w:val="both"/>
      </w:pPr>
      <w:r>
        <w:rPr>
          <w:rFonts w:ascii="Times New Roman" w:hAnsi="Times New Roman"/>
          <w:b/>
          <w:i/>
          <w:sz w:val="17"/>
        </w:rPr>
        <w:t>Abstract—</w:t>
      </w:r>
      <w:r>
        <w:rPr>
          <w:rFonts w:ascii="Times New Roman" w:hAnsi="Times New Roman"/>
          <w:i/>
          <w:sz w:val="17"/>
        </w:rPr>
        <w:t>Single Sign-On (SSO) e-Semesta at UIN Syarif Hidayatullah Jakarta serves over 45,219 academic users across 44 integrated institutional clients using the Keycloak platform. However, empirical audits revealed critical vulnerabilities: empty password policies, predictable default passwords derived from national identity numbers (NIK/NIM), disabled email verification, and single-factor password reliance. This operational weakness resulted in 2,624 manual helpdesk support tickets and elevated compliance risks under Indonesian Personal Data Protection Law (UU PDP No. 27/2022). This study formulates a strategic information systems plan using the Ward &amp; Peppard framework, incorporating Value Chain, PESTEL, Keycloak console audits, SWOT/TOWS, and McFarlan Strategic Grid analyses. The strategic formulation delivers three pillars: an IS strategy enforcing MFA step-up across all 44 clients and self-service recovery; an IT strategy deploying zero-license-cost Time-based One-Time Password (TOTP) for bulk campus users and FIDO2/WebAuthn for privileged administrators; and an IS/IT management strategy establishing governance SOPs and 180-day audit log retention. The 12-month implementation roadmap targets an &gt;80% reduction in helpdesk tickets and full regulatory compliance.</w:t>
      </w:r>
    </w:p>
    <w:p>
      <w:pPr>
        <w:spacing w:after="120" w:line="252" w:lineRule="auto"/>
      </w:pPr>
      <w:r>
        <w:rPr>
          <w:rFonts w:ascii="Times New Roman" w:hAnsi="Times New Roman"/>
          <w:b/>
          <w:i/>
          <w:sz w:val="17"/>
        </w:rPr>
        <w:t>Index Terms—</w:t>
      </w:r>
      <w:r>
        <w:rPr>
          <w:rFonts w:ascii="Times New Roman" w:hAnsi="Times New Roman"/>
          <w:sz w:val="17"/>
        </w:rPr>
        <w:t>Single Sign-On (SSO), Multi-Factor Authentication (MFA), Ward &amp; Peppard, Keycloak, TOTP, FIDO2/WebAuthn, Information System Strategic Planning, Higher Education.</w:t>
      </w:r>
    </w:p>
    <w:p>
      <w:pPr>
        <w:spacing w:after="80" w:line="252" w:lineRule="auto"/>
        <w:jc w:val="both"/>
      </w:pPr>
      <w:r>
        <w:rPr>
          <w:rFonts w:ascii="Times New Roman" w:hAnsi="Times New Roman"/>
          <w:b/>
          <w:i/>
          <w:sz w:val="17"/>
        </w:rPr>
        <w:t>Abstrak—</w:t>
      </w:r>
      <w:r>
        <w:rPr>
          <w:rFonts w:ascii="Times New Roman" w:hAnsi="Times New Roman"/>
          <w:sz w:val="17"/>
        </w:rPr>
        <w:t>Sistem Single Sign-On (SSO) e-Semesta berbasis Keycloak pada UIN Syarif Hidayatullah Jakarta melayani 45.219 pengguna aktif dan terintegrasi dengan 44 aplikasi institusi. Namun, audit empiris mengidentifikasi celah keamanan kritis: Password Policy yang kosong, penggunaan kata sandi default terprediksi berbasis NIK/NIM, fitur Verify Email yang dinonaktifkan, serta ketergantungan pada autentikasi satu faktor. Kondisi ini memicu 2.624 tiket manual di helpdesk SMILE serta menciptakan risiko ketidakpatuhan terhadap UU No. 27 Tahun 2022 tentang Pelindungan Data Pribadi (UU PDP). Penelitian ini menyusun perencanaan strategis sistem informasi menggunakan metodologi Ward &amp; Peppard yang memadukan analisis Value Chain, PESTEL, audit konsol Keycloak, SWOT/TOWS, dan McFarlan Strategic Grid. Hasil formulasi merumuskan tiga pilar strategi: Strategi SI (integrasi MFA step-up pada 44 client dan portal pemulihan mandiri); Strategi TI (penerapan TOTP nirbiaya lisensi untuk 45rb sivitas akademika dan FIDO2/WebAuthn untuk akun admin/privileged); serta Strategi Manajemen SI/TI (penyusunan SOP resmi SSO dan retensi log audit 180 hari). Peta jalan 12 bulan ditargetkan memotong &gt;80% beban helpdesk dan menjamin kepatuhan regulasi institusi.</w:t>
      </w:r>
    </w:p>
    <w:p>
      <w:pPr>
        <w:spacing w:after="160" w:line="252" w:lineRule="auto"/>
      </w:pPr>
      <w:r>
        <w:rPr>
          <w:rFonts w:ascii="Times New Roman" w:hAnsi="Times New Roman"/>
          <w:b/>
          <w:i/>
          <w:sz w:val="17"/>
        </w:rPr>
        <w:t>Kata Kunci—</w:t>
      </w:r>
      <w:r>
        <w:rPr>
          <w:rFonts w:ascii="Times New Roman" w:hAnsi="Times New Roman"/>
          <w:sz w:val="17"/>
        </w:rPr>
        <w:t>Single Sign-On (SSO), Multi-Factor Authentication (MFA), Ward &amp; Peppard, Keycloak, TOTP, FIDO2/WebAuthn, Perencanaan Strategis SI/TI, UIN Syarif Hidayatullah Jakarta.</w:t>
      </w:r>
    </w:p>
    <w:p>
      <w:pPr>
        <w:spacing w:before="80" w:after="160" w:line="240" w:lineRule="auto"/>
      </w:pPr>
      <w:r>
        <w:rPr>
          <w:rFonts w:ascii="Times New Roman" w:hAnsi="Times New Roman"/>
          <w:i/>
          <w:color w:val="444444"/>
          <w:sz w:val="15"/>
        </w:rPr>
        <w:t>____________________________________________________</w:t>
        <w:br/>
        <w:t>Artikel penelitian perencanaan strategis SI/TI UIN Syarif Hidayatullah Jakarta.</w:t>
        <w:br/>
        <w:t>*Penulis Korespondensi (Corresponding author).</w:t>
        <w:br/>
        <w:t>1Wandy, Program Studi Sistem Informasi, Fakultas Sains dan Teknologi, UIN Syarif Hidayatullah Jakarta (e-mail: author@uinjkt.ac.id).</w:t>
        <w:br/>
        <w:t>2Hanyudha, Pusat Teknologi Informasi dan Pangkalan Data (PUSTIPANDA), UIN Syarif Hidayatullah Jakarta (e-mail: pustipanda@uinjkt.ac.id).</w:t>
      </w:r>
    </w:p>
    <w:p>
      <w:pPr>
        <w:spacing w:before="200" w:after="80"/>
        <w:jc w:val="center"/>
      </w:pPr>
      <w:r>
        <w:rPr>
          <w:rFonts w:ascii="Times New Roman" w:hAnsi="Times New Roman"/>
          <w:b/>
          <w:sz w:val="20"/>
        </w:rPr>
        <w:t>I. INTRODUCTION</w:t>
      </w:r>
    </w:p>
    <w:p>
      <w:pPr>
        <w:spacing w:before="0" w:after="60" w:line="252" w:lineRule="auto"/>
        <w:ind w:firstLine="259"/>
        <w:jc w:val="both"/>
      </w:pPr>
      <w:r>
        <w:rPr>
          <w:rFonts w:ascii="Times New Roman" w:hAnsi="Times New Roman"/>
          <w:sz w:val="19"/>
        </w:rPr>
        <w:t>Transformasi digital pada institusi pendidikan tinggi negeri menuntut infrastruktur manajemen identitas dan akses yang aman, efisien, dan andal. Universitas Islam Negeri (UIN) Syarif Hidayatullah Jakarta telah mengoperasikan sistem Single Sign-On (SSO) terpusat, dikenal sebagai portal e-Semesta, yang dibangun di atas platform open-source Keycloak (realm SSOUIN) dan dikelola oleh Unit Pelaksana Teknis Pusat Teknologi Informasi dan Pangkalan Data (PUSTIPANDA) [1]. Sistem ini melayani lebih dari 45.219 pengguna aktif—terdiri atas 42.088 mahasiswa, 1.593 dosen, dan 1.438 tenaga kependidikan—serta mengorkestrasi autentikasi akses ke 44 aplikasi institusional seperti eAkademik, eRegistrasi, eSDM, eFinansi, eKinerja, hingga jaringan nirkabel kampus Wi-Fi SSO [2].</w:t>
      </w:r>
    </w:p>
    <w:p>
      <w:pPr>
        <w:spacing w:before="0" w:after="60" w:line="252" w:lineRule="auto"/>
        <w:ind w:firstLine="259"/>
        <w:jc w:val="both"/>
      </w:pPr>
      <w:r>
        <w:rPr>
          <w:rFonts w:ascii="Times New Roman" w:hAnsi="Times New Roman"/>
          <w:sz w:val="19"/>
        </w:rPr>
        <w:t>Kendati SSO e-Semesta berhasil mengonsolidasikan direktori identitas kampus, evaluasi empiris terhadap konfigurasi operasional mengungkap celah keamanan mendasar yang sangat rentan: autentikasi masih sepenuhnya bertumpu pada faktor tunggal berupa kata sandi (single-factor password). Audit konsol administratif Keycloak mengonfirmasi bahwa aturan kebijakan kata sandi (Password Policy) saat ini berada dalam kondisi KOSONG tanpa penegakan kompleksitas minimum, masa kedaluwarsa, maupun pemeriksaan daftar kata sandi bocor [3].</w:t>
      </w:r>
    </w:p>
    <w:p>
      <w:pPr>
        <w:spacing w:before="0" w:after="60" w:line="252" w:lineRule="auto"/>
        <w:ind w:firstLine="259"/>
        <w:jc w:val="both"/>
      </w:pPr>
      <w:r>
        <w:rPr>
          <w:rFonts w:ascii="Times New Roman" w:hAnsi="Times New Roman"/>
          <w:sz w:val="19"/>
        </w:rPr>
        <w:t>Lebih mengkhawatirkan, kata sandi bawaan (default password) pengguna baru masih menggunakan format terprediksi berbasis data publik kependudukan, yaitu kombinasi prefiks dan Nomor Induk Kependudukan (NIK) bagi mahasiswa serta NIK murni bagi dosen dan tenaga kependidikan. Di samping itu, fitur verifikasi email mandiri (Verify Email) dalam kondisi dinonaktifkan (DISABLED), dan fitur Configure OTP belum dijadikan sebagai tindakan wajib (Required Action). Kerapuhan ini berdampak langsung pada operasional meja bantuan (helpdesk) SMILE PUSTIPANDA, yang mencatat 2.624 tiket manual terkait keluhan lupa kata sandi dan kendala login [4].</w:t>
      </w:r>
    </w:p>
    <w:p>
      <w:pPr>
        <w:spacing w:before="0" w:after="60" w:line="252" w:lineRule="auto"/>
        <w:ind w:firstLine="259"/>
        <w:jc w:val="both"/>
      </w:pPr>
      <w:r>
        <w:rPr>
          <w:rFonts w:ascii="Times New Roman" w:hAnsi="Times New Roman"/>
          <w:sz w:val="19"/>
        </w:rPr>
        <w:t>Secara yuridis, ketiadaan Multi-Factor Authentication (MFA) dan kata sandi default terprediksi menempatkan universitas pada posisi rentan terhadap sanksi Undang-Undang No. 27 Tahun 2022 tentang Pelindungan Data Pribadi (UU PDP). Pasal 35 UU PDP mewajibkan Pengendali Data Pribadi untuk menjamin keamanan teknis dan operasional data yang diproses. Oleh sebab itu, diperlukan perencanaan strategis sistem informasi komprehensif menggunakan metodologi Ward &amp; Peppard untuk mentransformasikan SSO e-Semesta menuju arsitektur autentikasi multi-faktor yang kokoh, nirbiaya lisensi, dan berkelanjutan.</w:t>
      </w:r>
    </w:p>
    <w:p>
      <w:pPr>
        <w:spacing w:before="200" w:after="80"/>
        <w:jc w:val="center"/>
      </w:pPr>
      <w:r>
        <w:rPr>
          <w:rFonts w:ascii="Times New Roman" w:hAnsi="Times New Roman"/>
          <w:b/>
          <w:sz w:val="20"/>
        </w:rPr>
        <w:t>II. RELATED WORK</w:t>
      </w:r>
    </w:p>
    <w:p>
      <w:pPr>
        <w:spacing w:before="0" w:after="60" w:line="252" w:lineRule="auto"/>
        <w:ind w:firstLine="259"/>
        <w:jc w:val="both"/>
      </w:pPr>
      <w:r>
        <w:rPr>
          <w:rFonts w:ascii="Times New Roman" w:hAnsi="Times New Roman"/>
          <w:sz w:val="19"/>
        </w:rPr>
        <w:t>Perencanaan strategis SI/TI di sektor pendidikan tinggi telah banyak memanfaatkan kerangka kerja Ward &amp; Peppard karena kemampuannya memadukan perspektif bisnis dan teknologi secara seimbang [1], [5]. Framework ini menganalisis empat lingkungan: lingkungan bisnis internal, lingkungan bisnis eksternal, lingkungan SI/TI internal, dan lingkungan SI/TI eksternal, untuk menghasilkan tiga portofolio strategi: IS Strategy, IT Strategy, dan IS/IT Management Strategy.</w:t>
      </w:r>
    </w:p>
    <w:p>
      <w:pPr>
        <w:spacing w:before="0" w:after="60" w:line="252" w:lineRule="auto"/>
        <w:ind w:firstLine="259"/>
        <w:jc w:val="both"/>
      </w:pPr>
      <w:r>
        <w:rPr>
          <w:rFonts w:ascii="Times New Roman" w:hAnsi="Times New Roman"/>
          <w:sz w:val="19"/>
        </w:rPr>
        <w:t>Dalam ranah autentikasi terpusat, Single Sign-On berbasis standar terbuka seperti OpenID Connect (OIDC) dan SAML 2.0 yang diorkestrasi oleh Keycloak terbukti mampu memangkas kelelahan kata sandi (password fatigue) dan mengisolasi logika autentikasi dari kode sumber aplikasi klien [6]. Namun, para peneliti keamanan menegaskan bahwa SSO faktor tunggal menciptakan titik kerentanan tunggal (Single Point of Failure/SPoF) [7]. Sekali kredensial pengguna terkompromi melalui teknik phishing atau credential stuffing, penyerang otomatis memperoleh tiket akses ke seluruh sistem informasi terhubung.</w:t>
      </w:r>
    </w:p>
    <w:p>
      <w:pPr>
        <w:spacing w:before="0" w:after="60" w:line="252" w:lineRule="auto"/>
        <w:ind w:firstLine="259"/>
        <w:jc w:val="both"/>
      </w:pPr>
      <w:r>
        <w:rPr>
          <w:rFonts w:ascii="Times New Roman" w:hAnsi="Times New Roman"/>
          <w:sz w:val="19"/>
        </w:rPr>
        <w:t>Penerapan Multi-Factor Authentication (MFA) diakui secara global sebagai mitigasi paling efektif. Tinjauan teknologi MFA mengidentifikasi beberapa rumpun: Time-based One-Time Password (TOTP RFC 6238), FIDO2/WebAuthn hardware tokens, Push Notification, dan Out-of-band SMS/Email OTP [8]. Penelitian terdahulu di lingkungan universitas menunjukkan bahwa solusi berbasis SMS OTP tidak berkelanjutan karena memicu pembengkakan anggaran operasional pengiriman pesan komersial [9]. Sebaliknya, TOTP berbasis aplikasi seluler (Google/Microsoft Authenticator) dan standar WebAuthn menawarkan keunggulan bebas biaya lisensi yang sangat ideal bagi populasi kampus masif.</w:t>
      </w:r>
    </w:p>
    <w:p>
      <w:pPr>
        <w:spacing w:before="200" w:after="80"/>
        <w:jc w:val="center"/>
      </w:pPr>
      <w:r>
        <w:rPr>
          <w:rFonts w:ascii="Times New Roman" w:hAnsi="Times New Roman"/>
          <w:b/>
          <w:sz w:val="20"/>
        </w:rPr>
        <w:t>III. RESEARCH METHOD</w:t>
      </w:r>
    </w:p>
    <w:p>
      <w:pPr>
        <w:spacing w:before="0" w:after="60" w:line="252" w:lineRule="auto"/>
        <w:ind w:firstLine="259"/>
        <w:jc w:val="both"/>
      </w:pPr>
      <w:r>
        <w:rPr>
          <w:rFonts w:ascii="Times New Roman" w:hAnsi="Times New Roman"/>
          <w:sz w:val="19"/>
        </w:rPr>
        <w:t>Penelitian ini mengimplementasikan kerangka kerja perencanaan strategis Ward &amp; Peppard yang dieksekusi secara ketat melalui 15 milestone terstruktur (Milestone M0 hingga Milestone M14) dengan alur penelusuran berbasis bukti (evidence-based traceability) [10].</w:t>
      </w:r>
    </w:p>
    <w:p>
      <w:pPr>
        <w:spacing w:before="120" w:after="40"/>
        <w:jc w:val="left"/>
      </w:pPr>
      <w:r>
        <w:rPr>
          <w:rFonts w:ascii="Times New Roman" w:hAnsi="Times New Roman"/>
          <w:b/>
          <w:i/>
          <w:sz w:val="19"/>
        </w:rPr>
        <w:t>A. Pengumpulan dan Pendaftaran Bukti (Evidence Register)</w:t>
      </w:r>
    </w:p>
    <w:p>
      <w:pPr>
        <w:spacing w:before="0" w:after="60" w:line="252" w:lineRule="auto"/>
        <w:jc w:val="both"/>
      </w:pPr>
      <w:r>
        <w:rPr>
          <w:rFonts w:ascii="Times New Roman" w:hAnsi="Times New Roman"/>
          <w:sz w:val="19"/>
        </w:rPr>
        <w:t>Seluruh analisis dibangun di atas data faktual yang didokumentasikan dalam Source Register (S1 hingga S19), mencakup:</w:t>
      </w:r>
    </w:p>
    <w:p>
      <w:pPr>
        <w:spacing w:before="0" w:after="60" w:line="252" w:lineRule="auto"/>
        <w:ind w:firstLine="259"/>
        <w:jc w:val="both"/>
      </w:pPr>
      <w:r>
        <w:rPr>
          <w:rFonts w:ascii="Times New Roman" w:hAnsi="Times New Roman"/>
          <w:sz w:val="19"/>
        </w:rPr>
        <w:t>1. 12 Bukti Teknis Tangkapan Layar Konsol Admin Keycloak (T-01 s/d T-12): Server Info, User Federation REST Migration, Login Events, Required Actions, Clients Halaman 1-3, Password Policy kosong, OTP Policy, Events Config, dan Client Scopes.</w:t>
      </w:r>
    </w:p>
    <w:p>
      <w:pPr>
        <w:spacing w:before="0" w:after="60" w:line="252" w:lineRule="auto"/>
        <w:ind w:firstLine="259"/>
        <w:jc w:val="both"/>
      </w:pPr>
      <w:r>
        <w:rPr>
          <w:rFonts w:ascii="Times New Roman" w:hAnsi="Times New Roman"/>
          <w:sz w:val="19"/>
        </w:rPr>
        <w:t>2. 3 Dokumen Operasional Resmi (D-01 s/d D-03): Surat Implementasi Wi-Fi SSO (B-42/UPT.2/TI.05.04/04/2026), Ekspor 2.624 Tiket SMILE (D-02), dan Panduan Akses Jaringan.</w:t>
      </w:r>
    </w:p>
    <w:p>
      <w:pPr>
        <w:spacing w:before="0" w:after="60" w:line="252" w:lineRule="auto"/>
        <w:ind w:firstLine="259"/>
        <w:jc w:val="both"/>
      </w:pPr>
      <w:r>
        <w:rPr>
          <w:rFonts w:ascii="Times New Roman" w:hAnsi="Times New Roman"/>
          <w:sz w:val="19"/>
        </w:rPr>
        <w:t>3. 10 Data Faktual Pengguna (U-01 s/d U-10): Statistik sivitas akademika, pola kata sandi default NIK/NIM, siklus hidup penonaktifan akun lulusan 3 bulan pasca kelulusan, dan sinkronisasi real-time eSDM.</w:t>
      </w:r>
    </w:p>
    <w:p>
      <w:pPr>
        <w:spacing w:before="120" w:after="40"/>
        <w:jc w:val="left"/>
      </w:pPr>
      <w:r>
        <w:rPr>
          <w:rFonts w:ascii="Times New Roman" w:hAnsi="Times New Roman"/>
          <w:b/>
          <w:i/>
          <w:sz w:val="19"/>
        </w:rPr>
        <w:t>B. Tahapan Analisis Ward &amp; Peppard</w:t>
      </w:r>
    </w:p>
    <w:p>
      <w:pPr>
        <w:spacing w:before="0" w:after="60" w:line="252" w:lineRule="auto"/>
        <w:ind w:firstLine="259"/>
        <w:jc w:val="both"/>
      </w:pPr>
      <w:r>
        <w:rPr>
          <w:rFonts w:ascii="Times New Roman" w:hAnsi="Times New Roman"/>
          <w:sz w:val="19"/>
        </w:rPr>
        <w:t>1. Analisis Lingkungan Bisnis Internal: Memetakan proses bisnis inti tridharma perguruan tinggi dan rantai nilai (Value Chain) yang bergantung pada SSO.</w:t>
      </w:r>
    </w:p>
    <w:p>
      <w:pPr>
        <w:spacing w:before="0" w:after="60" w:line="252" w:lineRule="auto"/>
        <w:ind w:firstLine="259"/>
        <w:jc w:val="both"/>
      </w:pPr>
      <w:r>
        <w:rPr>
          <w:rFonts w:ascii="Times New Roman" w:hAnsi="Times New Roman"/>
          <w:sz w:val="19"/>
        </w:rPr>
        <w:t>2. Analisis Lingkungan Bisnis Eksternal: Analisis PESTEL (Politik, Ekonomi, Sosial, Teknologi, Lingkungan, Legal) dengan fokus kepatuhan UU PDP No. 27/2022 dan regulasi SPBE.</w:t>
      </w:r>
    </w:p>
    <w:p>
      <w:pPr>
        <w:spacing w:before="0" w:after="60" w:line="252" w:lineRule="auto"/>
        <w:ind w:firstLine="259"/>
        <w:jc w:val="both"/>
      </w:pPr>
      <w:r>
        <w:rPr>
          <w:rFonts w:ascii="Times New Roman" w:hAnsi="Times New Roman"/>
          <w:sz w:val="19"/>
        </w:rPr>
        <w:t>3. Analisis Lingkungan SI/TI Internal: Audit infrastruktur Keycloak IdP, integrasi REST API User Federation, dan konfigurasi keamanan eksisting.</w:t>
      </w:r>
    </w:p>
    <w:p>
      <w:pPr>
        <w:spacing w:before="0" w:after="60" w:line="252" w:lineRule="auto"/>
        <w:ind w:firstLine="259"/>
        <w:jc w:val="both"/>
      </w:pPr>
      <w:r>
        <w:rPr>
          <w:rFonts w:ascii="Times New Roman" w:hAnsi="Times New Roman"/>
          <w:sz w:val="19"/>
        </w:rPr>
        <w:t>4. Analisis Lingkungan SI/TI Eksternal: Evaluasi komparatif 5 rumpun teknologi MFA terhadap kriteria biaya, resistensi phishing, dan kesesuaian kampus.</w:t>
      </w:r>
    </w:p>
    <w:p>
      <w:pPr>
        <w:spacing w:before="0" w:after="60" w:line="252" w:lineRule="auto"/>
        <w:ind w:firstLine="259"/>
        <w:jc w:val="both"/>
      </w:pPr>
      <w:r>
        <w:rPr>
          <w:rFonts w:ascii="Times New Roman" w:hAnsi="Times New Roman"/>
          <w:sz w:val="19"/>
        </w:rPr>
        <w:t>5. Sintesis SWOT dan Matriks TOWS: Merumuskan strategi SO, WO, ST, dan WT serta menetapkan 4 isu strategis terprioritas (IS-1 s/d IS-4).</w:t>
      </w:r>
    </w:p>
    <w:p>
      <w:pPr>
        <w:spacing w:before="0" w:after="60" w:line="252" w:lineRule="auto"/>
        <w:ind w:firstLine="259"/>
        <w:jc w:val="both"/>
      </w:pPr>
      <w:r>
        <w:rPr>
          <w:rFonts w:ascii="Times New Roman" w:hAnsi="Times New Roman"/>
          <w:sz w:val="19"/>
        </w:rPr>
        <w:t>6. Analisis Kesenjangan (Gap Analysis): Membandingkan kondisi saat ini (As-Is) terhadap kondisi target (To-Be) pada 7 dimensi.</w:t>
      </w:r>
    </w:p>
    <w:p>
      <w:pPr>
        <w:spacing w:before="0" w:after="60" w:line="252" w:lineRule="auto"/>
        <w:ind w:firstLine="259"/>
        <w:jc w:val="both"/>
      </w:pPr>
      <w:r>
        <w:rPr>
          <w:rFonts w:ascii="Times New Roman" w:hAnsi="Times New Roman"/>
          <w:sz w:val="19"/>
        </w:rPr>
        <w:t>7. Formulasi Strategi &amp; Peta Jalan: Merumuskan strategi SI, TI, dan Manajemen, merancang arsitektur target, memetakan McFarlan Grid, menyusun roadmap 12 bulan, dan menetapkan 12 KPI terukur.</w:t>
      </w:r>
    </w:p>
    <w:p>
      <w:pPr>
        <w:spacing w:before="200" w:after="80"/>
        <w:jc w:val="center"/>
      </w:pPr>
      <w:r>
        <w:rPr>
          <w:rFonts w:ascii="Times New Roman" w:hAnsi="Times New Roman"/>
          <w:b/>
          <w:sz w:val="20"/>
        </w:rPr>
        <w:t>IV. RESULT AND DISCUSSION</w:t>
      </w:r>
    </w:p>
    <w:p>
      <w:pPr>
        <w:spacing w:before="120" w:after="40"/>
        <w:jc w:val="left"/>
      </w:pPr>
      <w:r>
        <w:rPr>
          <w:rFonts w:ascii="Times New Roman" w:hAnsi="Times New Roman"/>
          <w:b/>
          <w:i/>
          <w:sz w:val="19"/>
        </w:rPr>
        <w:t>A. Evaluasi Kondisi Eksisting SSO e-Semesta (Keycloak)</w:t>
      </w:r>
    </w:p>
    <w:p>
      <w:pPr>
        <w:spacing w:before="0" w:after="60" w:line="252" w:lineRule="auto"/>
        <w:ind w:firstLine="259"/>
        <w:jc w:val="both"/>
      </w:pPr>
      <w:r>
        <w:rPr>
          <w:rFonts w:ascii="Times New Roman" w:hAnsi="Times New Roman"/>
          <w:sz w:val="19"/>
        </w:rPr>
        <w:t>SSO e-Semesta UIN Syarif Hidayatullah Jakarta beroperasi pada lingkungan produksi app-sso.uinjkt.ac.id menggunakan Keycloak versi Quarkus. Hasil penelusuran konsol administratif membuktikan 44 klien aplikasi terdaftar (eAkademik, eRegistrasi, eSDM, Wi-Fi SSO, PLO, dll.). Federasi identitas dosen dan tendik dikelola secara real-time melalui REST Client esdm-sync-service (T-11, U-10), sedangkan data mahasiswa telah dimigrasi penuh ke pangkalan data lokal Keycloak (U-09).</w:t>
      </w:r>
    </w:p>
    <w:p>
      <w:pPr>
        <w:spacing w:before="0" w:after="60" w:line="252" w:lineRule="auto"/>
        <w:ind w:firstLine="259"/>
        <w:jc w:val="both"/>
      </w:pPr>
      <w:r>
        <w:rPr>
          <w:rFonts w:ascii="Times New Roman" w:hAnsi="Times New Roman"/>
          <w:sz w:val="19"/>
        </w:rPr>
        <w:t>Meskipun infrastruktur dasar berjalan stabil, audit menemukan kelemahan postur keamanan kritis yang dirangkum pada Tabel 1.</w:t>
      </w:r>
    </w:p>
    <w:p>
      <w:pPr>
        <w:spacing w:before="80" w:after="40"/>
        <w:jc w:val="center"/>
      </w:pPr>
      <w:r>
        <w:rPr>
          <w:rFonts w:ascii="Times New Roman" w:hAnsi="Times New Roman"/>
          <w:b/>
          <w:sz w:val="16"/>
        </w:rPr>
        <w:t>Table 1. Evaluasi Bukti Teknis Konsol Keycloak SSO</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D0D0D0"/>
          <w:insideV w:val="none"/>
        </w:tblBorders>
      </w:tblPr>
      <w:tblGrid>
        <w:gridCol w:w="3346"/>
        <w:gridCol w:w="3346"/>
        <w:gridCol w:w="3346"/>
      </w:tblGrid>
      <w:tr>
        <w:tc>
          <w:tcPr>
            <w:tcW w:type="dxa" w:w="1584"/>
            <w:shd w:fill="EAEAEA"/>
            <w:tcMar>
              <w:top w:w="40" w:type="dxa"/>
              <w:bottom w:w="40" w:type="dxa"/>
              <w:left w:w="50" w:type="dxa"/>
              <w:right w:w="50" w:type="dxa"/>
            </w:tcMar>
          </w:tcPr>
          <w:p>
            <w:pPr>
              <w:spacing w:before="20" w:after="20" w:line="240" w:lineRule="auto"/>
              <w:jc w:val="center"/>
            </w:pPr>
            <w:r>
              <w:rPr>
                <w:rFonts w:ascii="Times New Roman" w:hAnsi="Times New Roman"/>
                <w:b/>
                <w:i w:val="0"/>
                <w:color w:val="000000"/>
                <w:sz w:val="14"/>
              </w:rPr>
              <w:t>Komponen Konfigurasi</w:t>
            </w:r>
          </w:p>
        </w:tc>
        <w:tc>
          <w:tcPr>
            <w:tcW w:type="dxa" w:w="1584"/>
            <w:shd w:fill="EAEAEA"/>
            <w:tcMar>
              <w:top w:w="40" w:type="dxa"/>
              <w:bottom w:w="40" w:type="dxa"/>
              <w:left w:w="50" w:type="dxa"/>
              <w:right w:w="50" w:type="dxa"/>
            </w:tcMar>
          </w:tcPr>
          <w:p>
            <w:pPr>
              <w:spacing w:before="20" w:after="20" w:line="240" w:lineRule="auto"/>
              <w:jc w:val="center"/>
            </w:pPr>
            <w:r>
              <w:rPr>
                <w:rFonts w:ascii="Times New Roman" w:hAnsi="Times New Roman"/>
                <w:b/>
                <w:i w:val="0"/>
                <w:color w:val="000000"/>
                <w:sz w:val="14"/>
              </w:rPr>
              <w:t>Status Eksisting (As-Is)</w:t>
            </w:r>
          </w:p>
        </w:tc>
        <w:tc>
          <w:tcPr>
            <w:tcW w:type="dxa" w:w="1584"/>
            <w:shd w:fill="EAEAEA"/>
            <w:tcMar>
              <w:top w:w="40" w:type="dxa"/>
              <w:bottom w:w="40" w:type="dxa"/>
              <w:left w:w="50" w:type="dxa"/>
              <w:right w:w="50" w:type="dxa"/>
            </w:tcMar>
          </w:tcPr>
          <w:p>
            <w:pPr>
              <w:spacing w:before="20" w:after="20" w:line="240" w:lineRule="auto"/>
              <w:jc w:val="center"/>
            </w:pPr>
            <w:r>
              <w:rPr>
                <w:rFonts w:ascii="Times New Roman" w:hAnsi="Times New Roman"/>
                <w:b/>
                <w:i w:val="0"/>
                <w:color w:val="000000"/>
                <w:sz w:val="14"/>
              </w:rPr>
              <w:t>Tingkat Risiko &amp; Dampak</w:t>
            </w:r>
          </w:p>
        </w:tc>
      </w:tr>
      <w:tr>
        <w:tc>
          <w:tcPr>
            <w:tcW w:type="dxa" w:w="1584"/>
            <w:tcMar>
              <w:top w:w="30" w:type="dxa"/>
              <w:bottom w:w="30" w:type="dxa"/>
              <w:left w:w="50" w:type="dxa"/>
              <w:right w:w="50" w:type="dxa"/>
            </w:tcMar>
          </w:tcPr>
          <w:p>
            <w:pPr>
              <w:spacing w:before="20" w:after="20" w:line="240" w:lineRule="auto"/>
              <w:jc w:val="left"/>
            </w:pPr>
            <w:r>
              <w:rPr>
                <w:rFonts w:ascii="Times New Roman" w:hAnsi="Times New Roman"/>
                <w:b/>
                <w:i w:val="0"/>
                <w:color w:val="000000"/>
                <w:sz w:val="14"/>
              </w:rPr>
              <w:t>Password Policy (T-06)</w:t>
            </w:r>
          </w:p>
        </w:tc>
        <w:tc>
          <w:tcPr>
            <w:tcW w:type="dxa" w:w="1584"/>
            <w:tcMar>
              <w:top w:w="30" w:type="dxa"/>
              <w:bottom w:w="30" w:type="dxa"/>
              <w:left w:w="50" w:type="dxa"/>
              <w:right w:w="50" w:type="dxa"/>
            </w:tcMar>
          </w:tcPr>
          <w:p>
            <w:pPr>
              <w:spacing w:before="20" w:after="20" w:line="240" w:lineRule="auto"/>
              <w:jc w:val="left"/>
            </w:pPr>
            <w:r>
              <w:rPr>
                <w:rFonts w:ascii="Times New Roman" w:hAnsi="Times New Roman"/>
                <w:b w:val="0"/>
                <w:i w:val="0"/>
                <w:color w:val="000000"/>
                <w:sz w:val="14"/>
              </w:rPr>
              <w:t>KOSONG / Tidak ada aturan</w:t>
            </w:r>
          </w:p>
        </w:tc>
        <w:tc>
          <w:tcPr>
            <w:tcW w:type="dxa" w:w="1584"/>
            <w:tcMar>
              <w:top w:w="30" w:type="dxa"/>
              <w:bottom w:w="30" w:type="dxa"/>
              <w:left w:w="50" w:type="dxa"/>
              <w:right w:w="50" w:type="dxa"/>
            </w:tcMar>
          </w:tcPr>
          <w:p>
            <w:pPr>
              <w:spacing w:before="20" w:after="20" w:line="240" w:lineRule="auto"/>
              <w:jc w:val="left"/>
            </w:pPr>
            <w:r>
              <w:rPr>
                <w:rFonts w:ascii="Times New Roman" w:hAnsi="Times New Roman"/>
                <w:b w:val="0"/>
                <w:i w:val="0"/>
                <w:color w:val="000000"/>
                <w:sz w:val="14"/>
              </w:rPr>
              <w:t>KRITIS (Kata sandi lemah mudah ditebak)</w:t>
            </w:r>
          </w:p>
        </w:tc>
      </w:tr>
      <w:tr>
        <w:tc>
          <w:tcPr>
            <w:tcW w:type="dxa" w:w="1584"/>
            <w:tcMar>
              <w:top w:w="30" w:type="dxa"/>
              <w:bottom w:w="30" w:type="dxa"/>
              <w:left w:w="50" w:type="dxa"/>
              <w:right w:w="50" w:type="dxa"/>
            </w:tcMar>
          </w:tcPr>
          <w:p>
            <w:pPr>
              <w:spacing w:before="20" w:after="20" w:line="240" w:lineRule="auto"/>
              <w:jc w:val="left"/>
            </w:pPr>
            <w:r>
              <w:rPr>
                <w:rFonts w:ascii="Times New Roman" w:hAnsi="Times New Roman"/>
                <w:b/>
                <w:i w:val="0"/>
                <w:color w:val="000000"/>
                <w:sz w:val="14"/>
              </w:rPr>
              <w:t>Default Password (U-06)</w:t>
            </w:r>
          </w:p>
        </w:tc>
        <w:tc>
          <w:tcPr>
            <w:tcW w:type="dxa" w:w="1584"/>
            <w:tcMar>
              <w:top w:w="30" w:type="dxa"/>
              <w:bottom w:w="30" w:type="dxa"/>
              <w:left w:w="50" w:type="dxa"/>
              <w:right w:w="50" w:type="dxa"/>
            </w:tcMar>
          </w:tcPr>
          <w:p>
            <w:pPr>
              <w:spacing w:before="20" w:after="20" w:line="240" w:lineRule="auto"/>
              <w:jc w:val="left"/>
            </w:pPr>
            <w:r>
              <w:rPr>
                <w:rFonts w:ascii="Times New Roman" w:hAnsi="Times New Roman"/>
                <w:b w:val="0"/>
                <w:i w:val="0"/>
                <w:color w:val="000000"/>
                <w:sz w:val="14"/>
              </w:rPr>
              <w:t>Mhs+NIK / NIK Dosen</w:t>
            </w:r>
          </w:p>
        </w:tc>
        <w:tc>
          <w:tcPr>
            <w:tcW w:type="dxa" w:w="1584"/>
            <w:tcMar>
              <w:top w:w="30" w:type="dxa"/>
              <w:bottom w:w="30" w:type="dxa"/>
              <w:left w:w="50" w:type="dxa"/>
              <w:right w:w="50" w:type="dxa"/>
            </w:tcMar>
          </w:tcPr>
          <w:p>
            <w:pPr>
              <w:spacing w:before="20" w:after="20" w:line="240" w:lineRule="auto"/>
              <w:jc w:val="left"/>
            </w:pPr>
            <w:r>
              <w:rPr>
                <w:rFonts w:ascii="Times New Roman" w:hAnsi="Times New Roman"/>
                <w:b w:val="0"/>
                <w:i w:val="0"/>
                <w:color w:val="000000"/>
                <w:sz w:val="14"/>
              </w:rPr>
              <w:t>KRITIS (Data NIK publik rentan dibajak)</w:t>
            </w:r>
          </w:p>
        </w:tc>
      </w:tr>
      <w:tr>
        <w:tc>
          <w:tcPr>
            <w:tcW w:type="dxa" w:w="1584"/>
            <w:tcMar>
              <w:top w:w="30" w:type="dxa"/>
              <w:bottom w:w="30" w:type="dxa"/>
              <w:left w:w="50" w:type="dxa"/>
              <w:right w:w="50" w:type="dxa"/>
            </w:tcMar>
          </w:tcPr>
          <w:p>
            <w:pPr>
              <w:spacing w:before="20" w:after="20" w:line="240" w:lineRule="auto"/>
              <w:jc w:val="left"/>
            </w:pPr>
            <w:r>
              <w:rPr>
                <w:rFonts w:ascii="Times New Roman" w:hAnsi="Times New Roman"/>
                <w:b/>
                <w:i w:val="0"/>
                <w:color w:val="000000"/>
                <w:sz w:val="14"/>
              </w:rPr>
              <w:t>MFA / OTP Policy (T-04)</w:t>
            </w:r>
          </w:p>
        </w:tc>
        <w:tc>
          <w:tcPr>
            <w:tcW w:type="dxa" w:w="1584"/>
            <w:tcMar>
              <w:top w:w="30" w:type="dxa"/>
              <w:bottom w:w="30" w:type="dxa"/>
              <w:left w:w="50" w:type="dxa"/>
              <w:right w:w="50" w:type="dxa"/>
            </w:tcMar>
          </w:tcPr>
          <w:p>
            <w:pPr>
              <w:spacing w:before="20" w:after="20" w:line="240" w:lineRule="auto"/>
              <w:jc w:val="left"/>
            </w:pPr>
            <w:r>
              <w:rPr>
                <w:rFonts w:ascii="Times New Roman" w:hAnsi="Times New Roman"/>
                <w:b w:val="0"/>
                <w:i w:val="0"/>
                <w:color w:val="000000"/>
                <w:sz w:val="14"/>
              </w:rPr>
              <w:t>Configure OTP Non-Default</w:t>
            </w:r>
          </w:p>
        </w:tc>
        <w:tc>
          <w:tcPr>
            <w:tcW w:type="dxa" w:w="1584"/>
            <w:tcMar>
              <w:top w:w="30" w:type="dxa"/>
              <w:bottom w:w="30" w:type="dxa"/>
              <w:left w:w="50" w:type="dxa"/>
              <w:right w:w="50" w:type="dxa"/>
            </w:tcMar>
          </w:tcPr>
          <w:p>
            <w:pPr>
              <w:spacing w:before="20" w:after="20" w:line="240" w:lineRule="auto"/>
              <w:jc w:val="left"/>
            </w:pPr>
            <w:r>
              <w:rPr>
                <w:rFonts w:ascii="Times New Roman" w:hAnsi="Times New Roman"/>
                <w:b w:val="0"/>
                <w:i w:val="0"/>
                <w:color w:val="000000"/>
                <w:sz w:val="14"/>
              </w:rPr>
              <w:t>TINGGI (Hanya login faktor tunggal)</w:t>
            </w:r>
          </w:p>
        </w:tc>
      </w:tr>
      <w:tr>
        <w:tc>
          <w:tcPr>
            <w:tcW w:type="dxa" w:w="1584"/>
            <w:tcMar>
              <w:top w:w="30" w:type="dxa"/>
              <w:bottom w:w="30" w:type="dxa"/>
              <w:left w:w="50" w:type="dxa"/>
              <w:right w:w="50" w:type="dxa"/>
            </w:tcMar>
          </w:tcPr>
          <w:p>
            <w:pPr>
              <w:spacing w:before="20" w:after="20" w:line="240" w:lineRule="auto"/>
              <w:jc w:val="left"/>
            </w:pPr>
            <w:r>
              <w:rPr>
                <w:rFonts w:ascii="Times New Roman" w:hAnsi="Times New Roman"/>
                <w:b/>
                <w:i w:val="0"/>
                <w:color w:val="000000"/>
                <w:sz w:val="14"/>
              </w:rPr>
              <w:t>Verify Email (T-04)</w:t>
            </w:r>
          </w:p>
        </w:tc>
        <w:tc>
          <w:tcPr>
            <w:tcW w:type="dxa" w:w="1584"/>
            <w:tcMar>
              <w:top w:w="30" w:type="dxa"/>
              <w:bottom w:w="30" w:type="dxa"/>
              <w:left w:w="50" w:type="dxa"/>
              <w:right w:w="50" w:type="dxa"/>
            </w:tcMar>
          </w:tcPr>
          <w:p>
            <w:pPr>
              <w:spacing w:before="20" w:after="20" w:line="240" w:lineRule="auto"/>
              <w:jc w:val="left"/>
            </w:pPr>
            <w:r>
              <w:rPr>
                <w:rFonts w:ascii="Times New Roman" w:hAnsi="Times New Roman"/>
                <w:b w:val="0"/>
                <w:i w:val="0"/>
                <w:color w:val="000000"/>
                <w:sz w:val="14"/>
              </w:rPr>
              <w:t>DISABLED</w:t>
            </w:r>
          </w:p>
        </w:tc>
        <w:tc>
          <w:tcPr>
            <w:tcW w:type="dxa" w:w="1584"/>
            <w:tcMar>
              <w:top w:w="30" w:type="dxa"/>
              <w:bottom w:w="30" w:type="dxa"/>
              <w:left w:w="50" w:type="dxa"/>
              <w:right w:w="50" w:type="dxa"/>
            </w:tcMar>
          </w:tcPr>
          <w:p>
            <w:pPr>
              <w:spacing w:before="20" w:after="20" w:line="240" w:lineRule="auto"/>
              <w:jc w:val="left"/>
            </w:pPr>
            <w:r>
              <w:rPr>
                <w:rFonts w:ascii="Times New Roman" w:hAnsi="Times New Roman"/>
                <w:b w:val="0"/>
                <w:i w:val="0"/>
                <w:color w:val="000000"/>
                <w:sz w:val="14"/>
              </w:rPr>
              <w:t>TINGGI (Email pemulihan tidak terverifikasi)</w:t>
            </w:r>
          </w:p>
        </w:tc>
      </w:tr>
      <w:tr>
        <w:tc>
          <w:tcPr>
            <w:tcW w:type="dxa" w:w="1584"/>
            <w:tcMar>
              <w:top w:w="30" w:type="dxa"/>
              <w:bottom w:w="30" w:type="dxa"/>
              <w:left w:w="50" w:type="dxa"/>
              <w:right w:w="50" w:type="dxa"/>
            </w:tcMar>
          </w:tcPr>
          <w:p>
            <w:pPr>
              <w:spacing w:before="20" w:after="20" w:line="240" w:lineRule="auto"/>
              <w:jc w:val="left"/>
            </w:pPr>
            <w:r>
              <w:rPr>
                <w:rFonts w:ascii="Times New Roman" w:hAnsi="Times New Roman"/>
                <w:b/>
                <w:i w:val="0"/>
                <w:color w:val="000000"/>
                <w:sz w:val="14"/>
              </w:rPr>
              <w:t>Log Expiration (T-08)</w:t>
            </w:r>
          </w:p>
        </w:tc>
        <w:tc>
          <w:tcPr>
            <w:tcW w:type="dxa" w:w="1584"/>
            <w:tcMar>
              <w:top w:w="30" w:type="dxa"/>
              <w:bottom w:w="30" w:type="dxa"/>
              <w:left w:w="50" w:type="dxa"/>
              <w:right w:w="50" w:type="dxa"/>
            </w:tcMar>
          </w:tcPr>
          <w:p>
            <w:pPr>
              <w:spacing w:before="20" w:after="20" w:line="240" w:lineRule="auto"/>
              <w:jc w:val="left"/>
            </w:pPr>
            <w:r>
              <w:rPr>
                <w:rFonts w:ascii="Times New Roman" w:hAnsi="Times New Roman"/>
                <w:b w:val="0"/>
                <w:i w:val="0"/>
                <w:color w:val="000000"/>
                <w:sz w:val="14"/>
              </w:rPr>
              <w:t>Expiration KOSONG</w:t>
            </w:r>
          </w:p>
        </w:tc>
        <w:tc>
          <w:tcPr>
            <w:tcW w:type="dxa" w:w="1584"/>
            <w:tcMar>
              <w:top w:w="30" w:type="dxa"/>
              <w:bottom w:w="30" w:type="dxa"/>
              <w:left w:w="50" w:type="dxa"/>
              <w:right w:w="50" w:type="dxa"/>
            </w:tcMar>
          </w:tcPr>
          <w:p>
            <w:pPr>
              <w:spacing w:before="20" w:after="20" w:line="240" w:lineRule="auto"/>
              <w:jc w:val="left"/>
            </w:pPr>
            <w:r>
              <w:rPr>
                <w:rFonts w:ascii="Times New Roman" w:hAnsi="Times New Roman"/>
                <w:b w:val="0"/>
                <w:i w:val="0"/>
                <w:color w:val="000000"/>
                <w:sz w:val="14"/>
              </w:rPr>
              <w:t>SEDANG (Log audit berisiko hilang/penuh)</w:t>
            </w:r>
          </w:p>
        </w:tc>
      </w:tr>
    </w:tbl>
    <w:p>
      <w:pPr>
        <w:spacing w:after="80"/>
      </w:pPr>
    </w:p>
    <w:p>
      <w:pPr>
        <w:spacing w:before="120" w:after="40"/>
        <w:jc w:val="left"/>
      </w:pPr>
      <w:r>
        <w:rPr>
          <w:rFonts w:ascii="Times New Roman" w:hAnsi="Times New Roman"/>
          <w:b/>
          <w:i/>
          <w:sz w:val="19"/>
        </w:rPr>
        <w:t>B. Analisis Lingkungan Bisnis dan PESTEL</w:t>
      </w:r>
    </w:p>
    <w:p>
      <w:pPr>
        <w:spacing w:before="0" w:after="60" w:line="252" w:lineRule="auto"/>
        <w:ind w:firstLine="259"/>
        <w:jc w:val="both"/>
      </w:pPr>
      <w:r>
        <w:rPr>
          <w:rFonts w:ascii="Times New Roman" w:hAnsi="Times New Roman"/>
          <w:sz w:val="19"/>
        </w:rPr>
        <w:t>Analisis PESTEL menggarisbawahi faktor pendorong utama transformasi autentikasi:</w:t>
      </w:r>
    </w:p>
    <w:p>
      <w:pPr>
        <w:spacing w:before="0" w:after="60" w:line="252" w:lineRule="auto"/>
        <w:ind w:firstLine="259"/>
        <w:jc w:val="both"/>
      </w:pPr>
      <w:r>
        <w:rPr>
          <w:rFonts w:ascii="Times New Roman" w:hAnsi="Times New Roman"/>
          <w:sz w:val="19"/>
        </w:rPr>
        <w:t>1. Politik &amp; Legal: Kebijakan Arsitektur SPBE Nasional dan pemberlakuan UU PDP No. 27/2022. Kegagalan melindungi data sivitas akademika berakibat sanksi administratif dan hukum.</w:t>
      </w:r>
    </w:p>
    <w:p>
      <w:pPr>
        <w:spacing w:before="0" w:after="60" w:line="252" w:lineRule="auto"/>
        <w:ind w:firstLine="259"/>
        <w:jc w:val="both"/>
      </w:pPr>
      <w:r>
        <w:rPr>
          <w:rFonts w:ascii="Times New Roman" w:hAnsi="Times New Roman"/>
          <w:sz w:val="19"/>
        </w:rPr>
        <w:t>2. Ekonomi: Penanganan 2.624 tiket manual SMILE menghabiskan jam kerja staf helpdesk. Efisiensi operasional dapat dicapai melalui otomasi pemulihan mandiri.</w:t>
      </w:r>
    </w:p>
    <w:p>
      <w:pPr>
        <w:spacing w:before="0" w:after="60" w:line="252" w:lineRule="auto"/>
        <w:ind w:firstLine="259"/>
        <w:jc w:val="both"/>
      </w:pPr>
      <w:r>
        <w:rPr>
          <w:rFonts w:ascii="Times New Roman" w:hAnsi="Times New Roman"/>
          <w:sz w:val="19"/>
        </w:rPr>
        <w:t>3. Sosial &amp; Teknologi: Mahasiswa mengharapkan login yang mulus dan modern di ponsel pintar, didukung ketersediaan algoritma TOTP bawaan pada Keycloak tanpa biaya lisensi tambahan.</w:t>
      </w:r>
    </w:p>
    <w:p>
      <w:pPr>
        <w:spacing w:before="120" w:after="40"/>
        <w:jc w:val="left"/>
      </w:pPr>
      <w:r>
        <w:rPr>
          <w:rFonts w:ascii="Times New Roman" w:hAnsi="Times New Roman"/>
          <w:b/>
          <w:i/>
          <w:sz w:val="19"/>
        </w:rPr>
        <w:t>C. Analisis SWOT dan Isu Strategis Terprioritas</w:t>
      </w:r>
    </w:p>
    <w:p>
      <w:pPr>
        <w:spacing w:before="0" w:after="60" w:line="252" w:lineRule="auto"/>
        <w:ind w:firstLine="259"/>
        <w:jc w:val="both"/>
      </w:pPr>
      <w:r>
        <w:rPr>
          <w:rFonts w:ascii="Times New Roman" w:hAnsi="Times New Roman"/>
          <w:sz w:val="19"/>
        </w:rPr>
        <w:t>Matriks TOWS mengonstruksi 4 strategi kunci: (1) SO: Memanfaatkan kapabilitas native TOTP/WebAuthn Keycloak untuk memenuhi standar UU PDP pada 44 klien aplikasi; (2) WO: Mengaktifkan Password Policy dan Verify Email untuk menekan tiket SMILE; (3) ST: Mewajibkan MFA untuk menangkal serangan credential stuffing; dan (4) WT: Menghentikan password NIK dan menerapkan hardware token bagi admin.</w:t>
      </w:r>
    </w:p>
    <w:p>
      <w:pPr>
        <w:spacing w:before="0" w:after="60" w:line="252" w:lineRule="auto"/>
        <w:ind w:firstLine="259"/>
        <w:jc w:val="both"/>
      </w:pPr>
      <w:r>
        <w:rPr>
          <w:rFonts w:ascii="Times New Roman" w:hAnsi="Times New Roman"/>
          <w:sz w:val="19"/>
        </w:rPr>
        <w:t>Dari analisis tersebut, ditetapkan 4 Isu Strategis Terprioritas: IS-1 (P1-Kritis): Penghapusan Kata Sandi NIK dan Enforce Password Policy; IS-2 (P2-Kritis): Penerapan MFA Bertahap Berbasis Risiko; IS-3 (P3-Tinggi): Sistem Pemulihan Akun Mandiri (Self-Service Recovery); IS-4 (P4-Sedang): Tata Kelola SOP SSO dan Retensi Log 180 Hari.</w:t>
      </w:r>
    </w:p>
    <w:p>
      <w:pPr>
        <w:spacing w:before="120" w:after="40"/>
        <w:jc w:val="left"/>
      </w:pPr>
      <w:r>
        <w:rPr>
          <w:rFonts w:ascii="Times New Roman" w:hAnsi="Times New Roman"/>
          <w:b/>
          <w:i/>
          <w:sz w:val="19"/>
        </w:rPr>
        <w:t>D. Analisis Kesenjangan (Gap Analysis)</w:t>
      </w:r>
    </w:p>
    <w:p>
      <w:pPr>
        <w:spacing w:before="0" w:after="60" w:line="252" w:lineRule="auto"/>
        <w:ind w:firstLine="259"/>
        <w:jc w:val="both"/>
      </w:pPr>
      <w:r>
        <w:rPr>
          <w:rFonts w:ascii="Times New Roman" w:hAnsi="Times New Roman"/>
          <w:sz w:val="19"/>
        </w:rPr>
        <w:t>Perbandingan kondisi eksisting (As-Is) terhadap kondisi target (To-Be) dipetakan pada Tabel 2 untuk menjadi dasar perumusan inisiatif aksi.</w:t>
      </w:r>
    </w:p>
    <w:p>
      <w:pPr>
        <w:spacing w:before="80" w:after="40"/>
        <w:jc w:val="center"/>
      </w:pPr>
      <w:r>
        <w:rPr>
          <w:rFonts w:ascii="Times New Roman" w:hAnsi="Times New Roman"/>
          <w:b/>
          <w:sz w:val="16"/>
        </w:rPr>
        <w:t>Table 2. Analisis Kesenjangan As-Is vs To-Be</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D0D0D0"/>
          <w:insideV w:val="none"/>
        </w:tblBorders>
      </w:tblPr>
      <w:tblGrid>
        <w:gridCol w:w="3346"/>
        <w:gridCol w:w="3346"/>
        <w:gridCol w:w="3346"/>
      </w:tblGrid>
      <w:tr>
        <w:tc>
          <w:tcPr>
            <w:tcW w:type="dxa" w:w="1296"/>
            <w:shd w:fill="EAEAEA"/>
            <w:tcMar>
              <w:top w:w="40" w:type="dxa"/>
              <w:bottom w:w="40" w:type="dxa"/>
              <w:left w:w="50" w:type="dxa"/>
              <w:right w:w="50" w:type="dxa"/>
            </w:tcMar>
          </w:tcPr>
          <w:p>
            <w:pPr>
              <w:spacing w:before="20" w:after="20" w:line="240" w:lineRule="auto"/>
              <w:jc w:val="center"/>
            </w:pPr>
            <w:r>
              <w:rPr>
                <w:rFonts w:ascii="Times New Roman" w:hAnsi="Times New Roman"/>
                <w:b/>
                <w:i w:val="0"/>
                <w:color w:val="000000"/>
                <w:sz w:val="14"/>
              </w:rPr>
              <w:t>Dimensi</w:t>
            </w:r>
          </w:p>
        </w:tc>
        <w:tc>
          <w:tcPr>
            <w:tcW w:type="dxa" w:w="1728"/>
            <w:shd w:fill="EAEAEA"/>
            <w:tcMar>
              <w:top w:w="40" w:type="dxa"/>
              <w:bottom w:w="40" w:type="dxa"/>
              <w:left w:w="50" w:type="dxa"/>
              <w:right w:w="50" w:type="dxa"/>
            </w:tcMar>
          </w:tcPr>
          <w:p>
            <w:pPr>
              <w:spacing w:before="20" w:after="20" w:line="240" w:lineRule="auto"/>
              <w:jc w:val="center"/>
            </w:pPr>
            <w:r>
              <w:rPr>
                <w:rFonts w:ascii="Times New Roman" w:hAnsi="Times New Roman"/>
                <w:b/>
                <w:i w:val="0"/>
                <w:color w:val="000000"/>
                <w:sz w:val="14"/>
              </w:rPr>
              <w:t>Kondisi Eksisting (As-Is)</w:t>
            </w:r>
          </w:p>
        </w:tc>
        <w:tc>
          <w:tcPr>
            <w:tcW w:type="dxa" w:w="1728"/>
            <w:shd w:fill="EAEAEA"/>
            <w:tcMar>
              <w:top w:w="40" w:type="dxa"/>
              <w:bottom w:w="40" w:type="dxa"/>
              <w:left w:w="50" w:type="dxa"/>
              <w:right w:w="50" w:type="dxa"/>
            </w:tcMar>
          </w:tcPr>
          <w:p>
            <w:pPr>
              <w:spacing w:before="20" w:after="20" w:line="240" w:lineRule="auto"/>
              <w:jc w:val="center"/>
            </w:pPr>
            <w:r>
              <w:rPr>
                <w:rFonts w:ascii="Times New Roman" w:hAnsi="Times New Roman"/>
                <w:b/>
                <w:i w:val="0"/>
                <w:color w:val="000000"/>
                <w:sz w:val="14"/>
              </w:rPr>
              <w:t>Kondisi Target (To-Be)</w:t>
            </w:r>
          </w:p>
        </w:tc>
      </w:tr>
      <w:tr>
        <w:tc>
          <w:tcPr>
            <w:tcW w:type="dxa" w:w="1296"/>
            <w:tcMar>
              <w:top w:w="30" w:type="dxa"/>
              <w:bottom w:w="30" w:type="dxa"/>
              <w:left w:w="50" w:type="dxa"/>
              <w:right w:w="50" w:type="dxa"/>
            </w:tcMar>
          </w:tcPr>
          <w:p>
            <w:pPr>
              <w:spacing w:before="20" w:after="20" w:line="240" w:lineRule="auto"/>
              <w:jc w:val="left"/>
            </w:pPr>
            <w:r>
              <w:rPr>
                <w:rFonts w:ascii="Times New Roman" w:hAnsi="Times New Roman"/>
                <w:b/>
                <w:i w:val="0"/>
                <w:color w:val="000000"/>
                <w:sz w:val="14"/>
              </w:rPr>
              <w:t>MFA</w:t>
            </w:r>
          </w:p>
        </w:tc>
        <w:tc>
          <w:tcPr>
            <w:tcW w:type="dxa" w:w="1728"/>
            <w:tcMar>
              <w:top w:w="30" w:type="dxa"/>
              <w:bottom w:w="30" w:type="dxa"/>
              <w:left w:w="50" w:type="dxa"/>
              <w:right w:w="50" w:type="dxa"/>
            </w:tcMar>
          </w:tcPr>
          <w:p>
            <w:pPr>
              <w:spacing w:before="20" w:after="20" w:line="240" w:lineRule="auto"/>
              <w:jc w:val="left"/>
            </w:pPr>
            <w:r>
              <w:rPr>
                <w:rFonts w:ascii="Times New Roman" w:hAnsi="Times New Roman"/>
                <w:b w:val="0"/>
                <w:i w:val="0"/>
                <w:color w:val="000000"/>
                <w:sz w:val="14"/>
              </w:rPr>
              <w:t>Configure OTP non-default</w:t>
            </w:r>
          </w:p>
        </w:tc>
        <w:tc>
          <w:tcPr>
            <w:tcW w:type="dxa" w:w="1728"/>
            <w:tcMar>
              <w:top w:w="30" w:type="dxa"/>
              <w:bottom w:w="30" w:type="dxa"/>
              <w:left w:w="50" w:type="dxa"/>
              <w:right w:w="50" w:type="dxa"/>
            </w:tcMar>
          </w:tcPr>
          <w:p>
            <w:pPr>
              <w:spacing w:before="20" w:after="20" w:line="240" w:lineRule="auto"/>
              <w:jc w:val="left"/>
            </w:pPr>
            <w:r>
              <w:rPr>
                <w:rFonts w:ascii="Times New Roman" w:hAnsi="Times New Roman"/>
                <w:b w:val="0"/>
                <w:i w:val="0"/>
                <w:color w:val="000000"/>
                <w:sz w:val="14"/>
              </w:rPr>
              <w:t>Wajib TOTP massal, WebAuthn admin</w:t>
            </w:r>
          </w:p>
        </w:tc>
      </w:tr>
      <w:tr>
        <w:tc>
          <w:tcPr>
            <w:tcW w:type="dxa" w:w="1296"/>
            <w:tcMar>
              <w:top w:w="30" w:type="dxa"/>
              <w:bottom w:w="30" w:type="dxa"/>
              <w:left w:w="50" w:type="dxa"/>
              <w:right w:w="50" w:type="dxa"/>
            </w:tcMar>
          </w:tcPr>
          <w:p>
            <w:pPr>
              <w:spacing w:before="20" w:after="20" w:line="240" w:lineRule="auto"/>
              <w:jc w:val="left"/>
            </w:pPr>
            <w:r>
              <w:rPr>
                <w:rFonts w:ascii="Times New Roman" w:hAnsi="Times New Roman"/>
                <w:b/>
                <w:i w:val="0"/>
                <w:color w:val="000000"/>
                <w:sz w:val="14"/>
              </w:rPr>
              <w:t>Kebijakan</w:t>
            </w:r>
          </w:p>
        </w:tc>
        <w:tc>
          <w:tcPr>
            <w:tcW w:type="dxa" w:w="1728"/>
            <w:tcMar>
              <w:top w:w="30" w:type="dxa"/>
              <w:bottom w:w="30" w:type="dxa"/>
              <w:left w:w="50" w:type="dxa"/>
              <w:right w:w="50" w:type="dxa"/>
            </w:tcMar>
          </w:tcPr>
          <w:p>
            <w:pPr>
              <w:spacing w:before="20" w:after="20" w:line="240" w:lineRule="auto"/>
              <w:jc w:val="left"/>
            </w:pPr>
            <w:r>
              <w:rPr>
                <w:rFonts w:ascii="Times New Roman" w:hAnsi="Times New Roman"/>
                <w:b w:val="0"/>
                <w:i w:val="0"/>
                <w:color w:val="000000"/>
                <w:sz w:val="14"/>
              </w:rPr>
              <w:t>Password Policy KOSONG</w:t>
            </w:r>
          </w:p>
        </w:tc>
        <w:tc>
          <w:tcPr>
            <w:tcW w:type="dxa" w:w="1728"/>
            <w:tcMar>
              <w:top w:w="30" w:type="dxa"/>
              <w:bottom w:w="30" w:type="dxa"/>
              <w:left w:w="50" w:type="dxa"/>
              <w:right w:w="50" w:type="dxa"/>
            </w:tcMar>
          </w:tcPr>
          <w:p>
            <w:pPr>
              <w:spacing w:before="20" w:after="20" w:line="240" w:lineRule="auto"/>
              <w:jc w:val="left"/>
            </w:pPr>
            <w:r>
              <w:rPr>
                <w:rFonts w:ascii="Times New Roman" w:hAnsi="Times New Roman"/>
                <w:b w:val="0"/>
                <w:i w:val="0"/>
                <w:color w:val="000000"/>
                <w:sz w:val="14"/>
              </w:rPr>
              <w:t>Policy kuat (min 8 char, angka, simbol)</w:t>
            </w:r>
          </w:p>
        </w:tc>
      </w:tr>
      <w:tr>
        <w:tc>
          <w:tcPr>
            <w:tcW w:type="dxa" w:w="1296"/>
            <w:tcMar>
              <w:top w:w="30" w:type="dxa"/>
              <w:bottom w:w="30" w:type="dxa"/>
              <w:left w:w="50" w:type="dxa"/>
              <w:right w:w="50" w:type="dxa"/>
            </w:tcMar>
          </w:tcPr>
          <w:p>
            <w:pPr>
              <w:spacing w:before="20" w:after="20" w:line="240" w:lineRule="auto"/>
              <w:jc w:val="left"/>
            </w:pPr>
            <w:r>
              <w:rPr>
                <w:rFonts w:ascii="Times New Roman" w:hAnsi="Times New Roman"/>
                <w:b/>
                <w:i w:val="0"/>
                <w:color w:val="000000"/>
                <w:sz w:val="14"/>
              </w:rPr>
              <w:t>Kredensial</w:t>
            </w:r>
          </w:p>
        </w:tc>
        <w:tc>
          <w:tcPr>
            <w:tcW w:type="dxa" w:w="1728"/>
            <w:tcMar>
              <w:top w:w="30" w:type="dxa"/>
              <w:bottom w:w="30" w:type="dxa"/>
              <w:left w:w="50" w:type="dxa"/>
              <w:right w:w="50" w:type="dxa"/>
            </w:tcMar>
          </w:tcPr>
          <w:p>
            <w:pPr>
              <w:spacing w:before="20" w:after="20" w:line="240" w:lineRule="auto"/>
              <w:jc w:val="left"/>
            </w:pPr>
            <w:r>
              <w:rPr>
                <w:rFonts w:ascii="Times New Roman" w:hAnsi="Times New Roman"/>
                <w:b w:val="0"/>
                <w:i w:val="0"/>
                <w:color w:val="000000"/>
                <w:sz w:val="14"/>
              </w:rPr>
              <w:t>Password default NIK/NIM</w:t>
            </w:r>
          </w:p>
        </w:tc>
        <w:tc>
          <w:tcPr>
            <w:tcW w:type="dxa" w:w="1728"/>
            <w:tcMar>
              <w:top w:w="30" w:type="dxa"/>
              <w:bottom w:w="30" w:type="dxa"/>
              <w:left w:w="50" w:type="dxa"/>
              <w:right w:w="50" w:type="dxa"/>
            </w:tcMar>
          </w:tcPr>
          <w:p>
            <w:pPr>
              <w:spacing w:before="20" w:after="20" w:line="240" w:lineRule="auto"/>
              <w:jc w:val="left"/>
            </w:pPr>
            <w:r>
              <w:rPr>
                <w:rFonts w:ascii="Times New Roman" w:hAnsi="Times New Roman"/>
                <w:b w:val="0"/>
                <w:i w:val="0"/>
                <w:color w:val="000000"/>
                <w:sz w:val="14"/>
              </w:rPr>
              <w:t>Wajib ganti password pada login pertama</w:t>
            </w:r>
          </w:p>
        </w:tc>
      </w:tr>
      <w:tr>
        <w:tc>
          <w:tcPr>
            <w:tcW w:type="dxa" w:w="1296"/>
            <w:tcMar>
              <w:top w:w="30" w:type="dxa"/>
              <w:bottom w:w="30" w:type="dxa"/>
              <w:left w:w="50" w:type="dxa"/>
              <w:right w:w="50" w:type="dxa"/>
            </w:tcMar>
          </w:tcPr>
          <w:p>
            <w:pPr>
              <w:spacing w:before="20" w:after="20" w:line="240" w:lineRule="auto"/>
              <w:jc w:val="left"/>
            </w:pPr>
            <w:r>
              <w:rPr>
                <w:rFonts w:ascii="Times New Roman" w:hAnsi="Times New Roman"/>
                <w:b/>
                <w:i w:val="0"/>
                <w:color w:val="000000"/>
                <w:sz w:val="14"/>
              </w:rPr>
              <w:t>Helpdesk</w:t>
            </w:r>
          </w:p>
        </w:tc>
        <w:tc>
          <w:tcPr>
            <w:tcW w:type="dxa" w:w="1728"/>
            <w:tcMar>
              <w:top w:w="30" w:type="dxa"/>
              <w:bottom w:w="30" w:type="dxa"/>
              <w:left w:w="50" w:type="dxa"/>
              <w:right w:w="50" w:type="dxa"/>
            </w:tcMar>
          </w:tcPr>
          <w:p>
            <w:pPr>
              <w:spacing w:before="20" w:after="20" w:line="240" w:lineRule="auto"/>
              <w:jc w:val="left"/>
            </w:pPr>
            <w:r>
              <w:rPr>
                <w:rFonts w:ascii="Times New Roman" w:hAnsi="Times New Roman"/>
                <w:b w:val="0"/>
                <w:i w:val="0"/>
                <w:color w:val="000000"/>
                <w:sz w:val="14"/>
              </w:rPr>
              <w:t>2.624 tiket manual SMILE</w:t>
            </w:r>
          </w:p>
        </w:tc>
        <w:tc>
          <w:tcPr>
            <w:tcW w:type="dxa" w:w="1728"/>
            <w:tcMar>
              <w:top w:w="30" w:type="dxa"/>
              <w:bottom w:w="30" w:type="dxa"/>
              <w:left w:w="50" w:type="dxa"/>
              <w:right w:w="50" w:type="dxa"/>
            </w:tcMar>
          </w:tcPr>
          <w:p>
            <w:pPr>
              <w:spacing w:before="20" w:after="20" w:line="240" w:lineRule="auto"/>
              <w:jc w:val="left"/>
            </w:pPr>
            <w:r>
              <w:rPr>
                <w:rFonts w:ascii="Times New Roman" w:hAnsi="Times New Roman"/>
                <w:b w:val="0"/>
                <w:i w:val="0"/>
                <w:color w:val="000000"/>
                <w:sz w:val="14"/>
              </w:rPr>
              <w:t>Self-service reset mandiri via email</w:t>
            </w:r>
          </w:p>
        </w:tc>
      </w:tr>
      <w:tr>
        <w:tc>
          <w:tcPr>
            <w:tcW w:type="dxa" w:w="1296"/>
            <w:tcMar>
              <w:top w:w="30" w:type="dxa"/>
              <w:bottom w:w="30" w:type="dxa"/>
              <w:left w:w="50" w:type="dxa"/>
              <w:right w:w="50" w:type="dxa"/>
            </w:tcMar>
          </w:tcPr>
          <w:p>
            <w:pPr>
              <w:spacing w:before="20" w:after="20" w:line="240" w:lineRule="auto"/>
              <w:jc w:val="left"/>
            </w:pPr>
            <w:r>
              <w:rPr>
                <w:rFonts w:ascii="Times New Roman" w:hAnsi="Times New Roman"/>
                <w:b/>
                <w:i w:val="0"/>
                <w:color w:val="000000"/>
                <w:sz w:val="14"/>
              </w:rPr>
              <w:t>Audit Log</w:t>
            </w:r>
          </w:p>
        </w:tc>
        <w:tc>
          <w:tcPr>
            <w:tcW w:type="dxa" w:w="1728"/>
            <w:tcMar>
              <w:top w:w="30" w:type="dxa"/>
              <w:bottom w:w="30" w:type="dxa"/>
              <w:left w:w="50" w:type="dxa"/>
              <w:right w:w="50" w:type="dxa"/>
            </w:tcMar>
          </w:tcPr>
          <w:p>
            <w:pPr>
              <w:spacing w:before="20" w:after="20" w:line="240" w:lineRule="auto"/>
              <w:jc w:val="left"/>
            </w:pPr>
            <w:r>
              <w:rPr>
                <w:rFonts w:ascii="Times New Roman" w:hAnsi="Times New Roman"/>
                <w:b w:val="0"/>
                <w:i w:val="0"/>
                <w:color w:val="000000"/>
                <w:sz w:val="14"/>
              </w:rPr>
              <w:t>Event Expiration kosong</w:t>
            </w:r>
          </w:p>
        </w:tc>
        <w:tc>
          <w:tcPr>
            <w:tcW w:type="dxa" w:w="1728"/>
            <w:tcMar>
              <w:top w:w="30" w:type="dxa"/>
              <w:bottom w:w="30" w:type="dxa"/>
              <w:left w:w="50" w:type="dxa"/>
              <w:right w:w="50" w:type="dxa"/>
            </w:tcMar>
          </w:tcPr>
          <w:p>
            <w:pPr>
              <w:spacing w:before="20" w:after="20" w:line="240" w:lineRule="auto"/>
              <w:jc w:val="left"/>
            </w:pPr>
            <w:r>
              <w:rPr>
                <w:rFonts w:ascii="Times New Roman" w:hAnsi="Times New Roman"/>
                <w:b w:val="0"/>
                <w:i w:val="0"/>
                <w:color w:val="000000"/>
                <w:sz w:val="14"/>
              </w:rPr>
              <w:t>Retensi log audit terkonfigurasi 180 hari</w:t>
            </w:r>
          </w:p>
        </w:tc>
      </w:tr>
    </w:tbl>
    <w:p>
      <w:pPr>
        <w:spacing w:after="80"/>
      </w:pPr>
    </w:p>
    <w:p>
      <w:pPr>
        <w:spacing w:before="120" w:after="40"/>
        <w:jc w:val="left"/>
      </w:pPr>
      <w:r>
        <w:rPr>
          <w:rFonts w:ascii="Times New Roman" w:hAnsi="Times New Roman"/>
          <w:b/>
          <w:i/>
          <w:sz w:val="19"/>
        </w:rPr>
        <w:t>E. Formulasi Tiga Pilar Strategi SI/TI</w:t>
      </w:r>
    </w:p>
    <w:p>
      <w:pPr>
        <w:spacing w:before="0" w:after="60" w:line="252" w:lineRule="auto"/>
        <w:ind w:firstLine="259"/>
        <w:jc w:val="both"/>
      </w:pPr>
      <w:r>
        <w:rPr>
          <w:rFonts w:ascii="Times New Roman" w:hAnsi="Times New Roman"/>
          <w:sz w:val="19"/>
        </w:rPr>
        <w:t>1. Strategi Sistem Informasi (IS Strategy):</w:t>
      </w:r>
    </w:p>
    <w:p>
      <w:pPr>
        <w:spacing w:before="0" w:after="60" w:line="252" w:lineRule="auto"/>
        <w:ind w:firstLine="259"/>
        <w:jc w:val="both"/>
      </w:pPr>
      <w:r>
        <w:rPr>
          <w:rFonts w:ascii="Times New Roman" w:hAnsi="Times New Roman"/>
          <w:sz w:val="19"/>
        </w:rPr>
        <w:t xml:space="preserve">   - SI-1: Integrasi Autentikasi Berlapis (MFA Step-Up) pada seluruh 44 klien aplikasi terdaftar di Keycloak.</w:t>
      </w:r>
    </w:p>
    <w:p>
      <w:pPr>
        <w:spacing w:before="0" w:after="60" w:line="252" w:lineRule="auto"/>
        <w:ind w:firstLine="259"/>
        <w:jc w:val="both"/>
      </w:pPr>
      <w:r>
        <w:rPr>
          <w:rFonts w:ascii="Times New Roman" w:hAnsi="Times New Roman"/>
          <w:sz w:val="19"/>
        </w:rPr>
        <w:t xml:space="preserve">   - SI-2: Peluncuran portal Self-Service Identity Recovery berbasis verifikasi email kampus dan kode cadangan (backup codes).</w:t>
      </w:r>
    </w:p>
    <w:p>
      <w:pPr>
        <w:spacing w:before="0" w:after="60" w:line="252" w:lineRule="auto"/>
        <w:ind w:firstLine="259"/>
        <w:jc w:val="both"/>
      </w:pPr>
      <w:r>
        <w:rPr>
          <w:rFonts w:ascii="Times New Roman" w:hAnsi="Times New Roman"/>
          <w:sz w:val="19"/>
        </w:rPr>
        <w:t xml:space="preserve">   - SI-3: Otomasi siklus hidup identitas (eRegistrasi -&gt; eAkademik -&gt; Keycloak -&gt; de-aktivasi 3 bulan pasca kelulusan).</w:t>
      </w:r>
    </w:p>
    <w:p>
      <w:pPr>
        <w:spacing w:before="0" w:after="60" w:line="252" w:lineRule="auto"/>
        <w:ind w:firstLine="259"/>
        <w:jc w:val="both"/>
      </w:pPr>
      <w:r>
        <w:rPr>
          <w:rFonts w:ascii="Times New Roman" w:hAnsi="Times New Roman"/>
          <w:sz w:val="19"/>
        </w:rPr>
        <w:t>2. Strategi Teknologi Informasi (IT Strategy):</w:t>
      </w:r>
    </w:p>
    <w:p>
      <w:pPr>
        <w:spacing w:before="0" w:after="60" w:line="252" w:lineRule="auto"/>
        <w:ind w:firstLine="259"/>
        <w:jc w:val="both"/>
      </w:pPr>
      <w:r>
        <w:rPr>
          <w:rFonts w:ascii="Times New Roman" w:hAnsi="Times New Roman"/>
          <w:sz w:val="19"/>
        </w:rPr>
        <w:t xml:space="preserve">   - TI-1: Pengerasan Keamanan Keycloak (Enforce Password Policy, aktifkan Verify Email, retensi log 180 hari).</w:t>
      </w:r>
    </w:p>
    <w:p>
      <w:pPr>
        <w:spacing w:before="0" w:after="60" w:line="252" w:lineRule="auto"/>
        <w:ind w:firstLine="259"/>
        <w:jc w:val="both"/>
      </w:pPr>
      <w:r>
        <w:rPr>
          <w:rFonts w:ascii="Times New Roman" w:hAnsi="Times New Roman"/>
          <w:sz w:val="19"/>
        </w:rPr>
        <w:t xml:space="preserve">   - TI-2: Penerapan MFA TOTP aplikasi seluler bebas lisensi untuk 45rb sivitas akademika.</w:t>
      </w:r>
    </w:p>
    <w:p>
      <w:pPr>
        <w:spacing w:before="0" w:after="60" w:line="252" w:lineRule="auto"/>
        <w:ind w:firstLine="259"/>
        <w:jc w:val="both"/>
      </w:pPr>
      <w:r>
        <w:rPr>
          <w:rFonts w:ascii="Times New Roman" w:hAnsi="Times New Roman"/>
          <w:sz w:val="19"/>
        </w:rPr>
        <w:t xml:space="preserve">   - TI-3: Penerapan MFA FIDO2/WebAuthn berbasis perangkat keras bagi akun administrator dan pengelola sistem finansial.</w:t>
      </w:r>
    </w:p>
    <w:p>
      <w:pPr>
        <w:spacing w:before="0" w:after="60" w:line="252" w:lineRule="auto"/>
        <w:ind w:firstLine="259"/>
        <w:jc w:val="both"/>
      </w:pPr>
      <w:r>
        <w:rPr>
          <w:rFonts w:ascii="Times New Roman" w:hAnsi="Times New Roman"/>
          <w:sz w:val="19"/>
        </w:rPr>
        <w:t xml:space="preserve">   - TI-4: Eliminasi total kata sandi bawaan NIK melalui Required Action Update Password pada login pertama.</w:t>
      </w:r>
    </w:p>
    <w:p>
      <w:pPr>
        <w:spacing w:before="0" w:after="60" w:line="252" w:lineRule="auto"/>
        <w:ind w:firstLine="259"/>
        <w:jc w:val="both"/>
      </w:pPr>
      <w:r>
        <w:rPr>
          <w:rFonts w:ascii="Times New Roman" w:hAnsi="Times New Roman"/>
          <w:sz w:val="19"/>
        </w:rPr>
        <w:t>3. Strategi Manajemen SI/TI (IS/IT Management Strategy):</w:t>
      </w:r>
    </w:p>
    <w:p>
      <w:pPr>
        <w:spacing w:before="0" w:after="60" w:line="252" w:lineRule="auto"/>
        <w:ind w:firstLine="259"/>
        <w:jc w:val="both"/>
      </w:pPr>
      <w:r>
        <w:rPr>
          <w:rFonts w:ascii="Times New Roman" w:hAnsi="Times New Roman"/>
          <w:sz w:val="19"/>
        </w:rPr>
        <w:t xml:space="preserve">   - MGT-1: Penyusunan dan pengesahan dokumen SOP resmi operasional dan keamanan SSO.</w:t>
      </w:r>
    </w:p>
    <w:p>
      <w:pPr>
        <w:spacing w:before="0" w:after="60" w:line="252" w:lineRule="auto"/>
        <w:ind w:firstLine="259"/>
        <w:jc w:val="both"/>
      </w:pPr>
      <w:r>
        <w:rPr>
          <w:rFonts w:ascii="Times New Roman" w:hAnsi="Times New Roman"/>
          <w:sz w:val="19"/>
        </w:rPr>
        <w:t xml:space="preserve">   - MGT-2: Efisiensi helpdesk SMILE melalui materi panduan visual dan video tutorial pendaftaran TOTP.</w:t>
      </w:r>
    </w:p>
    <w:p>
      <w:pPr>
        <w:spacing w:before="0" w:after="60" w:line="252" w:lineRule="auto"/>
        <w:ind w:firstLine="259"/>
        <w:jc w:val="both"/>
      </w:pPr>
      <w:r>
        <w:rPr>
          <w:rFonts w:ascii="Times New Roman" w:hAnsi="Times New Roman"/>
          <w:sz w:val="19"/>
        </w:rPr>
        <w:t xml:space="preserve">   - MGT-3: Audit kepatuhan berkala terhadap mandat UU PDP No. 27/2022.</w:t>
      </w:r>
    </w:p>
    <w:p>
      <w:pPr>
        <w:spacing w:before="120" w:after="40"/>
        <w:jc w:val="left"/>
      </w:pPr>
      <w:r>
        <w:rPr>
          <w:rFonts w:ascii="Times New Roman" w:hAnsi="Times New Roman"/>
          <w:b/>
          <w:i/>
          <w:sz w:val="19"/>
        </w:rPr>
        <w:t>F. Arsitektur Target Konseptual SSO + MFA</w:t>
      </w:r>
    </w:p>
    <w:p>
      <w:pPr>
        <w:spacing w:before="0" w:after="60" w:line="252" w:lineRule="auto"/>
        <w:ind w:firstLine="259"/>
        <w:jc w:val="both"/>
      </w:pPr>
      <w:r>
        <w:rPr>
          <w:rFonts w:ascii="Times New Roman" w:hAnsi="Times New Roman"/>
          <w:sz w:val="19"/>
        </w:rPr>
        <w:t>Arsitektur target mengombinasikan perimeter keamanan terpadu di depan klaster Keycloak IdP: Reverse Proxy/WAF -&gt; Authentication Flow Engine dengan Required Actions Pipeline -&gt; Modul TOTP (RFC 6238) &amp; WebAuthn SPI -&gt; Penyimpanan Token Sesi Terenkripsi -&gt; Penerbitan Token OIDC/SAML ke 44 aplikasi klien. Tiga alur utama dirancang: (1) Alur Registrasi Pertama; (2) Alur Login Terproteksi TOTP/WebAuthn; dan (3) Alur Pemulihan Mandiri via Email.</w:t>
      </w:r>
    </w:p>
    <w:p>
      <w:pPr>
        <w:spacing w:before="120" w:after="40"/>
        <w:jc w:val="left"/>
      </w:pPr>
      <w:r>
        <w:rPr>
          <w:rFonts w:ascii="Times New Roman" w:hAnsi="Times New Roman"/>
          <w:b/>
          <w:i/>
          <w:sz w:val="19"/>
        </w:rPr>
        <w:t>G. Portofolio McFarlan dan Peta Jalan 2026–2028</w:t>
      </w:r>
    </w:p>
    <w:p>
      <w:pPr>
        <w:spacing w:before="0" w:after="60" w:line="252" w:lineRule="auto"/>
        <w:ind w:firstLine="259"/>
        <w:jc w:val="both"/>
      </w:pPr>
      <w:r>
        <w:rPr>
          <w:rFonts w:ascii="Times New Roman" w:hAnsi="Times New Roman"/>
          <w:sz w:val="19"/>
        </w:rPr>
        <w:t>Berdasarkan McFarlan Strategic Grid, Keycloak SSO Core, Engine MFA (TOTP/WebAuthn), dan Self-Service Portal diposisikan pada kuadran STRATEGIC karena menentukan kelangsungan keamanan operasional universitas di masa depan. Layanan tridharma (eAkademik, eSDM, eFinansi) berada pada kuadran KEY OPERATIONAL.</w:t>
      </w:r>
    </w:p>
    <w:p>
      <w:pPr>
        <w:spacing w:before="0" w:after="60" w:line="252" w:lineRule="auto"/>
        <w:ind w:firstLine="259"/>
        <w:jc w:val="both"/>
      </w:pPr>
      <w:r>
        <w:rPr>
          <w:rFonts w:ascii="Times New Roman" w:hAnsi="Times New Roman"/>
          <w:sz w:val="19"/>
        </w:rPr>
        <w:t>Peta jalan implementasi 12 bulan dibagi menjadi 3 fase terukur:</w:t>
      </w:r>
    </w:p>
    <w:p>
      <w:pPr>
        <w:spacing w:before="0" w:after="60" w:line="252" w:lineRule="auto"/>
        <w:ind w:firstLine="259"/>
        <w:jc w:val="both"/>
      </w:pPr>
      <w:r>
        <w:rPr>
          <w:rFonts w:ascii="Times New Roman" w:hAnsi="Times New Roman"/>
          <w:sz w:val="19"/>
        </w:rPr>
        <w:t>1. Fase 1: Quick Wins &amp; Hardening (Bulan 1–3): Konfigurasi Password Policy, pembersihan password NIK default, pengesahan SOP SSO.</w:t>
      </w:r>
    </w:p>
    <w:p>
      <w:pPr>
        <w:spacing w:before="0" w:after="60" w:line="252" w:lineRule="auto"/>
        <w:ind w:firstLine="259"/>
        <w:jc w:val="both"/>
      </w:pPr>
      <w:r>
        <w:rPr>
          <w:rFonts w:ascii="Times New Roman" w:hAnsi="Times New Roman"/>
          <w:sz w:val="19"/>
        </w:rPr>
        <w:t>2. Fase 2: MFA Massal &amp; Pemulihan Mandiri (Bulan 4–9): Integrasi MFA 44 client, peluncuran TOTP massal, rilis portal pemulihan mandiri, kampanye sosialisasi helpdesk SMILE.</w:t>
      </w:r>
    </w:p>
    <w:p>
      <w:pPr>
        <w:spacing w:before="0" w:after="60" w:line="252" w:lineRule="auto"/>
        <w:ind w:firstLine="259"/>
        <w:jc w:val="both"/>
      </w:pPr>
      <w:r>
        <w:rPr>
          <w:rFonts w:ascii="Times New Roman" w:hAnsi="Times New Roman"/>
          <w:sz w:val="19"/>
        </w:rPr>
        <w:t>3. Fase 3: Proteksi Akun Istimewa &amp; Audit (Bulan 10–12): Wajib FIDO2/WebAuthn bagi admin, audit retensi log 180 hari, sertifikasi kepatuhan UU PDP.</w:t>
      </w:r>
    </w:p>
    <w:p>
      <w:pPr>
        <w:spacing w:before="120" w:after="40"/>
        <w:jc w:val="left"/>
      </w:pPr>
      <w:r>
        <w:rPr>
          <w:rFonts w:ascii="Times New Roman" w:hAnsi="Times New Roman"/>
          <w:b/>
          <w:i/>
          <w:sz w:val="19"/>
        </w:rPr>
        <w:t>H. Indikator Kinerja Utama (KPI)</w:t>
      </w:r>
    </w:p>
    <w:p>
      <w:pPr>
        <w:spacing w:before="0" w:after="60" w:line="252" w:lineRule="auto"/>
        <w:ind w:firstLine="259"/>
        <w:jc w:val="both"/>
      </w:pPr>
      <w:r>
        <w:rPr>
          <w:rFonts w:ascii="Times New Roman" w:hAnsi="Times New Roman"/>
          <w:sz w:val="19"/>
        </w:rPr>
        <w:t>Keberhasilan implementasi diukur menggunakan indikator strategis pada Tabel 3.</w:t>
      </w:r>
    </w:p>
    <w:p>
      <w:pPr>
        <w:spacing w:before="80" w:after="40"/>
        <w:jc w:val="center"/>
      </w:pPr>
      <w:r>
        <w:rPr>
          <w:rFonts w:ascii="Times New Roman" w:hAnsi="Times New Roman"/>
          <w:b/>
          <w:sz w:val="16"/>
        </w:rPr>
        <w:t>Table 3. Indikator Kinerja Utama (KPI) Strategis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D0D0D0"/>
          <w:insideV w:val="none"/>
        </w:tblBorders>
      </w:tblPr>
      <w:tblGrid>
        <w:gridCol w:w="3346"/>
        <w:gridCol w:w="3346"/>
        <w:gridCol w:w="3346"/>
      </w:tblGrid>
      <w:tr>
        <w:tc>
          <w:tcPr>
            <w:tcW w:type="dxa" w:w="1728"/>
            <w:shd w:fill="EAEAEA"/>
            <w:tcMar>
              <w:top w:w="40" w:type="dxa"/>
              <w:bottom w:w="40" w:type="dxa"/>
              <w:left w:w="50" w:type="dxa"/>
              <w:right w:w="50" w:type="dxa"/>
            </w:tcMar>
          </w:tcPr>
          <w:p>
            <w:pPr>
              <w:spacing w:before="20" w:after="20" w:line="240" w:lineRule="auto"/>
              <w:jc w:val="center"/>
            </w:pPr>
            <w:r>
              <w:rPr>
                <w:rFonts w:ascii="Times New Roman" w:hAnsi="Times New Roman"/>
                <w:b/>
                <w:i w:val="0"/>
                <w:color w:val="000000"/>
                <w:sz w:val="14"/>
              </w:rPr>
              <w:t>Indikator Kinerja</w:t>
            </w:r>
          </w:p>
        </w:tc>
        <w:tc>
          <w:tcPr>
            <w:tcW w:type="dxa" w:w="1440"/>
            <w:shd w:fill="EAEAEA"/>
            <w:tcMar>
              <w:top w:w="40" w:type="dxa"/>
              <w:bottom w:w="40" w:type="dxa"/>
              <w:left w:w="50" w:type="dxa"/>
              <w:right w:w="50" w:type="dxa"/>
            </w:tcMar>
          </w:tcPr>
          <w:p>
            <w:pPr>
              <w:spacing w:before="20" w:after="20" w:line="240" w:lineRule="auto"/>
              <w:jc w:val="center"/>
            </w:pPr>
            <w:r>
              <w:rPr>
                <w:rFonts w:ascii="Times New Roman" w:hAnsi="Times New Roman"/>
                <w:b/>
                <w:i w:val="0"/>
                <w:color w:val="000000"/>
                <w:sz w:val="14"/>
              </w:rPr>
              <w:t>Kondisi Awal (M2)</w:t>
            </w:r>
          </w:p>
        </w:tc>
        <w:tc>
          <w:tcPr>
            <w:tcW w:type="dxa" w:w="1584"/>
            <w:shd w:fill="EAEAEA"/>
            <w:tcMar>
              <w:top w:w="40" w:type="dxa"/>
              <w:bottom w:w="40" w:type="dxa"/>
              <w:left w:w="50" w:type="dxa"/>
              <w:right w:w="50" w:type="dxa"/>
            </w:tcMar>
          </w:tcPr>
          <w:p>
            <w:pPr>
              <w:spacing w:before="20" w:after="20" w:line="240" w:lineRule="auto"/>
              <w:jc w:val="center"/>
            </w:pPr>
            <w:r>
              <w:rPr>
                <w:rFonts w:ascii="Times New Roman" w:hAnsi="Times New Roman"/>
                <w:b/>
                <w:i w:val="0"/>
                <w:color w:val="000000"/>
                <w:sz w:val="14"/>
              </w:rPr>
              <w:t>Target Akhir (M13)</w:t>
            </w:r>
          </w:p>
        </w:tc>
      </w:tr>
      <w:tr>
        <w:tc>
          <w:tcPr>
            <w:tcW w:type="dxa" w:w="1728"/>
            <w:tcMar>
              <w:top w:w="30" w:type="dxa"/>
              <w:bottom w:w="30" w:type="dxa"/>
              <w:left w:w="50" w:type="dxa"/>
              <w:right w:w="50" w:type="dxa"/>
            </w:tcMar>
          </w:tcPr>
          <w:p>
            <w:pPr>
              <w:spacing w:before="20" w:after="20" w:line="240" w:lineRule="auto"/>
              <w:jc w:val="left"/>
            </w:pPr>
            <w:r>
              <w:rPr>
                <w:rFonts w:ascii="Times New Roman" w:hAnsi="Times New Roman"/>
                <w:b/>
                <w:i w:val="0"/>
                <w:color w:val="000000"/>
                <w:sz w:val="14"/>
              </w:rPr>
              <w:t>Adopsi TOTP Massal</w:t>
            </w:r>
          </w:p>
        </w:tc>
        <w:tc>
          <w:tcPr>
            <w:tcW w:type="dxa" w:w="1440"/>
            <w:tcMar>
              <w:top w:w="30" w:type="dxa"/>
              <w:bottom w:w="30" w:type="dxa"/>
              <w:left w:w="50" w:type="dxa"/>
              <w:right w:w="50" w:type="dxa"/>
            </w:tcMar>
          </w:tcPr>
          <w:p>
            <w:pPr>
              <w:spacing w:before="20" w:after="20" w:line="240" w:lineRule="auto"/>
              <w:jc w:val="left"/>
            </w:pPr>
            <w:r>
              <w:rPr>
                <w:rFonts w:ascii="Times New Roman" w:hAnsi="Times New Roman"/>
                <w:b w:val="0"/>
                <w:i w:val="0"/>
                <w:color w:val="000000"/>
                <w:sz w:val="14"/>
              </w:rPr>
              <w:t>0% (Non-default)</w:t>
            </w:r>
          </w:p>
        </w:tc>
        <w:tc>
          <w:tcPr>
            <w:tcW w:type="dxa" w:w="1584"/>
            <w:tcMar>
              <w:top w:w="30" w:type="dxa"/>
              <w:bottom w:w="30" w:type="dxa"/>
              <w:left w:w="50" w:type="dxa"/>
              <w:right w:w="50" w:type="dxa"/>
            </w:tcMar>
          </w:tcPr>
          <w:p>
            <w:pPr>
              <w:spacing w:before="20" w:after="20" w:line="240" w:lineRule="auto"/>
              <w:jc w:val="left"/>
            </w:pPr>
            <w:r>
              <w:rPr>
                <w:rFonts w:ascii="Times New Roman" w:hAnsi="Times New Roman"/>
                <w:b w:val="0"/>
                <w:i w:val="0"/>
                <w:color w:val="000000"/>
                <w:sz w:val="14"/>
              </w:rPr>
              <w:t>&gt;85% (Q3) / 100% (Q4)</w:t>
            </w:r>
          </w:p>
        </w:tc>
      </w:tr>
      <w:tr>
        <w:tc>
          <w:tcPr>
            <w:tcW w:type="dxa" w:w="1728"/>
            <w:tcMar>
              <w:top w:w="30" w:type="dxa"/>
              <w:bottom w:w="30" w:type="dxa"/>
              <w:left w:w="50" w:type="dxa"/>
              <w:right w:w="50" w:type="dxa"/>
            </w:tcMar>
          </w:tcPr>
          <w:p>
            <w:pPr>
              <w:spacing w:before="20" w:after="20" w:line="240" w:lineRule="auto"/>
              <w:jc w:val="left"/>
            </w:pPr>
            <w:r>
              <w:rPr>
                <w:rFonts w:ascii="Times New Roman" w:hAnsi="Times New Roman"/>
                <w:b/>
                <w:i w:val="0"/>
                <w:color w:val="000000"/>
                <w:sz w:val="14"/>
              </w:rPr>
              <w:t>Adopsi FIDO2 Akun Admin</w:t>
            </w:r>
          </w:p>
        </w:tc>
        <w:tc>
          <w:tcPr>
            <w:tcW w:type="dxa" w:w="1440"/>
            <w:tcMar>
              <w:top w:w="30" w:type="dxa"/>
              <w:bottom w:w="30" w:type="dxa"/>
              <w:left w:w="50" w:type="dxa"/>
              <w:right w:w="50" w:type="dxa"/>
            </w:tcMar>
          </w:tcPr>
          <w:p>
            <w:pPr>
              <w:spacing w:before="20" w:after="20" w:line="240" w:lineRule="auto"/>
              <w:jc w:val="left"/>
            </w:pPr>
            <w:r>
              <w:rPr>
                <w:rFonts w:ascii="Times New Roman" w:hAnsi="Times New Roman"/>
                <w:b w:val="0"/>
                <w:i w:val="0"/>
                <w:color w:val="000000"/>
                <w:sz w:val="14"/>
              </w:rPr>
              <w:t>0% (Password saja)</w:t>
            </w:r>
          </w:p>
        </w:tc>
        <w:tc>
          <w:tcPr>
            <w:tcW w:type="dxa" w:w="1584"/>
            <w:tcMar>
              <w:top w:w="30" w:type="dxa"/>
              <w:bottom w:w="30" w:type="dxa"/>
              <w:left w:w="50" w:type="dxa"/>
              <w:right w:w="50" w:type="dxa"/>
            </w:tcMar>
          </w:tcPr>
          <w:p>
            <w:pPr>
              <w:spacing w:before="20" w:after="20" w:line="240" w:lineRule="auto"/>
              <w:jc w:val="left"/>
            </w:pPr>
            <w:r>
              <w:rPr>
                <w:rFonts w:ascii="Times New Roman" w:hAnsi="Times New Roman"/>
                <w:b w:val="0"/>
                <w:i w:val="0"/>
                <w:color w:val="000000"/>
                <w:sz w:val="14"/>
              </w:rPr>
              <w:t>100% Wajib Security Key</w:t>
            </w:r>
          </w:p>
        </w:tc>
      </w:tr>
      <w:tr>
        <w:tc>
          <w:tcPr>
            <w:tcW w:type="dxa" w:w="1728"/>
            <w:tcMar>
              <w:top w:w="30" w:type="dxa"/>
              <w:bottom w:w="30" w:type="dxa"/>
              <w:left w:w="50" w:type="dxa"/>
              <w:right w:w="50" w:type="dxa"/>
            </w:tcMar>
          </w:tcPr>
          <w:p>
            <w:pPr>
              <w:spacing w:before="20" w:after="20" w:line="240" w:lineRule="auto"/>
              <w:jc w:val="left"/>
            </w:pPr>
            <w:r>
              <w:rPr>
                <w:rFonts w:ascii="Times New Roman" w:hAnsi="Times New Roman"/>
                <w:b/>
                <w:i w:val="0"/>
                <w:color w:val="000000"/>
                <w:sz w:val="14"/>
              </w:rPr>
              <w:t>Cakupan MFA 44 Client</w:t>
            </w:r>
          </w:p>
        </w:tc>
        <w:tc>
          <w:tcPr>
            <w:tcW w:type="dxa" w:w="1440"/>
            <w:tcMar>
              <w:top w:w="30" w:type="dxa"/>
              <w:bottom w:w="30" w:type="dxa"/>
              <w:left w:w="50" w:type="dxa"/>
              <w:right w:w="50" w:type="dxa"/>
            </w:tcMar>
          </w:tcPr>
          <w:p>
            <w:pPr>
              <w:spacing w:before="20" w:after="20" w:line="240" w:lineRule="auto"/>
              <w:jc w:val="left"/>
            </w:pPr>
            <w:r>
              <w:rPr>
                <w:rFonts w:ascii="Times New Roman" w:hAnsi="Times New Roman"/>
                <w:b w:val="0"/>
                <w:i w:val="0"/>
                <w:color w:val="000000"/>
                <w:sz w:val="14"/>
              </w:rPr>
              <w:t>0% (Faktor tunggal)</w:t>
            </w:r>
          </w:p>
        </w:tc>
        <w:tc>
          <w:tcPr>
            <w:tcW w:type="dxa" w:w="1584"/>
            <w:tcMar>
              <w:top w:w="30" w:type="dxa"/>
              <w:bottom w:w="30" w:type="dxa"/>
              <w:left w:w="50" w:type="dxa"/>
              <w:right w:w="50" w:type="dxa"/>
            </w:tcMar>
          </w:tcPr>
          <w:p>
            <w:pPr>
              <w:spacing w:before="20" w:after="20" w:line="240" w:lineRule="auto"/>
              <w:jc w:val="left"/>
            </w:pPr>
            <w:r>
              <w:rPr>
                <w:rFonts w:ascii="Times New Roman" w:hAnsi="Times New Roman"/>
                <w:b w:val="0"/>
                <w:i w:val="0"/>
                <w:color w:val="000000"/>
                <w:sz w:val="14"/>
              </w:rPr>
              <w:t>100% (44 Klien Terproteksi)</w:t>
            </w:r>
          </w:p>
        </w:tc>
      </w:tr>
      <w:tr>
        <w:tc>
          <w:tcPr>
            <w:tcW w:type="dxa" w:w="1728"/>
            <w:tcMar>
              <w:top w:w="30" w:type="dxa"/>
              <w:bottom w:w="30" w:type="dxa"/>
              <w:left w:w="50" w:type="dxa"/>
              <w:right w:w="50" w:type="dxa"/>
            </w:tcMar>
          </w:tcPr>
          <w:p>
            <w:pPr>
              <w:spacing w:before="20" w:after="20" w:line="240" w:lineRule="auto"/>
              <w:jc w:val="left"/>
            </w:pPr>
            <w:r>
              <w:rPr>
                <w:rFonts w:ascii="Times New Roman" w:hAnsi="Times New Roman"/>
                <w:b/>
                <w:i w:val="0"/>
                <w:color w:val="000000"/>
                <w:sz w:val="14"/>
              </w:rPr>
              <w:t>Penurunan Tiket SMILE</w:t>
            </w:r>
          </w:p>
        </w:tc>
        <w:tc>
          <w:tcPr>
            <w:tcW w:type="dxa" w:w="1440"/>
            <w:tcMar>
              <w:top w:w="30" w:type="dxa"/>
              <w:bottom w:w="30" w:type="dxa"/>
              <w:left w:w="50" w:type="dxa"/>
              <w:right w:w="50" w:type="dxa"/>
            </w:tcMar>
          </w:tcPr>
          <w:p>
            <w:pPr>
              <w:spacing w:before="20" w:after="20" w:line="240" w:lineRule="auto"/>
              <w:jc w:val="left"/>
            </w:pPr>
            <w:r>
              <w:rPr>
                <w:rFonts w:ascii="Times New Roman" w:hAnsi="Times New Roman"/>
                <w:b w:val="0"/>
                <w:i w:val="0"/>
                <w:color w:val="000000"/>
                <w:sz w:val="14"/>
              </w:rPr>
              <w:t>2.624 Tiket Manual</w:t>
            </w:r>
          </w:p>
        </w:tc>
        <w:tc>
          <w:tcPr>
            <w:tcW w:type="dxa" w:w="1584"/>
            <w:tcMar>
              <w:top w:w="30" w:type="dxa"/>
              <w:bottom w:w="30" w:type="dxa"/>
              <w:left w:w="50" w:type="dxa"/>
              <w:right w:w="50" w:type="dxa"/>
            </w:tcMar>
          </w:tcPr>
          <w:p>
            <w:pPr>
              <w:spacing w:before="20" w:after="20" w:line="240" w:lineRule="auto"/>
              <w:jc w:val="left"/>
            </w:pPr>
            <w:r>
              <w:rPr>
                <w:rFonts w:ascii="Times New Roman" w:hAnsi="Times New Roman"/>
                <w:b w:val="0"/>
                <w:i w:val="0"/>
                <w:color w:val="000000"/>
                <w:sz w:val="14"/>
              </w:rPr>
              <w:t>Turun &gt;80% (&lt;500 tiket/thn)</w:t>
            </w:r>
          </w:p>
        </w:tc>
      </w:tr>
      <w:tr>
        <w:tc>
          <w:tcPr>
            <w:tcW w:type="dxa" w:w="1728"/>
            <w:tcMar>
              <w:top w:w="30" w:type="dxa"/>
              <w:bottom w:w="30" w:type="dxa"/>
              <w:left w:w="50" w:type="dxa"/>
              <w:right w:w="50" w:type="dxa"/>
            </w:tcMar>
          </w:tcPr>
          <w:p>
            <w:pPr>
              <w:spacing w:before="20" w:after="20" w:line="240" w:lineRule="auto"/>
              <w:jc w:val="left"/>
            </w:pPr>
            <w:r>
              <w:rPr>
                <w:rFonts w:ascii="Times New Roman" w:hAnsi="Times New Roman"/>
                <w:b/>
                <w:i w:val="0"/>
                <w:color w:val="000000"/>
                <w:sz w:val="14"/>
              </w:rPr>
              <w:t>Kepatuhan Retensi Log</w:t>
            </w:r>
          </w:p>
        </w:tc>
        <w:tc>
          <w:tcPr>
            <w:tcW w:type="dxa" w:w="1440"/>
            <w:tcMar>
              <w:top w:w="30" w:type="dxa"/>
              <w:bottom w:w="30" w:type="dxa"/>
              <w:left w:w="50" w:type="dxa"/>
              <w:right w:w="50" w:type="dxa"/>
            </w:tcMar>
          </w:tcPr>
          <w:p>
            <w:pPr>
              <w:spacing w:before="20" w:after="20" w:line="240" w:lineRule="auto"/>
              <w:jc w:val="left"/>
            </w:pPr>
            <w:r>
              <w:rPr>
                <w:rFonts w:ascii="Times New Roman" w:hAnsi="Times New Roman"/>
                <w:b w:val="0"/>
                <w:i w:val="0"/>
                <w:color w:val="000000"/>
                <w:sz w:val="14"/>
              </w:rPr>
              <w:t>Expiration KOSONG</w:t>
            </w:r>
          </w:p>
        </w:tc>
        <w:tc>
          <w:tcPr>
            <w:tcW w:type="dxa" w:w="1584"/>
            <w:tcMar>
              <w:top w:w="30" w:type="dxa"/>
              <w:bottom w:w="30" w:type="dxa"/>
              <w:left w:w="50" w:type="dxa"/>
              <w:right w:w="50" w:type="dxa"/>
            </w:tcMar>
          </w:tcPr>
          <w:p>
            <w:pPr>
              <w:spacing w:before="20" w:after="20" w:line="240" w:lineRule="auto"/>
              <w:jc w:val="left"/>
            </w:pPr>
            <w:r>
              <w:rPr>
                <w:rFonts w:ascii="Times New Roman" w:hAnsi="Times New Roman"/>
                <w:b w:val="0"/>
                <w:i w:val="0"/>
                <w:color w:val="000000"/>
                <w:sz w:val="14"/>
              </w:rPr>
              <w:t>100% Compliant (180 Hari)</w:t>
            </w:r>
          </w:p>
        </w:tc>
      </w:tr>
    </w:tbl>
    <w:p>
      <w:pPr>
        <w:spacing w:after="80"/>
      </w:pPr>
    </w:p>
    <w:p>
      <w:pPr>
        <w:spacing w:before="200" w:after="80"/>
        <w:jc w:val="center"/>
      </w:pPr>
      <w:r>
        <w:rPr>
          <w:rFonts w:ascii="Times New Roman" w:hAnsi="Times New Roman"/>
          <w:b/>
          <w:sz w:val="20"/>
        </w:rPr>
        <w:t>V. CONCLUSION</w:t>
      </w:r>
    </w:p>
    <w:p>
      <w:pPr>
        <w:spacing w:before="0" w:after="60" w:line="252" w:lineRule="auto"/>
        <w:ind w:firstLine="259"/>
        <w:jc w:val="both"/>
      </w:pPr>
      <w:r>
        <w:rPr>
          <w:rFonts w:ascii="Times New Roman" w:hAnsi="Times New Roman"/>
          <w:sz w:val="19"/>
        </w:rPr>
        <w:t>Perencanaan strategis pengembangan SSO terintegrasi MFA pada UIN Syarif Hidayatullah Jakarta menggunakan metode Ward &amp; Peppard menghasilkan cetak biru transformasi yang defensibel, rasional, dan hemat biaya. Studi ini membuktikan bahwa penguatan keamanan identitas tidak memerlukan perombakan infrastruktur dari awal (no greenfield rebuild), melainkan memaksimalkan kapabilitas bawaan Keycloak melalui penegakan Password Policy, aktivasi Verify Email, penugasan TOTP bebas biaya lisensi bagi 45.219 sivitas akademika, serta proteksi FIDO2/WebAuthn bagi akun berhak akses tinggi.</w:t>
      </w:r>
    </w:p>
    <w:p>
      <w:pPr>
        <w:spacing w:before="0" w:after="60" w:line="252" w:lineRule="auto"/>
        <w:ind w:firstLine="259"/>
        <w:jc w:val="both"/>
      </w:pPr>
      <w:r>
        <w:rPr>
          <w:rFonts w:ascii="Times New Roman" w:hAnsi="Times New Roman"/>
          <w:sz w:val="19"/>
        </w:rPr>
        <w:t>Otomasi sistem pemulihan mandiri diproyeksikan memangkas beban tiket helpdesk SMILE hingga lebih dari 80%, sekaligus menjamin kepatuhan menyeluruh terhadap regulasi pelindungan data pribadi (UU PDP No. 27/2022). Riset masa depan disarankan untuk mengkaji penerapan Adaptive / Risk-Based Authentication berbantuan machine learning guna mendeteksi anomali geolokasi akses secara dinamis tanpa mengganggu kenyamanan pengguna.</w:t>
      </w:r>
    </w:p>
    <w:p>
      <w:pPr>
        <w:spacing w:before="200" w:after="80"/>
        <w:jc w:val="center"/>
      </w:pPr>
      <w:r>
        <w:rPr>
          <w:rFonts w:ascii="Times New Roman" w:hAnsi="Times New Roman"/>
          <w:b/>
          <w:sz w:val="20"/>
        </w:rPr>
        <w:t>ACKNOWLEDGMENT</w:t>
      </w:r>
    </w:p>
    <w:p>
      <w:pPr>
        <w:spacing w:before="0" w:after="60" w:line="252" w:lineRule="auto"/>
        <w:jc w:val="both"/>
      </w:pPr>
      <w:r>
        <w:rPr>
          <w:rFonts w:ascii="Times New Roman" w:hAnsi="Times New Roman"/>
          <w:sz w:val="19"/>
        </w:rPr>
        <w:t>Penulis mengucapkan terima kasih yang sebesar-besarnya kepada pimpinan dan seluruh staf teknis Pusat Teknologi Informasi dan Pangkalan Data (PUSTIPANDA) UIN Syarif Hidayatullah Jakarta atas penyediaan data operasional, akses bukti teknis, serta diskusi mendalam yang memungkinkan penyusunan rencana strategis ini diselesaikan secara komprehensif.</w:t>
      </w:r>
    </w:p>
    <w:p>
      <w:pPr>
        <w:spacing w:before="200" w:after="80"/>
        <w:jc w:val="center"/>
      </w:pPr>
      <w:r>
        <w:rPr>
          <w:rFonts w:ascii="Times New Roman" w:hAnsi="Times New Roman"/>
          <w:b/>
          <w:sz w:val="20"/>
        </w:rPr>
        <w:t>REFERENCES</w:t>
      </w:r>
    </w:p>
    <w:p>
      <w:pPr>
        <w:spacing w:before="0" w:after="40" w:line="240" w:lineRule="auto"/>
        <w:ind w:left="259" w:hanging="259"/>
        <w:jc w:val="both"/>
      </w:pPr>
      <w:r>
        <w:rPr>
          <w:rFonts w:ascii="Times New Roman" w:hAnsi="Times New Roman"/>
          <w:sz w:val="15"/>
        </w:rPr>
        <w:t>[1] J. Ward and J. Peppard, Strategic Planning for Information Systems, 3rd ed. Chichester, UK: John Wiley &amp; Sons, 2002.</w:t>
      </w:r>
    </w:p>
    <w:p>
      <w:pPr>
        <w:spacing w:before="0" w:after="40" w:line="240" w:lineRule="auto"/>
        <w:ind w:left="259" w:hanging="259"/>
        <w:jc w:val="both"/>
      </w:pPr>
      <w:r>
        <w:rPr>
          <w:rFonts w:ascii="Times New Roman" w:hAnsi="Times New Roman"/>
          <w:sz w:val="15"/>
        </w:rPr>
        <w:t>[2] UIN Syarif Hidayatullah Jakarta, "Surat Pemberitahuan Implementasi Wi-Fi SSO," PUSTIPANDA, Tangerang Selatan, Dokumen Resmi B-42/UPT.2/TI.05.04/04/2026, Apr. 2026.</w:t>
      </w:r>
    </w:p>
    <w:p>
      <w:pPr>
        <w:spacing w:before="0" w:after="40" w:line="240" w:lineRule="auto"/>
        <w:ind w:left="259" w:hanging="259"/>
        <w:jc w:val="both"/>
      </w:pPr>
      <w:r>
        <w:rPr>
          <w:rFonts w:ascii="Times New Roman" w:hAnsi="Times New Roman"/>
          <w:sz w:val="15"/>
        </w:rPr>
        <w:t>[3] Red Hat, "Keycloak Server Administration Guide: Configuring Authentication Flows, OTP and Password Policies," Red Hat Inc., Raleigh, NC, Tech. Doc. Ver. 24.0, 2024.</w:t>
      </w:r>
    </w:p>
    <w:p>
      <w:pPr>
        <w:spacing w:before="0" w:after="40" w:line="240" w:lineRule="auto"/>
        <w:ind w:left="259" w:hanging="259"/>
        <w:jc w:val="both"/>
      </w:pPr>
      <w:r>
        <w:rPr>
          <w:rFonts w:ascii="Times New Roman" w:hAnsi="Times New Roman"/>
          <w:sz w:val="15"/>
        </w:rPr>
        <w:t>[4] PUSTIPANDA UIN Jakarta, "Ekspor Rekapitulasi Tiket Layanan SMILE Kategori Kata Sandi dan Kendala Login SSO," UIN Syarif Hidayatullah Jakarta, Laporan Internal D-02, Sep. 2026.</w:t>
      </w:r>
    </w:p>
    <w:p>
      <w:pPr>
        <w:spacing w:before="0" w:after="40" w:line="240" w:lineRule="auto"/>
        <w:ind w:left="259" w:hanging="259"/>
        <w:jc w:val="both"/>
      </w:pPr>
      <w:r>
        <w:rPr>
          <w:rFonts w:ascii="Times New Roman" w:hAnsi="Times New Roman"/>
          <w:sz w:val="15"/>
        </w:rPr>
        <w:t>[5] B. H. Wixom and H. J. Watson, "The enterprise system strategic alignment model," MIS Q. Exec., vol. 18, no. 1, pp. 45–62, Mar. 2019.</w:t>
      </w:r>
    </w:p>
    <w:p>
      <w:pPr>
        <w:spacing w:before="0" w:after="40" w:line="240" w:lineRule="auto"/>
        <w:ind w:left="259" w:hanging="259"/>
        <w:jc w:val="both"/>
      </w:pPr>
      <w:r>
        <w:rPr>
          <w:rFonts w:ascii="Times New Roman" w:hAnsi="Times New Roman"/>
          <w:sz w:val="15"/>
        </w:rPr>
        <w:t>[6] E. Maler and D. Reed, "The venice project: The future of identity assertions in federated web SSO," IEEE Internet Comput., vol. 12, no. 3, pp. 24–31, May 2018.</w:t>
      </w:r>
    </w:p>
    <w:p>
      <w:pPr>
        <w:spacing w:before="0" w:after="40" w:line="240" w:lineRule="auto"/>
        <w:ind w:left="259" w:hanging="259"/>
        <w:jc w:val="both"/>
      </w:pPr>
      <w:r>
        <w:rPr>
          <w:rFonts w:ascii="Times New Roman" w:hAnsi="Times New Roman"/>
          <w:sz w:val="15"/>
        </w:rPr>
        <w:t>[7] C. V. Zhou and L. O. Ooi, "Analysis of single-point-of-failure vulnerabilities in enterprise SAML/OIDC identity providers," in Proc. IEEE CSCloud, 2021, pp. 112–119.</w:t>
      </w:r>
    </w:p>
    <w:p>
      <w:pPr>
        <w:spacing w:before="0" w:after="40" w:line="240" w:lineRule="auto"/>
        <w:ind w:left="259" w:hanging="259"/>
        <w:jc w:val="both"/>
      </w:pPr>
      <w:r>
        <w:rPr>
          <w:rFonts w:ascii="Times New Roman" w:hAnsi="Times New Roman"/>
          <w:sz w:val="15"/>
        </w:rPr>
        <w:t>[8] A. Ometov et al., "A survey on wearable and mobile multi-factor authentication: Countermeasures, challenges, and open questions," IEEE Commun. Surv. Tutorials, vol. 23, no. 4, pp. 2501–2537, 2021.</w:t>
      </w:r>
    </w:p>
    <w:p>
      <w:pPr>
        <w:spacing w:before="0" w:after="40" w:line="240" w:lineRule="auto"/>
        <w:ind w:left="259" w:hanging="259"/>
        <w:jc w:val="both"/>
      </w:pPr>
      <w:r>
        <w:rPr>
          <w:rFonts w:ascii="Times New Roman" w:hAnsi="Times New Roman"/>
          <w:sz w:val="15"/>
        </w:rPr>
        <w:t>[9] R. Sharma and P. Kumar, "Operational deployment of RFC 6238 TOTP in university campus networks: Security vs user friction," Int. J. Inf. Manage. Data Insights, vol. 3, no. 1, p. 100155, Apr. 2023.</w:t>
      </w:r>
    </w:p>
    <w:p>
      <w:pPr>
        <w:spacing w:before="0" w:after="40" w:line="240" w:lineRule="auto"/>
        <w:ind w:left="259" w:hanging="259"/>
        <w:jc w:val="both"/>
      </w:pPr>
      <w:r>
        <w:rPr>
          <w:rFonts w:ascii="Times New Roman" w:hAnsi="Times New Roman"/>
          <w:sz w:val="15"/>
        </w:rPr>
        <w:t>[10] F. W. McFarlan, "Information technology changes the way you compete," Harv. Bus. Rev., vol. 62, no. 3, pp. 130–136, May 1984.</w:t>
      </w:r>
    </w:p>
    <w:p>
      <w:pPr>
        <w:spacing w:before="0" w:after="40" w:line="240" w:lineRule="auto"/>
        <w:ind w:left="259" w:hanging="259"/>
        <w:jc w:val="both"/>
      </w:pPr>
      <w:r>
        <w:rPr>
          <w:rFonts w:ascii="Times New Roman" w:hAnsi="Times New Roman"/>
          <w:sz w:val="15"/>
        </w:rPr>
        <w:t>[11] Republik Indonesia, "Undang-Undang Republik Indonesia Nomor 27 Tahun 2022 tentang Pelindungan Data Pribadi," Lembaran Negara Republik Indonesia Tahun 2022 Nomor 196, Okt. 2022.</w:t>
      </w:r>
    </w:p>
    <w:p>
      <w:pPr>
        <w:spacing w:before="0" w:after="40" w:line="240" w:lineRule="auto"/>
        <w:ind w:left="259" w:hanging="259"/>
        <w:jc w:val="both"/>
      </w:pPr>
      <w:r>
        <w:rPr>
          <w:rFonts w:ascii="Times New Roman" w:hAnsi="Times New Roman"/>
          <w:sz w:val="15"/>
        </w:rPr>
        <w:t>[12] P. A. Grassi et al., "Digital Identity Guidelines: Authentication and Lifecycle Management," NIST Special Publication 800-63B, Gaithersburg, MD, Dec. 2020.</w:t>
      </w:r>
    </w:p>
    <w:p>
      <w:pPr>
        <w:spacing w:before="0" w:after="40" w:line="240" w:lineRule="auto"/>
        <w:ind w:left="259" w:hanging="259"/>
        <w:jc w:val="both"/>
      </w:pPr>
      <w:r>
        <w:rPr>
          <w:rFonts w:ascii="Times New Roman" w:hAnsi="Times New Roman"/>
          <w:sz w:val="15"/>
        </w:rPr>
        <w:t>[13] FIDO Alliance, "FIDO2: Moving the World Beyond Passwords — Implementation Guidelines," FIDO Alliance Whitepaper, Nov. 2022.</w:t>
      </w:r>
    </w:p>
    <w:p>
      <w:pPr>
        <w:spacing w:before="0" w:after="40" w:line="240" w:lineRule="auto"/>
        <w:ind w:left="259" w:hanging="259"/>
        <w:jc w:val="both"/>
      </w:pPr>
      <w:r>
        <w:rPr>
          <w:rFonts w:ascii="Times New Roman" w:hAnsi="Times New Roman"/>
          <w:sz w:val="15"/>
        </w:rPr>
        <w:t>[14] T. S. Wijaya and R. Hartanto, "Perancangan portal self-service identity recovery untuk menekan beban operasional IT support kampus," JNTETI, vol. 12, no. 3, pp. 215–223, Agu. 2023.</w:t>
      </w:r>
    </w:p>
    <w:sectPr w:rsidR="00FC693F" w:rsidRPr="0006063C" w:rsidSect="00034616">
      <w:headerReference w:type="default" r:id="rId9"/>
      <w:footerReference w:type="default" r:id="rId10"/>
      <w:pgSz w:w="11909" w:h="16834"/>
      <w:pgMar w:top="1080" w:right="936" w:bottom="1080" w:left="936"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i/>
        <w:sz w:val="16"/>
      </w:rPr>
      <w:t>http://journal.uinjkt.ac.id/index.php/aism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1" w:color="000000"/>
      </w:pBdr>
    </w:pPr>
    <w:r>
      <w:rPr>
        <w:rFonts w:ascii="Times New Roman" w:hAnsi="Times New Roman"/>
        <w:b/>
        <w:sz w:val="17"/>
      </w:rPr>
      <w:t>Applied Information System and Management (AISM)</w:t>
      <w:br/>
    </w:r>
    <w:r>
      <w:rPr>
        <w:rFonts w:ascii="Times New Roman" w:hAnsi="Times New Roman"/>
        <w:sz w:val="15"/>
      </w:rPr>
      <w:t>Volume 9, (2) 2026, p. 101–118</w:t>
      <w:br/>
      <w:t>P-ISSN: 2621-2536; E-ISSN: 2621-2544; DOI: 10.15408/aism.v9i2.38421</w:t>
      <w:br/>
      <w:t>©2026. The Author(s). This is an open acces article under cc-by-sa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