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b/>
          <w:color w:val="003366"/>
          <w:sz w:val="19"/>
        </w:rPr>
        <w:t>Journal of Applied Information System and Management (AISM)</w:t>
        <w:br/>
      </w:r>
      <w:r>
        <w:rPr>
          <w:rFonts w:ascii="Times New Roman" w:hAnsi="Times New Roman"/>
          <w:i/>
          <w:color w:val="666666"/>
          <w:sz w:val="16"/>
        </w:rPr>
        <w:t>Volume 9, Issue 2, 2026 | p-ISSN: 2615-3610 | e-ISSN: 2615-3629 | DOI: 10.15408/aism.v9i2.38421</w:t>
        <w:br/>
        <w:t>Available online at: http://journal.uinjkt.ac.id/index.php/aism</w:t>
      </w:r>
    </w:p>
    <w:p>
      <w:pPr>
        <w:spacing w:after="240"/>
        <w:pBdr>
          <w:bottom w:val="single" w:sz="12" w:space="1" w:color="003366"/>
        </w:pBdr>
      </w:pPr>
    </w:p>
    <w:p>
      <w:pPr>
        <w:spacing w:before="120" w:after="160"/>
        <w:jc w:val="center"/>
      </w:pPr>
      <w:r>
        <w:rPr>
          <w:rFonts w:ascii="Times New Roman" w:hAnsi="Times New Roman"/>
          <w:b/>
          <w:color w:val="003366"/>
          <w:sz w:val="36"/>
        </w:rPr>
        <w:t>A Systematic Literature Review of Multi-Factor Authentication (MFA) Integration in Higher Education Single Sign-On (SSO): Architectures, Security Efficacy, and Usability Trade-Offs</w:t>
      </w:r>
    </w:p>
    <w:p>
      <w:pPr>
        <w:spacing w:after="280"/>
        <w:jc w:val="center"/>
      </w:pPr>
      <w:r>
        <w:rPr>
          <w:rFonts w:ascii="Times New Roman" w:hAnsi="Times New Roman"/>
          <w:i/>
          <w:color w:val="444444"/>
          <w:sz w:val="22"/>
        </w:rPr>
        <w:t>(Tinjauan Pustaka Sistematis Integrasi Multi-Factor Authentication pada Single Sign-On Perguruan Tinggi: Arsitektur, Efektivitas Keamanan, dan Kompromi Kegunaan)</w:t>
      </w:r>
    </w:p>
    <w:p>
      <w:pPr>
        <w:spacing w:after="60"/>
        <w:jc w:val="center"/>
      </w:pPr>
      <w:r>
        <w:rPr>
          <w:rFonts w:ascii="Times New Roman" w:hAnsi="Times New Roman"/>
          <w:b/>
          <w:sz w:val="21"/>
        </w:rPr>
        <w:t>Wandy*1, Hanyudha2</w:t>
        <w:br/>
      </w:r>
    </w:p>
    <w:p>
      <w:pPr>
        <w:spacing w:after="120"/>
        <w:jc w:val="center"/>
      </w:pPr>
      <w:r>
        <w:rPr>
          <w:rFonts w:ascii="Times New Roman" w:hAnsi="Times New Roman"/>
          <w:color w:val="444444"/>
          <w:sz w:val="17"/>
        </w:rPr>
        <w:t>1,2Program Studi Sistem Informasi, Fakultas Sains dan Teknologi</w:t>
        <w:br/>
        <w:t>Pusat Teknologi Informasi dan Pangkalan Data (PUSTIPANDA)</w:t>
        <w:br/>
        <w:t>Universitas Islam Negeri Syarif Hidayatullah Jakarta, Indonesia</w:t>
        <w:br/>
        <w:t>Email: 1,*author@uinjkt.ac.id, 2pustipanda@uinjkt.ac.id</w:t>
        <w:br/>
        <w:t>*Corresponding Author</w:t>
      </w:r>
    </w:p>
    <w:p>
      <w:pPr>
        <w:spacing w:after="200"/>
        <w:jc w:val="center"/>
      </w:pPr>
      <w:r>
        <w:rPr>
          <w:rFonts w:ascii="Times New Roman" w:hAnsi="Times New Roman"/>
          <w:i/>
          <w:color w:val="666666"/>
          <w:sz w:val="16"/>
        </w:rPr>
        <w:t>Received: 10 August 2026; Revised: 1 September 2026; Accepted: 20 September 2026; Published: 30 September 2026</w:t>
      </w:r>
    </w:p>
    <w:p>
      <w:pPr>
        <w:spacing w:after="200"/>
        <w:pBdr>
          <w:bottom w:val="single" w:sz="4" w:space="1" w:color="B0B0B0"/>
        </w:pBdr>
      </w:pPr>
    </w:p>
    <w:p>
      <w:pPr>
        <w:spacing w:after="120"/>
        <w:ind w:left="360" w:right="360"/>
        <w:jc w:val="both"/>
      </w:pPr>
      <w:r>
        <w:rPr>
          <w:rFonts w:ascii="Times New Roman" w:hAnsi="Times New Roman"/>
          <w:b/>
          <w:i/>
          <w:sz w:val="18"/>
        </w:rPr>
        <w:t>Abstract—</w:t>
      </w:r>
      <w:r>
        <w:rPr>
          <w:rFonts w:ascii="Times New Roman" w:hAnsi="Times New Roman"/>
          <w:i/>
          <w:sz w:val="18"/>
        </w:rPr>
        <w:t>Single Sign-On (SSO) systems have become the foundational identity infrastructure for modern higher education institutions, enabling streamlined access to distributed academic and administrative portals. However, traditional password-only SSO introduces a severe single point of failure (SPoF) where credential stuffing, phishing, and automated password guessing expose sensitive campus data. Multi-Factor Authentication (MFA) is widely recognized as the primary countermeasure, yet universities face unique challenges characterized by massive heterogeneous user populations, strict budgetary constraints, bring-your-own-device (BYOD) disparities, and substantial helpdesk exhaustion. This paper presents a Systematic Literature Review (SLR) conducting a rigorous synthesis of 28 primary studies published between 2018 and 2026 across major databases (IEEE Xplore, Scopus, ScienceDirect, ACM DL, and SpringerLink) following the PRISMA and Kitchenham guidelines. We formulate four research questions addressing: (1) prevalent MFA architectural models and standards; (2) threat mitigation efficacy; (3) socio-technical and usability bottlenecks; and (4) strategic transition governance. Findings reveal that while TOTP remains the most cost-effective zero-license factor for bulk campus populations, it remains vulnerable to Adversary-in-the-Middle (AiTM) phishing, necessitating FIDO2/WebAuthn for privileged administrative accounts. Furthermore, user adoption is critically hindered by a 35–50% initial surge in helpdesk reset requests unless automated self-service recovery workflows and tiered rollout policies are enacted. We synthesize these insights into a strategic multi-tier implementation framework aligned with NIST SP 800-63B and data privacy mandates.</w:t>
      </w:r>
    </w:p>
    <w:p>
      <w:pPr>
        <w:spacing w:after="160"/>
        <w:ind w:left="360" w:right="360"/>
      </w:pPr>
      <w:r>
        <w:rPr>
          <w:rFonts w:ascii="Times New Roman" w:hAnsi="Times New Roman"/>
          <w:b/>
          <w:i/>
          <w:sz w:val="18"/>
        </w:rPr>
        <w:t>Index Terms—</w:t>
      </w:r>
      <w:r>
        <w:rPr>
          <w:rFonts w:ascii="Times New Roman" w:hAnsi="Times New Roman"/>
          <w:sz w:val="18"/>
        </w:rPr>
        <w:t>Single Sign-On (SSO), Multi-Factor Authentication (MFA), Higher Education Security, Systematic Literature Review, TOTP, FIDO2/WebAuthn, Identity Governance.</w:t>
      </w:r>
    </w:p>
    <w:p>
      <w:pPr>
        <w:spacing w:after="120"/>
        <w:ind w:left="360" w:right="360"/>
        <w:jc w:val="both"/>
      </w:pPr>
      <w:r>
        <w:rPr>
          <w:rFonts w:ascii="Times New Roman" w:hAnsi="Times New Roman"/>
          <w:b/>
          <w:i/>
          <w:sz w:val="18"/>
        </w:rPr>
        <w:t>Abstrak—</w:t>
      </w:r>
      <w:r>
        <w:rPr>
          <w:rFonts w:ascii="Times New Roman" w:hAnsi="Times New Roman"/>
          <w:sz w:val="18"/>
        </w:rPr>
        <w:t>Sistem Single Sign-On (SSO) telah menjadi infrastruktur identitas fundamental bagi institusi pendidikan tinggi modern untuk memfasilitasi akses terpusat ke berbagai portal akademik dan administratif. Namun, SSO berbasis kata sandi tunggal menciptakan celah single point of failure (SPoF) yang rentan terhadap serangan credential stuffing, phishing, dan penyerobotan akun massal. Multi-Factor Authentication (MFA) merupakan kontrol keamanan esensial, namun implementasinya di lingkungan perguruan tinggi menghadapi tantangan sosio-teknis yang kompleks, seperti populasi pengguna masif dan heterogen, keterbatasan anggaran lisensi, disparitas perangkat seluler, serta lonjakan beban helpdesk. Artikel ini menyajikan Tinjauan Pustaka Sistematis (Systematic Literature Review/SLR) yang menyintesis 28 studi primer bereputasi (2018–2026) dari basis data IEEE Xplore, Scopus, ScienceDirect, ACM DL, dan SpringerLink berdasarkan metodologi Kitchenham dan pedoman PRISMA. Empat pertanyaan penelitian (RQ) dijawab secara komprehensif, mencakup: (1) arsitektur dan faktor MFA yang layak; (2) efektivitas mitigasi vektor ancaman siber; (3) tantangan kegunaan dan resistensi pengguna; serta (4) tata kelola transisi strategis. Hasil sintesis menunjukkan bahwa TOTP merupakan solusi nirbiaya lisensi paling realistis untuk puluhan ribu mahasiswa dan staf, namun rentan terhadap phishing tingkat lanjut (Adversary-in-the-Middle), sehingga FIDO2/WebAuthn wajib diterapkan pada akun pengelola/admin. Selain itu, mitigasi lonjakan tiket bantuan (35–50%) membutuhkan mekanisme self-service recovery mandiri dan penahapan wajib (phased rollout) yang terikat regulasi perlindungan data pribadi (UU PDP No. 27/2022).</w:t>
      </w:r>
    </w:p>
    <w:p>
      <w:pPr>
        <w:spacing w:after="280"/>
        <w:ind w:left="360" w:right="360"/>
      </w:pPr>
      <w:r>
        <w:rPr>
          <w:rFonts w:ascii="Times New Roman" w:hAnsi="Times New Roman"/>
          <w:b/>
          <w:i/>
          <w:sz w:val="18"/>
        </w:rPr>
        <w:t>Kata Kunci—</w:t>
      </w:r>
      <w:r>
        <w:rPr>
          <w:rFonts w:ascii="Times New Roman" w:hAnsi="Times New Roman"/>
          <w:sz w:val="18"/>
        </w:rPr>
        <w:t>Single Sign-On (SSO), Multi-Factor Authentication (MFA), Keamanan Perguruan Tinggi, Tinjauan Pustaka Sistematis, TOTP, FIDO2/WebAuthn, Tata Kelola Identitas.</w:t>
      </w:r>
    </w:p>
    <w:p>
      <w:pPr>
        <w:spacing w:after="240"/>
        <w:pBdr>
          <w:bottom w:val="single" w:sz="6" w:space="1" w:color="003366"/>
        </w:pBdr>
      </w:pPr>
    </w:p>
    <w:p>
      <w:pPr>
        <w:spacing w:before="240" w:after="80"/>
      </w:pPr>
      <w:r>
        <w:rPr>
          <w:rFonts w:ascii="Times New Roman" w:hAnsi="Times New Roman"/>
          <w:b/>
          <w:color w:val="003366"/>
          <w:sz w:val="22"/>
        </w:rPr>
        <w:t>1. INTRODUCTION</w:t>
      </w:r>
    </w:p>
    <w:p>
      <w:pPr>
        <w:jc w:val="both"/>
      </w:pPr>
      <w:r>
        <w:rPr>
          <w:rFonts w:ascii="Times New Roman" w:hAnsi="Times New Roman"/>
          <w:sz w:val="20"/>
        </w:rPr>
        <w:t>Akselerasi transformasi digital pada sektor pendidikan tinggi di tingkat global maupun nasional telah mengubah lanskap operasional universitas secara fundamental. Layanan akademik, administrasi kepegawaian, repositori riset ilmiah, sistem pembayaran perkuliahan, hingga platform pembelajaran elektronik (e-Learning) kini saling terhubung melalui ekosistem digital terintegrasi. Untuk memfasilitasi kemudahan akses sekaligus mengonsolidasikan direktori pengguna, institusi perguruan tinggi secara luas mengadopsi mekanisme Single Sign-On (SSO) berbasis protokol terbuka standar industri seperti Security Assertion Markup Language (SAML 2.0), OpenID Connect (OIDC), dan OAuth 2.0 yang diorkestrasi oleh Identity Provider (IdP) seperti Keycloak, Shibboleth, atau SimpleSAMLphp [1], [2].</w:t>
      </w:r>
    </w:p>
    <w:p>
      <w:pPr>
        <w:jc w:val="both"/>
      </w:pPr>
      <w:r>
        <w:rPr>
          <w:rFonts w:ascii="Times New Roman" w:hAnsi="Times New Roman"/>
          <w:sz w:val="20"/>
        </w:rPr>
        <w:t>Meskipun SSO memberikan efisiensi signifikan dalam memangkas fragmentasi kredensial (credential fragmentation) dan menyederhanakan pengalaman pengguna (user experience), SSO berbasis kata sandi faktor tunggal (single-factor password) menghadirkan kerentanan arsitektural yang sangat fatal: Single Point of Failure (SPoF) [3]. Ketika satu kredensial pengguna terkompromi—baik melalui teknik rekayasa sosial (phishing), pencurian kredensial otomatis (credential stuffing), penebakan kata sandi default terprediksi (seperti tanggal lahir, NIM, atau NIK), hingga kebocoran pangkalan data eksternal—penyerang secara otomatis memperoleh gerbang otorisasi tanpa batas ke seluruh ekosistem aplikasi terintegrasi di universitas [4].</w:t>
      </w:r>
    </w:p>
    <w:p>
      <w:pPr>
        <w:jc w:val="both"/>
      </w:pPr>
      <w:r>
        <w:rPr>
          <w:rFonts w:ascii="Times New Roman" w:hAnsi="Times New Roman"/>
          <w:sz w:val="20"/>
        </w:rPr>
        <w:t>Insiden keamanan siber global dan nasional mencatat lonjakan dramatis serangan terhadap sektor pendidikan tinggi. Laporan Cybersecurity and Infrastructure Security Agency (CISA) dan Microsoft Digital Defense Report menegaskan bahwa sektor akademik menempati salah satu peringkat teratas target peretasan karena memproses data pribadi sensitif (data mahasiswa, dokumen kependudukan, data finansial perkuliahan) dalam jumlah masif, namun kerap beroperasi dengan postur pertahanan perimeter yang terbuka dan longgar demi mendukung kebebasan akademik [5], [6]. Penegakan hukum pelindungan data, seperti General Data Protection Regulation (GDPR) di Uni Eropa serta Undang-Undang No. 27 Tahun 2022 tentang Pelindungan Data Pribadi (UU PDP) di Indonesia, secara tegas mewajibkan institusi pengelola data untuk menerapkan kontrol teknis yang memadai guna mencegah akses ilegal dan kegagalan pelindungan data.</w:t>
      </w:r>
    </w:p>
    <w:p>
      <w:pPr>
        <w:jc w:val="both"/>
      </w:pPr>
      <w:r>
        <w:rPr>
          <w:rFonts w:ascii="Times New Roman" w:hAnsi="Times New Roman"/>
          <w:sz w:val="20"/>
        </w:rPr>
        <w:t>Penerapan Multi-Factor Authentication (MFA)—yang mensyaratkan kombinasi antara sesuatu yang diketahui (knowledge factor/password), sesuatu yang dimiliki (possession factor/smartphone token, security key), atau sesuatu yang melekat (inherence factor/biometrik)—telah terbukti secara empiris mampu meredam lebih dari 99% serangan penyerobotan akun otomatis [6]. Namun, mengintegrasikan MFA ke dalam sistem SSO perguruan tinggi yang sudah beroperasi (brownfield migration) bukanlah sekadar persoalan teknis menyalakan fitur. Lingkungan kampus memiliki karakteristik sosio-teknis yang unik dan menantang [7]: (1) populasi pengguna masif dan heterogen (mencapai 40.000–50.000 sivitas akademika yang terdiri dari mahasiswa, dosen, dan tenaga kependidikan); (2) keterbatasan alokasi anggaran lisensi per-pengguna (per-seat license cost) untuk solusi proprietary komersial; (3) disparitas perangkat Bring-Your-Own-Device (BYOD) di kalangan mahasiswa dengan variasi spesifikasi telepon pintar dan keterbatasan kuota internet; serta (4) risiko kemacetan operasional berupa lonjakan tiket bantuan (helpdesk fatigue) akibat lupa token atau kehilangan perangkat.</w:t>
      </w:r>
    </w:p>
    <w:p>
      <w:pPr>
        <w:jc w:val="both"/>
      </w:pPr>
      <w:r>
        <w:rPr>
          <w:rFonts w:ascii="Times New Roman" w:hAnsi="Times New Roman"/>
          <w:sz w:val="20"/>
        </w:rPr>
        <w:t>Meskipun literatur teknis mengenai algoritma kriptografi MFA sangat melimpah, tinjauan pustaka sistematis yang secara khusus mengeksplorasi integrasi holistik MFA pada SSO perguruan tinggi—yang memadukan evaluasi komparatif faktor autentikasi, analisis efektivitas mitigasi ancaman siber, kompromi kegunaan (usability trade-offs), dan strategi tata kelola transisi bertahap—masih sangat terbatas. Oleh karena itu, penelitian ini bertujuan melakukan Systematic Literature Review (SLR) yang terstruktur dan dapat direplikasi guna menjawab kebutuhan panduan komprehensif bagi pimpinan TI universitas dalam merencanakan transformasi autentikasi digital yang aman, patuh regulasi, ekonomis, dan berkelanjutan.</w:t>
      </w:r>
    </w:p>
    <w:p>
      <w:pPr>
        <w:spacing w:before="240" w:after="80"/>
      </w:pPr>
      <w:r>
        <w:rPr>
          <w:rFonts w:ascii="Times New Roman" w:hAnsi="Times New Roman"/>
          <w:b/>
          <w:color w:val="003366"/>
          <w:sz w:val="22"/>
        </w:rPr>
        <w:t>2. RELATED WORK</w:t>
      </w:r>
    </w:p>
    <w:p>
      <w:pPr>
        <w:jc w:val="both"/>
      </w:pPr>
      <w:r>
        <w:rPr>
          <w:rFonts w:ascii="Times New Roman" w:hAnsi="Times New Roman"/>
          <w:sz w:val="20"/>
        </w:rPr>
        <w:t>Kajian mengenai Identity and Access Management (IAM) dan Single Sign-On (SSO) telah banyak dipublikasikan dalam satu dekade terakhir. Penelitian oleh Alshammari dkk. [8] mengkaji evolusi arsitektur federasi identitas di lingkungan perguruan tinggi, menyoroti transisi dari protokol warisan (legacy) seperti LDAP/CAS langsung menuju SAML 2.0 dan OpenID Connect. Namun, studi mereka berfokus pada interoperabilitas protokol lintas institusi (seperti eduroam dan eduGAIN) tanpa mendalami mekanisme pertahanan faktor kedua terhadap pencurian sesi (session hijacking) dan phishing.</w:t>
      </w:r>
    </w:p>
    <w:p>
      <w:pPr>
        <w:jc w:val="both"/>
      </w:pPr>
      <w:r>
        <w:rPr>
          <w:rFonts w:ascii="Times New Roman" w:hAnsi="Times New Roman"/>
          <w:sz w:val="20"/>
        </w:rPr>
        <w:t>Dalam domain Multi-Factor Authentication, survei oleh Ometov dkk. [9] memberikan taksonomi komprehensif mengenai teknologi autentikasi multi-faktor modern, membandingkan SMS-OTP, Time-based One-Time Password (TOTP), push notification, dan standar Fast Identity Online (FIDO). Kendati demikian, tinjauan mereka bersifat lintas industri umum (general cross-industry) dan berasumsi pada ekosistem korporasi di mana perangkat kerja dikelola secara tersentralisasi oleh perusahaan (Mobile Device Management/MDM) dan biaya lisensi perorangan dapat dibebankan pada anggaran operasional bisnis.</w:t>
      </w:r>
    </w:p>
    <w:p>
      <w:pPr>
        <w:jc w:val="both"/>
      </w:pPr>
      <w:r>
        <w:rPr>
          <w:rFonts w:ascii="Times New Roman" w:hAnsi="Times New Roman"/>
          <w:sz w:val="20"/>
        </w:rPr>
        <w:t>Di sektor pendidikan tinggi secara spesifik, Sharma dan Kumar [10] mengevaluasi penerapan TOTP di kampus berskala kecil (&lt;5.000 pengguna), menyimpulkan bahwa TOTP meningkatkan postur keamanan secara signifikan namun memicu lonjakan resistensi pengguna pada minggu-minggu pertama implementasi. Sementara itu, kajian terkini oleh Votipka dkk. [11] serta Catteddu dkk. [12] menginvestigasi fenomena serangan modern seperti Adversary-in-the-Middle (AiTM) phishing dan MFA push fatigue yang mampu memperdaya faktor autentikasi kedua konvensional. Tabel perbandingan posisi riset ini terhadap tinjauan terdahulu disajikan pada Tabel I.</w:t>
      </w:r>
    </w:p>
    <w:p>
      <w:pPr>
        <w:jc w:val="both"/>
      </w:pPr>
      <w:r>
        <w:rPr>
          <w:rFonts w:ascii="Times New Roman" w:hAnsi="Times New Roman"/>
          <w:sz w:val="20"/>
        </w:rPr>
        <w:t>Kesenjangan nyata yang diidentifikasi dari literatur sebelumnya adalah belum adanya studi tinjauan sistematis yang menghubungkan kapabilitas arsitektur SSO berbasis open-source (seperti Keycloak) dengan spektrum faktor MFA, tantangan sosio-teknis populasi kampus masif, serta kerangka kerja tata kelola transisi bertahap yang adaptif terhadap kepatuhan hukum pelindungan data. Makalah ini mengisi kekosongan tersebut melalui sintesis literatur berbasis bukti (evidence-based synthesis).</w:t>
      </w:r>
    </w:p>
    <w:p>
      <w:pPr>
        <w:spacing w:before="160" w:after="60"/>
        <w:jc w:val="center"/>
      </w:pPr>
      <w:r>
        <w:rPr>
          <w:rFonts w:ascii="Times New Roman" w:hAnsi="Times New Roman"/>
          <w:b/>
          <w:sz w:val="17"/>
        </w:rPr>
        <w:t>TABLE I. POSITION OF THIS STUDY RELATIVE TO PREVIOUS LITERATURE REVIEWS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06"/>
        <w:gridCol w:w="1806"/>
        <w:gridCol w:w="1806"/>
        <w:gridCol w:w="1806"/>
        <w:gridCol w:w="1806"/>
      </w:tblGrid>
      <w:tr>
        <w:tc>
          <w:tcPr>
            <w:tcW w:type="dxa" w:w="1728"/>
            <w:shd w:fill="003366"/>
            <w:tcMar>
              <w:top w:w="80" w:type="dxa"/>
              <w:bottom w:w="80" w:type="dxa"/>
              <w:left w:w="100" w:type="dxa"/>
              <w:right w:w="100" w:type="dxa"/>
            </w:tcMar>
          </w:tcPr>
          <w:p>
            <w:pPr>
              <w:spacing w:before="40" w:after="40" w:line="252" w:lineRule="auto"/>
              <w:jc w:val="center"/>
            </w:pPr>
            <w:r>
              <w:rPr>
                <w:rFonts w:ascii="Times New Roman" w:hAnsi="Times New Roman"/>
                <w:b/>
                <w:i w:val="0"/>
                <w:color w:val="FFFFFF"/>
                <w:sz w:val="16"/>
              </w:rPr>
              <w:t>Rujukan &amp; Tahun</w:t>
            </w:r>
          </w:p>
        </w:tc>
        <w:tc>
          <w:tcPr>
            <w:tcW w:type="dxa" w:w="1872"/>
            <w:shd w:fill="003366"/>
            <w:tcMar>
              <w:top w:w="80" w:type="dxa"/>
              <w:bottom w:w="80" w:type="dxa"/>
              <w:left w:w="100" w:type="dxa"/>
              <w:right w:w="100" w:type="dxa"/>
            </w:tcMar>
          </w:tcPr>
          <w:p>
            <w:pPr>
              <w:spacing w:before="40" w:after="40" w:line="252" w:lineRule="auto"/>
              <w:jc w:val="center"/>
            </w:pPr>
            <w:r>
              <w:rPr>
                <w:rFonts w:ascii="Times New Roman" w:hAnsi="Times New Roman"/>
                <w:b/>
                <w:i w:val="0"/>
                <w:color w:val="FFFFFF"/>
                <w:sz w:val="16"/>
              </w:rPr>
              <w:t>Fokus Utama Studi</w:t>
            </w:r>
          </w:p>
        </w:tc>
        <w:tc>
          <w:tcPr>
            <w:tcW w:type="dxa" w:w="1872"/>
            <w:shd w:fill="003366"/>
            <w:tcMar>
              <w:top w:w="80" w:type="dxa"/>
              <w:bottom w:w="80" w:type="dxa"/>
              <w:left w:w="100" w:type="dxa"/>
              <w:right w:w="100" w:type="dxa"/>
            </w:tcMar>
          </w:tcPr>
          <w:p>
            <w:pPr>
              <w:spacing w:before="40" w:after="40" w:line="252" w:lineRule="auto"/>
              <w:jc w:val="center"/>
            </w:pPr>
            <w:r>
              <w:rPr>
                <w:rFonts w:ascii="Times New Roman" w:hAnsi="Times New Roman"/>
                <w:b/>
                <w:i w:val="0"/>
                <w:color w:val="FFFFFF"/>
                <w:sz w:val="16"/>
              </w:rPr>
              <w:t>Konteks Sektor</w:t>
            </w:r>
          </w:p>
        </w:tc>
        <w:tc>
          <w:tcPr>
            <w:tcW w:type="dxa" w:w="1872"/>
            <w:shd w:fill="003366"/>
            <w:tcMar>
              <w:top w:w="80" w:type="dxa"/>
              <w:bottom w:w="80" w:type="dxa"/>
              <w:left w:w="100" w:type="dxa"/>
              <w:right w:w="100" w:type="dxa"/>
            </w:tcMar>
          </w:tcPr>
          <w:p>
            <w:pPr>
              <w:spacing w:before="40" w:after="40" w:line="252" w:lineRule="auto"/>
              <w:jc w:val="center"/>
            </w:pPr>
            <w:r>
              <w:rPr>
                <w:rFonts w:ascii="Times New Roman" w:hAnsi="Times New Roman"/>
                <w:b/>
                <w:i w:val="0"/>
                <w:color w:val="FFFFFF"/>
                <w:sz w:val="16"/>
              </w:rPr>
              <w:t>Evaluasi Faktor MFA</w:t>
            </w:r>
          </w:p>
        </w:tc>
        <w:tc>
          <w:tcPr>
            <w:tcW w:type="dxa" w:w="1872"/>
            <w:shd w:fill="003366"/>
            <w:tcMar>
              <w:top w:w="80" w:type="dxa"/>
              <w:bottom w:w="80" w:type="dxa"/>
              <w:left w:w="100" w:type="dxa"/>
              <w:right w:w="100" w:type="dxa"/>
            </w:tcMar>
          </w:tcPr>
          <w:p>
            <w:pPr>
              <w:spacing w:before="40" w:after="40" w:line="252" w:lineRule="auto"/>
              <w:jc w:val="center"/>
            </w:pPr>
            <w:r>
              <w:rPr>
                <w:rFonts w:ascii="Times New Roman" w:hAnsi="Times New Roman"/>
                <w:b/>
                <w:i w:val="0"/>
                <w:color w:val="FFFFFF"/>
                <w:sz w:val="16"/>
              </w:rPr>
              <w:t>Sintesis Tata Kelola &amp; Biaya</w:t>
            </w:r>
          </w:p>
        </w:tc>
      </w:tr>
      <w:tr>
        <w:tc>
          <w:tcPr>
            <w:tcW w:type="dxa" w:w="1728"/>
            <w:shd w:fill="FFFFFF"/>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Alshammari dkk. (2020) [8]</w:t>
            </w:r>
          </w:p>
        </w:tc>
        <w:tc>
          <w:tcPr>
            <w:tcW w:type="dxa" w:w="1872"/>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Protokol federasi SSO &amp; interoperabilitas SAML/OIDC</w:t>
            </w:r>
          </w:p>
        </w:tc>
        <w:tc>
          <w:tcPr>
            <w:tcW w:type="dxa" w:w="1872"/>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Perguruan Tinggi</w:t>
            </w:r>
          </w:p>
        </w:tc>
        <w:tc>
          <w:tcPr>
            <w:tcW w:type="dxa" w:w="1872"/>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Terbatas (Fokus pada single-factor SSO)</w:t>
            </w:r>
          </w:p>
        </w:tc>
        <w:tc>
          <w:tcPr>
            <w:tcW w:type="dxa" w:w="1872"/>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Tidak dibahas secara mendalam</w:t>
            </w:r>
          </w:p>
        </w:tc>
      </w:tr>
      <w:tr>
        <w:tc>
          <w:tcPr>
            <w:tcW w:type="dxa" w:w="1728"/>
            <w:shd w:fill="F9FBFD"/>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Ometov dkk. (2021) [9]</w:t>
            </w:r>
          </w:p>
        </w:tc>
        <w:tc>
          <w:tcPr>
            <w:tcW w:type="dxa" w:w="1872"/>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Taksonomi &amp; survei teknologi MFA kontemporer</w:t>
            </w:r>
          </w:p>
        </w:tc>
        <w:tc>
          <w:tcPr>
            <w:tcW w:type="dxa" w:w="1872"/>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Industri Umum &amp; IoT</w:t>
            </w:r>
          </w:p>
        </w:tc>
        <w:tc>
          <w:tcPr>
            <w:tcW w:type="dxa" w:w="1872"/>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Mendalam (TOTP, Biometrik, FIDO, SMS)</w:t>
            </w:r>
          </w:p>
        </w:tc>
        <w:tc>
          <w:tcPr>
            <w:tcW w:type="dxa" w:w="1872"/>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Asumsi lingkungan korporasi / MDM</w:t>
            </w:r>
          </w:p>
        </w:tc>
      </w:tr>
      <w:tr>
        <w:tc>
          <w:tcPr>
            <w:tcW w:type="dxa" w:w="1728"/>
            <w:shd w:fill="FFFFFF"/>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Sharma &amp; Kumar (2023) [10]</w:t>
            </w:r>
          </w:p>
        </w:tc>
        <w:tc>
          <w:tcPr>
            <w:tcW w:type="dxa" w:w="1872"/>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Penerapan TOTP pada lingkungan kampus skala kecil</w:t>
            </w:r>
          </w:p>
        </w:tc>
        <w:tc>
          <w:tcPr>
            <w:tcW w:type="dxa" w:w="1872"/>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Pendidikan Tinggi</w:t>
            </w:r>
          </w:p>
        </w:tc>
        <w:tc>
          <w:tcPr>
            <w:tcW w:type="dxa" w:w="1872"/>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Fokus tunggal pada TOTP aplikasi</w:t>
            </w:r>
          </w:p>
        </w:tc>
        <w:tc>
          <w:tcPr>
            <w:tcW w:type="dxa" w:w="1872"/>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Evaluasi operasional terbatas (&lt;5rb user)</w:t>
            </w:r>
          </w:p>
        </w:tc>
      </w:tr>
      <w:tr>
        <w:tc>
          <w:tcPr>
            <w:tcW w:type="dxa" w:w="1728"/>
            <w:shd w:fill="F9FBFD"/>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Makalah Ini (2026)</w:t>
            </w:r>
          </w:p>
        </w:tc>
        <w:tc>
          <w:tcPr>
            <w:tcW w:type="dxa" w:w="1872"/>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Sintesis komprehensif integrasi SSO + MFA &amp; governance</w:t>
            </w:r>
          </w:p>
        </w:tc>
        <w:tc>
          <w:tcPr>
            <w:tcW w:type="dxa" w:w="1872"/>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Pendidikan Tinggi (Massal &gt;40rb user)</w:t>
            </w:r>
          </w:p>
        </w:tc>
        <w:tc>
          <w:tcPr>
            <w:tcW w:type="dxa" w:w="1872"/>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Multi-faktor (TOTP, FIDO2, Push, SMS, Passkey)</w:t>
            </w:r>
          </w:p>
        </w:tc>
        <w:tc>
          <w:tcPr>
            <w:tcW w:type="dxa" w:w="1872"/>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Mendalam: Biaya nol-lisensi, helpdesk, mitigasi AiTM, regulasi PDP</w:t>
            </w:r>
          </w:p>
        </w:tc>
      </w:tr>
    </w:tbl>
    <w:p>
      <w:pPr>
        <w:spacing w:after="160"/>
      </w:pPr>
    </w:p>
    <w:p>
      <w:pPr>
        <w:spacing w:before="240" w:after="80"/>
      </w:pPr>
      <w:r>
        <w:rPr>
          <w:rFonts w:ascii="Times New Roman" w:hAnsi="Times New Roman"/>
          <w:b/>
          <w:color w:val="003366"/>
          <w:sz w:val="22"/>
        </w:rPr>
        <w:t>3. RESEARCH METHOD</w:t>
      </w:r>
    </w:p>
    <w:p>
      <w:pPr>
        <w:jc w:val="both"/>
      </w:pPr>
      <w:r>
        <w:rPr>
          <w:rFonts w:ascii="Times New Roman" w:hAnsi="Times New Roman"/>
          <w:sz w:val="20"/>
        </w:rPr>
        <w:t>Metodologi tinjauan pustaka sistematis yang dieksekusi dalam penelitian ini mengadopsi pedoman standar Kitchenham dan Charters [13] yang diintegrasikan dengan kerangka pelaporan Preferred Reporting Items for Systematic Reviews and Meta-Analyses (PRISMA 2020) [14]. Alur penelitian terbagi menjadi tiga fase utama: (1) Perencanaan (Planning)—perumusan Research Questions (RQ) dan protokol pencarian; (2) Pelaksanaan (Conducting)—eksekusi kueri pada basis data elektronik, penyaringan duplikasi, seleksi kriteria inklusi/eksklusi, dan penilaian kualitas; serta (3) Pelaporan (Reporting)—ekstraksi data dan sintesis naratif komparatif.</w:t>
      </w:r>
    </w:p>
    <w:p>
      <w:pPr>
        <w:jc w:val="both"/>
      </w:pPr>
      <w:r>
        <w:rPr>
          <w:rFonts w:ascii="Times New Roman" w:hAnsi="Times New Roman"/>
          <w:b/>
          <w:i/>
          <w:sz w:val="20"/>
        </w:rPr>
        <w:t>A. Perumusan Pertanyaan Penelitian (Research Questions)</w:t>
      </w:r>
    </w:p>
    <w:p>
      <w:pPr>
        <w:jc w:val="both"/>
      </w:pPr>
      <w:r>
        <w:rPr>
          <w:rFonts w:ascii="Times New Roman" w:hAnsi="Times New Roman"/>
          <w:sz w:val="20"/>
        </w:rPr>
        <w:t>Untuk memandu telaah kritis terhadap literatur secara sistematis, empat Research Questions (RQ) dirumuskan berdasarkan permasalahan nyata transisi SSO-MFA di perguruan tinggi sebagaimana dirinci pada Tabel II.</w:t>
      </w:r>
    </w:p>
    <w:p>
      <w:pPr>
        <w:jc w:val="both"/>
      </w:pPr>
      <w:r>
        <w:rPr>
          <w:rFonts w:ascii="Times New Roman" w:hAnsi="Times New Roman"/>
          <w:b/>
          <w:i/>
          <w:sz w:val="20"/>
        </w:rPr>
        <w:t>B. Strategi Pencarian dan Basis Data Elektronik</w:t>
      </w:r>
    </w:p>
    <w:p>
      <w:pPr>
        <w:jc w:val="both"/>
      </w:pPr>
      <w:r>
        <w:rPr>
          <w:rFonts w:ascii="Times New Roman" w:hAnsi="Times New Roman"/>
          <w:sz w:val="20"/>
        </w:rPr>
        <w:t>Pencarian literatur primer dilakukan secara komprehensif pada lima basis data akademik bereputasi internasional: (1) IEEE Xplore, (2) Scopus, (3) ScienceDirect (Elsevier), (4) ACM Digital Library, dan (5) SpringerLink, dengan penelusuran pelengkap melalui Google Scholar untuk menangkap literatur abu-abu (gray literature) dan standar industri resmi (NIST, CISA, FIDO Alliance). Rentang publikasi dibatasi antara Januari 2018 hingga Juni 2026 untuk memastikan relevansi dengan perkembangan arsitektur identitas modern dan ancaman siber kontemporer.</w:t>
      </w:r>
    </w:p>
    <w:p>
      <w:pPr>
        <w:jc w:val="both"/>
      </w:pPr>
      <w:r>
        <w:rPr>
          <w:rFonts w:ascii="Times New Roman" w:hAnsi="Times New Roman"/>
          <w:sz w:val="20"/>
        </w:rPr>
        <w:t>String pencarian dibangun menggunakan operator Boolean (AND, OR) yang mengombinasikan kata kunci ranah autentikasi, sistem SSO, dan konteks institusi pendidikan tinggi:</w:t>
      </w:r>
    </w:p>
    <w:p>
      <w:pPr>
        <w:ind w:left="288"/>
        <w:jc w:val="both"/>
      </w:pPr>
      <w:r>
        <w:rPr>
          <w:rFonts w:ascii="Consolas" w:hAnsi="Consolas"/>
          <w:color w:val="003366"/>
          <w:sz w:val="17"/>
        </w:rPr>
        <w:t>("Multi-Factor Authentication" OR "MFA" OR "Two-Factor Authentication" OR "2FA" OR "FIDO2" OR "TOTP") AND ("Single Sign-On" OR "SSO" OR "Identity Provider" OR "Keycloak" OR "OpenID Connect" OR "SAML") AND ("Higher Education" OR "University" OR "Campus" OR "Academic Institution").</w:t>
      </w:r>
    </w:p>
    <w:p>
      <w:pPr>
        <w:jc w:val="both"/>
      </w:pPr>
      <w:r>
        <w:rPr>
          <w:rFonts w:ascii="Times New Roman" w:hAnsi="Times New Roman"/>
          <w:b/>
          <w:i/>
          <w:sz w:val="20"/>
        </w:rPr>
        <w:t>C. Kriteria Inklusi dan Eksklusi</w:t>
      </w:r>
    </w:p>
    <w:p>
      <w:pPr>
        <w:jc w:val="both"/>
      </w:pPr>
      <w:r>
        <w:rPr>
          <w:rFonts w:ascii="Times New Roman" w:hAnsi="Times New Roman"/>
          <w:sz w:val="20"/>
        </w:rPr>
        <w:t>Penyaringan artikel dilakukan melalui protokol kriteria kelayakan yang ketat untuk menjamin validitas dan relevansi data yang diekstraksi, sebagaimana dijabarkan pada Tabel III.</w:t>
      </w:r>
    </w:p>
    <w:p>
      <w:pPr>
        <w:spacing w:before="160" w:after="60"/>
        <w:jc w:val="center"/>
      </w:pPr>
      <w:r>
        <w:rPr>
          <w:rFonts w:ascii="Times New Roman" w:hAnsi="Times New Roman"/>
          <w:b/>
          <w:sz w:val="17"/>
        </w:rPr>
        <w:t>TABLE II. FORMULATION OF RESEARCH QUESTIONS (RQS)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440"/>
            <w:shd w:fill="003366"/>
            <w:tcMar>
              <w:top w:w="80" w:type="dxa"/>
              <w:bottom w:w="80" w:type="dxa"/>
              <w:left w:w="100" w:type="dxa"/>
              <w:right w:w="100" w:type="dxa"/>
            </w:tcMar>
          </w:tcPr>
          <w:p>
            <w:pPr>
              <w:spacing w:before="40" w:after="40" w:line="252" w:lineRule="auto"/>
              <w:jc w:val="center"/>
            </w:pPr>
            <w:r>
              <w:rPr>
                <w:rFonts w:ascii="Times New Roman" w:hAnsi="Times New Roman"/>
                <w:b/>
                <w:i w:val="0"/>
                <w:color w:val="FFFFFF"/>
                <w:sz w:val="16"/>
              </w:rPr>
              <w:t>ID Pertanyaan</w:t>
            </w:r>
          </w:p>
        </w:tc>
        <w:tc>
          <w:tcPr>
            <w:tcW w:type="dxa" w:w="4032"/>
            <w:shd w:fill="003366"/>
            <w:tcMar>
              <w:top w:w="80" w:type="dxa"/>
              <w:bottom w:w="80" w:type="dxa"/>
              <w:left w:w="100" w:type="dxa"/>
              <w:right w:w="100" w:type="dxa"/>
            </w:tcMar>
          </w:tcPr>
          <w:p>
            <w:pPr>
              <w:spacing w:before="40" w:after="40" w:line="252" w:lineRule="auto"/>
              <w:jc w:val="center"/>
            </w:pPr>
            <w:r>
              <w:rPr>
                <w:rFonts w:ascii="Times New Roman" w:hAnsi="Times New Roman"/>
                <w:b/>
                <w:i w:val="0"/>
                <w:color w:val="FFFFFF"/>
                <w:sz w:val="16"/>
              </w:rPr>
              <w:t>Pertanyaan Penelitian (Research Question)</w:t>
            </w:r>
          </w:p>
        </w:tc>
        <w:tc>
          <w:tcPr>
            <w:tcW w:type="dxa" w:w="3744"/>
            <w:shd w:fill="003366"/>
            <w:tcMar>
              <w:top w:w="80" w:type="dxa"/>
              <w:bottom w:w="80" w:type="dxa"/>
              <w:left w:w="100" w:type="dxa"/>
              <w:right w:w="100" w:type="dxa"/>
            </w:tcMar>
          </w:tcPr>
          <w:p>
            <w:pPr>
              <w:spacing w:before="40" w:after="40" w:line="252" w:lineRule="auto"/>
              <w:jc w:val="center"/>
            </w:pPr>
            <w:r>
              <w:rPr>
                <w:rFonts w:ascii="Times New Roman" w:hAnsi="Times New Roman"/>
                <w:b/>
                <w:i w:val="0"/>
                <w:color w:val="FFFFFF"/>
                <w:sz w:val="16"/>
              </w:rPr>
              <w:t>Tujuan &amp; Motivasi Kajian</w:t>
            </w:r>
          </w:p>
        </w:tc>
      </w:tr>
      <w:tr>
        <w:tc>
          <w:tcPr>
            <w:tcW w:type="dxa" w:w="1440"/>
            <w:shd w:fill="FFFFFF"/>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RQ1 (Arsitektur)</w:t>
            </w:r>
          </w:p>
        </w:tc>
        <w:tc>
          <w:tcPr>
            <w:tcW w:type="dxa" w:w="4032"/>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Apa saja faktor autentikasi dan pola arsitektur integrasi MFA yang paling kompatibel, teruji, dan ekonomis pada ekosistem SSO perguruan tinggi?</w:t>
            </w:r>
          </w:p>
        </w:tc>
        <w:tc>
          <w:tcPr>
            <w:tcW w:type="dxa" w:w="3744"/>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Mengidentifikasi spektrum teknologi MFA (TOTP, FIDO2, Push, SMS) serta pola integrasinya dengan IdP standar terbuka.</w:t>
            </w:r>
          </w:p>
        </w:tc>
      </w:tr>
      <w:tr>
        <w:tc>
          <w:tcPr>
            <w:tcW w:type="dxa" w:w="1440"/>
            <w:shd w:fill="F9FBFD"/>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RQ2 (Keamanan)</w:t>
            </w:r>
          </w:p>
        </w:tc>
        <w:tc>
          <w:tcPr>
            <w:tcW w:type="dxa" w:w="4032"/>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Bagaimana efektivitas MFA dalam memitigasi vektor ancaman siber utama (credential stuffing, phishing, session hijacking), dan apa kerentanan residualnya?</w:t>
            </w:r>
          </w:p>
        </w:tc>
        <w:tc>
          <w:tcPr>
            <w:tcW w:type="dxa" w:w="3744"/>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Mengevaluasi kapabilitas proteksi riil dan celah bypass (seperti AiTM reverse-proxy phishing dan push fatigue) pada konteks kampus.</w:t>
            </w:r>
          </w:p>
        </w:tc>
      </w:tr>
      <w:tr>
        <w:tc>
          <w:tcPr>
            <w:tcW w:type="dxa" w:w="1440"/>
            <w:shd w:fill="FFFFFF"/>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RQ3 (Usabilitas)</w:t>
            </w:r>
          </w:p>
        </w:tc>
        <w:tc>
          <w:tcPr>
            <w:tcW w:type="dxa" w:w="4032"/>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Apa saja hambatan sosio-teknis utama terkait kegunaan (usability), kesenjangan perangkat (BYOD), dan lonjakan beban helpdesk pada adopsi MFA massal?</w:t>
            </w:r>
          </w:p>
        </w:tc>
        <w:tc>
          <w:tcPr>
            <w:tcW w:type="dxa" w:w="3744"/>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Menganalisis dampak operasional terhadap dukungan TI, resistensi pengguna, serta metrik kegunaan (System Usability Scale).</w:t>
            </w:r>
          </w:p>
        </w:tc>
      </w:tr>
      <w:tr>
        <w:tc>
          <w:tcPr>
            <w:tcW w:type="dxa" w:w="1440"/>
            <w:shd w:fill="F9FBFD"/>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RQ4 (Tata Kelola)</w:t>
            </w:r>
          </w:p>
        </w:tc>
        <w:tc>
          <w:tcPr>
            <w:tcW w:type="dxa" w:w="4032"/>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Bagaimana strategi penahapan implementasi (phased rollout), penegakan kebijakan, dan tata kelola akun yang efektif serta patuh regulasi pelindungan data?</w:t>
            </w:r>
          </w:p>
        </w:tc>
        <w:tc>
          <w:tcPr>
            <w:tcW w:type="dxa" w:w="3744"/>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Merumuskan model transisi berkelanjutan yang menyelaraskan kebijakan institusi dengan standar NIST SP 800-63B dan regulasi pelindungan data.</w:t>
            </w:r>
          </w:p>
        </w:tc>
      </w:tr>
    </w:tbl>
    <w:p>
      <w:pPr>
        <w:spacing w:after="160"/>
      </w:pPr>
    </w:p>
    <w:p>
      <w:pPr>
        <w:spacing w:before="160" w:after="60"/>
        <w:jc w:val="center"/>
      </w:pPr>
      <w:r>
        <w:rPr>
          <w:rFonts w:ascii="Times New Roman" w:hAnsi="Times New Roman"/>
          <w:b/>
          <w:sz w:val="17"/>
        </w:rPr>
        <w:t>TABLE III. STUDY INCLUSION AND EXCLUSION CRITERIA</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257"/>
        <w:gridCol w:w="2257"/>
        <w:gridCol w:w="2257"/>
        <w:gridCol w:w="2257"/>
      </w:tblGrid>
      <w:tr>
        <w:tc>
          <w:tcPr>
            <w:tcW w:type="dxa" w:w="1152"/>
            <w:shd w:fill="003366"/>
            <w:tcMar>
              <w:top w:w="80" w:type="dxa"/>
              <w:bottom w:w="80" w:type="dxa"/>
              <w:left w:w="100" w:type="dxa"/>
              <w:right w:w="100" w:type="dxa"/>
            </w:tcMar>
          </w:tcPr>
          <w:p>
            <w:pPr>
              <w:spacing w:before="40" w:after="40" w:line="252" w:lineRule="auto"/>
              <w:jc w:val="center"/>
            </w:pPr>
            <w:r>
              <w:rPr>
                <w:rFonts w:ascii="Times New Roman" w:hAnsi="Times New Roman"/>
                <w:b/>
                <w:i w:val="0"/>
                <w:color w:val="FFFFFF"/>
                <w:sz w:val="16"/>
              </w:rPr>
              <w:t>Kode</w:t>
            </w:r>
          </w:p>
        </w:tc>
        <w:tc>
          <w:tcPr>
            <w:tcW w:type="dxa" w:w="3456"/>
            <w:shd w:fill="003366"/>
            <w:tcMar>
              <w:top w:w="80" w:type="dxa"/>
              <w:bottom w:w="80" w:type="dxa"/>
              <w:left w:w="100" w:type="dxa"/>
              <w:right w:w="100" w:type="dxa"/>
            </w:tcMar>
          </w:tcPr>
          <w:p>
            <w:pPr>
              <w:spacing w:before="40" w:after="40" w:line="252" w:lineRule="auto"/>
              <w:jc w:val="center"/>
            </w:pPr>
            <w:r>
              <w:rPr>
                <w:rFonts w:ascii="Times New Roman" w:hAnsi="Times New Roman"/>
                <w:b/>
                <w:i w:val="0"/>
                <w:color w:val="FFFFFF"/>
                <w:sz w:val="16"/>
              </w:rPr>
              <w:t>Kriteria Inklusi (Inclusion Criteria)</w:t>
            </w:r>
          </w:p>
        </w:tc>
        <w:tc>
          <w:tcPr>
            <w:tcW w:type="dxa" w:w="1152"/>
            <w:shd w:fill="003366"/>
            <w:tcMar>
              <w:top w:w="80" w:type="dxa"/>
              <w:bottom w:w="80" w:type="dxa"/>
              <w:left w:w="100" w:type="dxa"/>
              <w:right w:w="100" w:type="dxa"/>
            </w:tcMar>
          </w:tcPr>
          <w:p>
            <w:pPr>
              <w:spacing w:before="40" w:after="40" w:line="252" w:lineRule="auto"/>
              <w:jc w:val="center"/>
            </w:pPr>
            <w:r>
              <w:rPr>
                <w:rFonts w:ascii="Times New Roman" w:hAnsi="Times New Roman"/>
                <w:b/>
                <w:i w:val="0"/>
                <w:color w:val="FFFFFF"/>
                <w:sz w:val="16"/>
              </w:rPr>
              <w:t>Kode</w:t>
            </w:r>
          </w:p>
        </w:tc>
        <w:tc>
          <w:tcPr>
            <w:tcW w:type="dxa" w:w="3456"/>
            <w:shd w:fill="003366"/>
            <w:tcMar>
              <w:top w:w="80" w:type="dxa"/>
              <w:bottom w:w="80" w:type="dxa"/>
              <w:left w:w="100" w:type="dxa"/>
              <w:right w:w="100" w:type="dxa"/>
            </w:tcMar>
          </w:tcPr>
          <w:p>
            <w:pPr>
              <w:spacing w:before="40" w:after="40" w:line="252" w:lineRule="auto"/>
              <w:jc w:val="center"/>
            </w:pPr>
            <w:r>
              <w:rPr>
                <w:rFonts w:ascii="Times New Roman" w:hAnsi="Times New Roman"/>
                <w:b/>
                <w:i w:val="0"/>
                <w:color w:val="FFFFFF"/>
                <w:sz w:val="16"/>
              </w:rPr>
              <w:t>Kriteria Eksklusi (Exclusion Criteria)</w:t>
            </w:r>
          </w:p>
        </w:tc>
      </w:tr>
      <w:tr>
        <w:tc>
          <w:tcPr>
            <w:tcW w:type="dxa" w:w="1152"/>
            <w:shd w:fill="FFFFFF"/>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IC1</w:t>
            </w:r>
          </w:p>
        </w:tc>
        <w:tc>
          <w:tcPr>
            <w:tcW w:type="dxa" w:w="3456"/>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Artikel peer-reviewed yang membahas implementasi, evaluasi, atau arsitektur MFA/2FA pada sistem SSO.</w:t>
            </w:r>
          </w:p>
        </w:tc>
        <w:tc>
          <w:tcPr>
            <w:tcW w:type="dxa" w:w="1152"/>
            <w:shd w:fill="FFFFFF"/>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EC1</w:t>
            </w:r>
          </w:p>
        </w:tc>
        <w:tc>
          <w:tcPr>
            <w:tcW w:type="dxa" w:w="3456"/>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Artikel tidak berfokus pada autentikasi pengguna (misal: enkripsi jaringan semata atau keamanan IoT tanpa SSO).</w:t>
            </w:r>
          </w:p>
        </w:tc>
      </w:tr>
      <w:tr>
        <w:tc>
          <w:tcPr>
            <w:tcW w:type="dxa" w:w="1152"/>
            <w:shd w:fill="F9FBFD"/>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IC2</w:t>
            </w:r>
          </w:p>
        </w:tc>
        <w:tc>
          <w:tcPr>
            <w:tcW w:type="dxa" w:w="3456"/>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Studi empiris atau studi kasus di perguruan tinggi, sektor pendidikan, atau enterprise berskala besar yang relevan.</w:t>
            </w:r>
          </w:p>
        </w:tc>
        <w:tc>
          <w:tcPr>
            <w:tcW w:type="dxa" w:w="1152"/>
            <w:shd w:fill="F9FBFD"/>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EC2</w:t>
            </w:r>
          </w:p>
        </w:tc>
        <w:tc>
          <w:tcPr>
            <w:tcW w:type="dxa" w:w="3456"/>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Artikel ulasan sangat singkat (&lt;4 halaman), poster, presentasi, atau tutorial pengantar.</w:t>
            </w:r>
          </w:p>
        </w:tc>
      </w:tr>
      <w:tr>
        <w:tc>
          <w:tcPr>
            <w:tcW w:type="dxa" w:w="1152"/>
            <w:shd w:fill="FFFFFF"/>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IC3</w:t>
            </w:r>
          </w:p>
        </w:tc>
        <w:tc>
          <w:tcPr>
            <w:tcW w:type="dxa" w:w="3456"/>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Artikel mengevaluasi aspek keamanan, efektivitas mitigasi serangan, atau performa teknis faktor autentikasi.</w:t>
            </w:r>
          </w:p>
        </w:tc>
        <w:tc>
          <w:tcPr>
            <w:tcW w:type="dxa" w:w="1152"/>
            <w:shd w:fill="FFFFFF"/>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EC3</w:t>
            </w:r>
          </w:p>
        </w:tc>
        <w:tc>
          <w:tcPr>
            <w:tcW w:type="dxa" w:w="3456"/>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Artikel tidak memiliki teks lengkap (full-text inaccessible) atau duplikasi data yang sama.</w:t>
            </w:r>
          </w:p>
        </w:tc>
      </w:tr>
      <w:tr>
        <w:tc>
          <w:tcPr>
            <w:tcW w:type="dxa" w:w="1152"/>
            <w:shd w:fill="F9FBFD"/>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IC4</w:t>
            </w:r>
          </w:p>
        </w:tc>
        <w:tc>
          <w:tcPr>
            <w:tcW w:type="dxa" w:w="3456"/>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Artikel membahas aspek kegunaan (usability), adopsi pengguna, beban operasional helpdesk, atau tata kelola identitas.</w:t>
            </w:r>
          </w:p>
        </w:tc>
        <w:tc>
          <w:tcPr>
            <w:tcW w:type="dxa" w:w="1152"/>
            <w:shd w:fill="F9FBFD"/>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EC4</w:t>
            </w:r>
          </w:p>
        </w:tc>
        <w:tc>
          <w:tcPr>
            <w:tcW w:type="dxa" w:w="3456"/>
            <w:shd w:fill="F9FBFD"/>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Artikel terbit sebelum tahun 2018 (kecuali artikel rujukan metodologi seminal).</w:t>
            </w:r>
          </w:p>
        </w:tc>
      </w:tr>
      <w:tr>
        <w:tc>
          <w:tcPr>
            <w:tcW w:type="dxa" w:w="1152"/>
            <w:shd w:fill="FFFFFF"/>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IC5</w:t>
            </w:r>
          </w:p>
        </w:tc>
        <w:tc>
          <w:tcPr>
            <w:tcW w:type="dxa" w:w="3456"/>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Ditulis dalam bahasa Inggris atau bahasa Indonesia baku dengan metodologi yang dapat diverifikasi.</w:t>
            </w:r>
          </w:p>
        </w:tc>
        <w:tc>
          <w:tcPr>
            <w:tcW w:type="dxa" w:w="1152"/>
            <w:shd w:fill="FFFFFF"/>
            <w:tcMar>
              <w:top w:w="70" w:type="dxa"/>
              <w:bottom w:w="70" w:type="dxa"/>
              <w:left w:w="100" w:type="dxa"/>
              <w:right w:w="100" w:type="dxa"/>
            </w:tcMar>
          </w:tcPr>
          <w:p>
            <w:pPr>
              <w:spacing w:before="40" w:after="40" w:line="252" w:lineRule="auto"/>
              <w:jc w:val="left"/>
            </w:pPr>
            <w:r>
              <w:rPr>
                <w:rFonts w:ascii="Times New Roman" w:hAnsi="Times New Roman"/>
                <w:b/>
                <w:i w:val="0"/>
                <w:color w:val="222222"/>
                <w:sz w:val="16"/>
              </w:rPr>
              <w:t>EC5</w:t>
            </w:r>
          </w:p>
        </w:tc>
        <w:tc>
          <w:tcPr>
            <w:tcW w:type="dxa" w:w="3456"/>
            <w:shd w:fill="FFFFFF"/>
            <w:tcMar>
              <w:top w:w="70" w:type="dxa"/>
              <w:bottom w:w="70" w:type="dxa"/>
              <w:left w:w="100" w:type="dxa"/>
              <w:right w:w="100" w:type="dxa"/>
            </w:tcMar>
          </w:tcPr>
          <w:p>
            <w:pPr>
              <w:spacing w:before="40" w:after="40" w:line="252" w:lineRule="auto"/>
              <w:jc w:val="left"/>
            </w:pPr>
            <w:r>
              <w:rPr>
                <w:rFonts w:ascii="Times New Roman" w:hAnsi="Times New Roman"/>
                <w:b w:val="0"/>
                <w:i w:val="0"/>
                <w:color w:val="222222"/>
                <w:sz w:val="16"/>
              </w:rPr>
              <w:t>Artikel diterbitkan di jurnal predator atau tidak melalui proses telaah sejawat (unreviewed whitepapers tanpa dasar teknis).</w:t>
            </w:r>
          </w:p>
        </w:tc>
      </w:tr>
    </w:tbl>
    <w:p>
      <w:pPr>
        <w:spacing w:after="160"/>
      </w:pP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80" w:type="dxa"/>
              <w:right w:w="180" w:type="dxa"/>
            </w:tcMar>
            <w:tcBorders>
              <w:left w:val="single" w:sz="20" w:space="0" w:color="003366"/>
              <w:top w:val="none"/>
              <w:right w:val="none"/>
              <w:bottom w:val="none"/>
            </w:tcBorders>
          </w:tcPr>
          <w:p>
            <w:pPr>
              <w:spacing w:before="40" w:after="60"/>
            </w:pPr>
            <w:r>
              <w:rPr>
                <w:rFonts w:ascii="Times New Roman" w:hAnsi="Times New Roman"/>
                <w:b/>
                <w:color w:val="003366"/>
                <w:sz w:val="19"/>
              </w:rPr>
              <w:t>■ RINGKASAN ALUR SELEKSI PRISMA 2020 (STUDI TERPILIH N=28)</w:t>
              <w:br/>
            </w:r>
            <w:r>
              <w:rPr>
                <w:rFonts w:ascii="Times New Roman" w:hAnsi="Times New Roman"/>
                <w:color w:val="222222"/>
                <w:sz w:val="18"/>
              </w:rPr>
              <w:t>1. Identifikasi (Identification): Sebanyak 412 catatan rekaman ditemukan dari 5 basis data akademik (IEEE Xplore=118, Scopus=104, ScienceDirect=72, ACM DL=56, SpringerLink=44, Google Scholar/Other=18).</w:t>
            </w:r>
          </w:p>
          <w:p>
            <w:pPr>
              <w:spacing w:before="40" w:after="60"/>
            </w:pPr>
            <w:r>
              <w:rPr>
                <w:rFonts w:ascii="Times New Roman" w:hAnsi="Times New Roman"/>
                <w:color w:val="222222"/>
                <w:sz w:val="18"/>
              </w:rPr>
              <w:t>2. Pembersihan Duplikasi: 94 artikel duplikat berhasil disingkirkan, menyisakan 318 artikel unik.</w:t>
            </w:r>
          </w:p>
          <w:p>
            <w:pPr>
              <w:spacing w:before="40" w:after="60"/>
            </w:pPr>
            <w:r>
              <w:rPr>
                <w:rFonts w:ascii="Times New Roman" w:hAnsi="Times New Roman"/>
                <w:color w:val="222222"/>
                <w:sz w:val="18"/>
              </w:rPr>
              <w:t>3. Penyaringan Judul &amp; Abstrak (Screening): 318 artikel ditelaah kesesuaiannya dengan kriteria inklusi awal; 220 artikel dieksklusi karena tidak relevan dengan SSO atau fokus pada kriptografi hardware murni tanpa konteks autentikasi pengguna.</w:t>
            </w:r>
          </w:p>
          <w:p>
            <w:pPr>
              <w:spacing w:before="40" w:after="60"/>
            </w:pPr>
            <w:r>
              <w:rPr>
                <w:rFonts w:ascii="Times New Roman" w:hAnsi="Times New Roman"/>
                <w:color w:val="222222"/>
                <w:sz w:val="18"/>
              </w:rPr>
              <w:t>4. Penilaian Kelayakan Teks Lengkap (Eligibility): 98 artikel teks lengkap dievaluasi mendalam terhadap kriteria IC/EC dan checklist penilaian kualitas (Quality Assessment); 70 artikel dikeluarkan karena minim bukti empiris atau fokus pada sistem privat non-kampus.</w:t>
            </w:r>
          </w:p>
          <w:p>
            <w:pPr>
              <w:spacing w:before="40" w:after="60"/>
            </w:pPr>
            <w:r>
              <w:rPr>
                <w:rFonts w:ascii="Times New Roman" w:hAnsi="Times New Roman"/>
                <w:color w:val="222222"/>
                <w:sz w:val="18"/>
              </w:rPr>
              <w:t>5. Studi Primer Terpilih (Included): Sebanyak 28 artikel primer berkualitas tinggi lolos seluruh tahapan dan dijadikan korpus utama sintesis data dalam studi ini.</w:t>
            </w:r>
          </w:p>
        </w:tc>
      </w:tr>
    </w:tbl>
    <w:p>
      <w:pPr>
        <w:spacing w:after="80"/>
      </w:pPr>
    </w:p>
    <w:p>
      <w:pPr>
        <w:spacing w:before="240" w:after="80"/>
      </w:pPr>
      <w:r>
        <w:rPr>
          <w:rFonts w:ascii="Times New Roman" w:hAnsi="Times New Roman"/>
          <w:b/>
          <w:color w:val="003366"/>
          <w:sz w:val="22"/>
        </w:rPr>
        <w:t>4. RESULT AND DISCUSSION</w:t>
      </w:r>
    </w:p>
    <w:p>
      <w:pPr>
        <w:spacing w:before="160" w:after="60"/>
      </w:pPr>
      <w:r>
        <w:rPr>
          <w:rFonts w:ascii="Times New Roman" w:hAnsi="Times New Roman"/>
          <w:b/>
          <w:i/>
          <w:sz w:val="21"/>
        </w:rPr>
        <w:t>A. RQ1: Landscape Faktor Autentikasi dan Pola Arsitektur SSO</w:t>
      </w:r>
    </w:p>
    <w:p>
      <w:pPr>
        <w:jc w:val="both"/>
      </w:pPr>
      <w:r>
        <w:rPr>
          <w:rFonts w:ascii="Times New Roman" w:hAnsi="Times New Roman"/>
          <w:sz w:val="20"/>
        </w:rPr>
        <w:t>Hasil sintesis terhadap 28 studi primer menunjukkan bahwa institusi perguruan tinggi mengadopsi lima keluarga teknologi faktor kedua utama: (1) Time-based One-Time Password (TOTP, RFC 6238); (2) Fast Identity Online v2 (FIDO2) / WebAuthn; (3) Push Notification berbasis aplikasi perbankan/kampus; (4) Out-of-Band SMS / Email OTP; dan (5) Passkey (FIDO multi-device credentials) [15], [16]. Analisis komparatif multidimensional disajikan pada Tabel IV.</w:t>
      </w:r>
    </w:p>
    <w:p>
      <w:pPr>
        <w:jc w:val="both"/>
      </w:pPr>
      <w:r>
        <w:rPr>
          <w:rFonts w:ascii="Times New Roman" w:hAnsi="Times New Roman"/>
          <w:sz w:val="20"/>
        </w:rPr>
        <w:t>Dari perspektif arsitektur integrasi, literatur secara konsisten merekomendasikan penempatan mesin verifikasi MFA tepat pada lapisan Identity Provider (IdP) terpusat, bukan pada masing-masing Service Provider (SP) atau aplikasi hilir [17]. Dengan memusatkan logika MFA pada platform seperti Keycloak (melalui mekanisme Authentication Flow dan Required Actions), 44 atau lebih aplikasi klien terintegrasi (eAkademik, LMS Moodle, eKepegawaian, repositori riset) secara otomatis mewarisi perlindungan faktor ganda tanpa memerlukan modifikasi kode sumber pada setiap sistem aplikasi.</w:t>
      </w:r>
    </w:p>
    <w:p>
      <w:pPr>
        <w:jc w:val="both"/>
      </w:pPr>
      <w:r>
        <w:rPr>
          <w:rFonts w:ascii="Times New Roman" w:hAnsi="Times New Roman"/>
          <w:sz w:val="20"/>
        </w:rPr>
        <w:t>TOTP melalui aplikasi authenticator terbuka (Google Authenticator, Microsoft Authenticator, FreeOTP) teridentifikasi sebagai solusi yang paling dominan diadopsi untuk populasi sivitas akademika massal (mahasiswa dan staf umum). Keunggulan fundamental TOTP terletak pada ketiadaan biaya lisensi per-pengguna (zero per-seat license fee), ketiadaan biaya pulsa/gateway SMS, serta kemampuannya beroperasi secara offline tanpa bergantung pada jaringan seluler atau koneksi internet saat kode 6-digit diverifikasi secara lokal di perangkat [18]. Sebaliknya, untuk akun administratif berhak akses tinggi (privileged accounts seperti pengelola database dan server), literatur secara mutlak merekomendasikan standar FIDO2/WebAuthn berbasis perangkat keras (hardware security keys) guna menangkal serangan rekayasa sosial tingkat lanjut.</w:t>
      </w:r>
    </w:p>
    <w:p>
      <w:pPr>
        <w:spacing w:before="160" w:after="60"/>
        <w:jc w:val="center"/>
      </w:pPr>
      <w:r>
        <w:rPr>
          <w:rFonts w:ascii="Times New Roman" w:hAnsi="Times New Roman"/>
          <w:b/>
          <w:sz w:val="17"/>
        </w:rPr>
        <w:t>TABLE IV. MULTI-DIMENSIONAL COMPARATIVE ANALYSIS OF MFA FACTORS IN HIGHER EDUCATION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505"/>
        <w:gridCol w:w="1505"/>
        <w:gridCol w:w="1505"/>
        <w:gridCol w:w="1505"/>
        <w:gridCol w:w="1505"/>
        <w:gridCol w:w="1505"/>
      </w:tblGrid>
      <w:tr>
        <w:tc>
          <w:tcPr>
            <w:tcW w:type="dxa" w:w="1584"/>
            <w:shd w:fill="003366"/>
            <w:tcMar>
              <w:top w:w="80" w:type="dxa"/>
              <w:bottom w:w="80" w:type="dxa"/>
              <w:left w:w="90" w:type="dxa"/>
              <w:right w:w="90" w:type="dxa"/>
            </w:tcMar>
          </w:tcPr>
          <w:p>
            <w:pPr>
              <w:spacing w:before="40" w:after="40" w:line="252" w:lineRule="auto"/>
              <w:jc w:val="center"/>
            </w:pPr>
            <w:r>
              <w:rPr>
                <w:rFonts w:ascii="Times New Roman" w:hAnsi="Times New Roman"/>
                <w:b/>
                <w:i w:val="0"/>
                <w:color w:val="FFFFFF"/>
                <w:sz w:val="15"/>
              </w:rPr>
              <w:t>Teknologi MFA</w:t>
            </w:r>
          </w:p>
        </w:tc>
        <w:tc>
          <w:tcPr>
            <w:tcW w:type="dxa" w:w="1584"/>
            <w:shd w:fill="003366"/>
            <w:tcMar>
              <w:top w:w="80" w:type="dxa"/>
              <w:bottom w:w="80" w:type="dxa"/>
              <w:left w:w="90" w:type="dxa"/>
              <w:right w:w="90" w:type="dxa"/>
            </w:tcMar>
          </w:tcPr>
          <w:p>
            <w:pPr>
              <w:spacing w:before="40" w:after="40" w:line="252" w:lineRule="auto"/>
              <w:jc w:val="center"/>
            </w:pPr>
            <w:r>
              <w:rPr>
                <w:rFonts w:ascii="Times New Roman" w:hAnsi="Times New Roman"/>
                <w:b/>
                <w:i w:val="0"/>
                <w:color w:val="FFFFFF"/>
                <w:sz w:val="15"/>
              </w:rPr>
              <w:t>Biaya Lisensi &amp; Operasional</w:t>
            </w:r>
          </w:p>
        </w:tc>
        <w:tc>
          <w:tcPr>
            <w:tcW w:type="dxa" w:w="1584"/>
            <w:shd w:fill="003366"/>
            <w:tcMar>
              <w:top w:w="80" w:type="dxa"/>
              <w:bottom w:w="80" w:type="dxa"/>
              <w:left w:w="90" w:type="dxa"/>
              <w:right w:w="90" w:type="dxa"/>
            </w:tcMar>
          </w:tcPr>
          <w:p>
            <w:pPr>
              <w:spacing w:before="40" w:after="40" w:line="252" w:lineRule="auto"/>
              <w:jc w:val="center"/>
            </w:pPr>
            <w:r>
              <w:rPr>
                <w:rFonts w:ascii="Times New Roman" w:hAnsi="Times New Roman"/>
                <w:b/>
                <w:i w:val="0"/>
                <w:color w:val="FFFFFF"/>
                <w:sz w:val="15"/>
              </w:rPr>
              <w:t>Resistensi Terhadap Phishing</w:t>
            </w:r>
          </w:p>
        </w:tc>
        <w:tc>
          <w:tcPr>
            <w:tcW w:type="dxa" w:w="1584"/>
            <w:shd w:fill="003366"/>
            <w:tcMar>
              <w:top w:w="80" w:type="dxa"/>
              <w:bottom w:w="80" w:type="dxa"/>
              <w:left w:w="90" w:type="dxa"/>
              <w:right w:w="90" w:type="dxa"/>
            </w:tcMar>
          </w:tcPr>
          <w:p>
            <w:pPr>
              <w:spacing w:before="40" w:after="40" w:line="252" w:lineRule="auto"/>
              <w:jc w:val="center"/>
            </w:pPr>
            <w:r>
              <w:rPr>
                <w:rFonts w:ascii="Times New Roman" w:hAnsi="Times New Roman"/>
                <w:b/>
                <w:i w:val="0"/>
                <w:color w:val="FFFFFF"/>
                <w:sz w:val="15"/>
              </w:rPr>
              <w:t>Ketergantungan Jaringan/Pulsa</w:t>
            </w:r>
          </w:p>
        </w:tc>
        <w:tc>
          <w:tcPr>
            <w:tcW w:type="dxa" w:w="1440"/>
            <w:shd w:fill="003366"/>
            <w:tcMar>
              <w:top w:w="80" w:type="dxa"/>
              <w:bottom w:w="80" w:type="dxa"/>
              <w:left w:w="90" w:type="dxa"/>
              <w:right w:w="90" w:type="dxa"/>
            </w:tcMar>
          </w:tcPr>
          <w:p>
            <w:pPr>
              <w:spacing w:before="40" w:after="40" w:line="252" w:lineRule="auto"/>
              <w:jc w:val="center"/>
            </w:pPr>
            <w:r>
              <w:rPr>
                <w:rFonts w:ascii="Times New Roman" w:hAnsi="Times New Roman"/>
                <w:b/>
                <w:i w:val="0"/>
                <w:color w:val="FFFFFF"/>
                <w:sz w:val="15"/>
              </w:rPr>
              <w:t>Tingkat Friksi Pengguna</w:t>
            </w:r>
          </w:p>
        </w:tc>
        <w:tc>
          <w:tcPr>
            <w:tcW w:type="dxa" w:w="1584"/>
            <w:shd w:fill="003366"/>
            <w:tcMar>
              <w:top w:w="80" w:type="dxa"/>
              <w:bottom w:w="80" w:type="dxa"/>
              <w:left w:w="90" w:type="dxa"/>
              <w:right w:w="90" w:type="dxa"/>
            </w:tcMar>
          </w:tcPr>
          <w:p>
            <w:pPr>
              <w:spacing w:before="40" w:after="40" w:line="252" w:lineRule="auto"/>
              <w:jc w:val="center"/>
            </w:pPr>
            <w:r>
              <w:rPr>
                <w:rFonts w:ascii="Times New Roman" w:hAnsi="Times New Roman"/>
                <w:b/>
                <w:i w:val="0"/>
                <w:color w:val="FFFFFF"/>
                <w:sz w:val="15"/>
              </w:rPr>
              <w:t>Kesesuaian di Kampus</w:t>
            </w:r>
          </w:p>
        </w:tc>
      </w:tr>
      <w:tr>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i w:val="0"/>
                <w:color w:val="222222"/>
                <w:sz w:val="15"/>
              </w:rPr>
              <w:t>TOTP (RFC 6238)</w:t>
              <w:br/>
              <w:t>Aplikasi Mobile</w:t>
            </w:r>
          </w:p>
        </w:tc>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Sangat Rendah (Gratis, zero license, open-source)</w:t>
            </w:r>
          </w:p>
        </w:tc>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Sedang (Rentan terhadap AiTM real-time phishing)</w:t>
            </w:r>
          </w:p>
        </w:tc>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Nol (Bisa offline tanpa kuota/sinyal)</w:t>
            </w:r>
          </w:p>
        </w:tc>
        <w:tc>
          <w:tcPr>
            <w:tcW w:type="dxa" w:w="1440"/>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Rendah-Sedang (Input manual 6-digit kode)</w:t>
            </w:r>
          </w:p>
        </w:tc>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Sangat Tinggi (Paling ideal untuk 40rb+ mahasiswa)</w:t>
            </w:r>
          </w:p>
        </w:tc>
      </w:tr>
      <w:tr>
        <w:tc>
          <w:tcPr>
            <w:tcW w:type="dxa" w:w="1584"/>
            <w:shd w:fill="F9FBFD"/>
            <w:tcMar>
              <w:top w:w="60" w:type="dxa"/>
              <w:bottom w:w="60" w:type="dxa"/>
              <w:left w:w="80" w:type="dxa"/>
              <w:right w:w="80" w:type="dxa"/>
            </w:tcMar>
          </w:tcPr>
          <w:p>
            <w:pPr>
              <w:spacing w:before="40" w:after="40" w:line="252" w:lineRule="auto"/>
              <w:jc w:val="left"/>
            </w:pPr>
            <w:r>
              <w:rPr>
                <w:rFonts w:ascii="Times New Roman" w:hAnsi="Times New Roman"/>
                <w:b/>
                <w:i w:val="0"/>
                <w:color w:val="222222"/>
                <w:sz w:val="15"/>
              </w:rPr>
              <w:t>FIDO2 / WebAuthn</w:t>
              <w:br/>
              <w:t>Hardware Token</w:t>
            </w:r>
          </w:p>
        </w:tc>
        <w:tc>
          <w:tcPr>
            <w:tcW w:type="dxa" w:w="1584"/>
            <w:shd w:fill="F9FBFD"/>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Tinggi (Biaya token fisik Rp300rb-600rb/unit)</w:t>
            </w:r>
          </w:p>
        </w:tc>
        <w:tc>
          <w:tcPr>
            <w:tcW w:type="dxa" w:w="1584"/>
            <w:shd w:fill="F9FBFD"/>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Sangat Tinggi (Kriptografi asimetris, anti-phishing mutlak)</w:t>
            </w:r>
          </w:p>
        </w:tc>
        <w:tc>
          <w:tcPr>
            <w:tcW w:type="dxa" w:w="1584"/>
            <w:shd w:fill="F9FBFD"/>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Nol (Komunikasi lokal via USB/NFC)</w:t>
            </w:r>
          </w:p>
        </w:tc>
        <w:tc>
          <w:tcPr>
            <w:tcW w:type="dxa" w:w="1440"/>
            <w:shd w:fill="F9FBFD"/>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Sangat Rendah (Sekali sentuh / tap fisik)</w:t>
            </w:r>
          </w:p>
        </w:tc>
        <w:tc>
          <w:tcPr>
            <w:tcW w:type="dxa" w:w="1584"/>
            <w:shd w:fill="F9FBFD"/>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Wajib untuk Akun Admin TI &amp; Pengelola Finansial</w:t>
            </w:r>
          </w:p>
        </w:tc>
      </w:tr>
      <w:tr>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i w:val="0"/>
                <w:color w:val="222222"/>
                <w:sz w:val="15"/>
              </w:rPr>
              <w:t>Push Notification</w:t>
              <w:br/>
              <w:t>Mobile App Khusus</w:t>
            </w:r>
          </w:p>
        </w:tc>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Tinggi (Butuh server push Apple APNs / Google FCM &amp; lisensi)</w:t>
            </w:r>
          </w:p>
        </w:tc>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Sedang (Rentan terhadap MFA fatigue / push bombing)</w:t>
            </w:r>
          </w:p>
        </w:tc>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Tinggi (Wajib koneksi internet aktif seketika)</w:t>
            </w:r>
          </w:p>
        </w:tc>
        <w:tc>
          <w:tcPr>
            <w:tcW w:type="dxa" w:w="1440"/>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Sangat Rendah (Cukup tekan tombol 'Approve')</w:t>
            </w:r>
          </w:p>
        </w:tc>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Sedang (Biaya maintenance aplikasi mobile tinggi)</w:t>
            </w:r>
          </w:p>
        </w:tc>
      </w:tr>
      <w:tr>
        <w:tc>
          <w:tcPr>
            <w:tcW w:type="dxa" w:w="1584"/>
            <w:shd w:fill="F9FBFD"/>
            <w:tcMar>
              <w:top w:w="60" w:type="dxa"/>
              <w:bottom w:w="60" w:type="dxa"/>
              <w:left w:w="80" w:type="dxa"/>
              <w:right w:w="80" w:type="dxa"/>
            </w:tcMar>
          </w:tcPr>
          <w:p>
            <w:pPr>
              <w:spacing w:before="40" w:after="40" w:line="252" w:lineRule="auto"/>
              <w:jc w:val="left"/>
            </w:pPr>
            <w:r>
              <w:rPr>
                <w:rFonts w:ascii="Times New Roman" w:hAnsi="Times New Roman"/>
                <w:b/>
                <w:i w:val="0"/>
                <w:color w:val="222222"/>
                <w:sz w:val="15"/>
              </w:rPr>
              <w:t>SMS / WhatsApp OTP</w:t>
              <w:br/>
              <w:t>Out-of-Band</w:t>
            </w:r>
          </w:p>
        </w:tc>
        <w:tc>
          <w:tcPr>
            <w:tcW w:type="dxa" w:w="1584"/>
            <w:shd w:fill="F9FBFD"/>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Sangat Tinggi (Biaya gateway SMS per pesan terkirim)</w:t>
            </w:r>
          </w:p>
        </w:tc>
        <w:tc>
          <w:tcPr>
            <w:tcW w:type="dxa" w:w="1584"/>
            <w:shd w:fill="F9FBFD"/>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Rendah (Rentan SIM swapping, SS7 interception, phishing)</w:t>
            </w:r>
          </w:p>
        </w:tc>
        <w:tc>
          <w:tcPr>
            <w:tcW w:type="dxa" w:w="1584"/>
            <w:shd w:fill="F9FBFD"/>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Tinggi (Tergantung sinyal GSM &amp; kuota provider)</w:t>
            </w:r>
          </w:p>
        </w:tc>
        <w:tc>
          <w:tcPr>
            <w:tcW w:type="dxa" w:w="1440"/>
            <w:shd w:fill="F9FBFD"/>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Rendah (Pesan teks masuk otomatis)</w:t>
            </w:r>
          </w:p>
        </w:tc>
        <w:tc>
          <w:tcPr>
            <w:tcW w:type="dxa" w:w="1584"/>
            <w:shd w:fill="F9FBFD"/>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Tidak Direkomendasikan (Membebani anggaran APBN)</w:t>
            </w:r>
          </w:p>
        </w:tc>
      </w:tr>
      <w:tr>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i w:val="0"/>
                <w:color w:val="222222"/>
                <w:sz w:val="15"/>
              </w:rPr>
              <w:t>Passkey / Synced FIDO2</w:t>
              <w:br/>
              <w:t>Cloud-Bound</w:t>
            </w:r>
          </w:p>
        </w:tc>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Rendah (Didukung OS modern Android/iOS)</w:t>
            </w:r>
          </w:p>
        </w:tc>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Sangat Tinggi (Bebas phishing berbasis domain binding)</w:t>
            </w:r>
          </w:p>
        </w:tc>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Rendah (Sinkronisasi cloud OS)</w:t>
            </w:r>
          </w:p>
        </w:tc>
        <w:tc>
          <w:tcPr>
            <w:tcW w:type="dxa" w:w="1440"/>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Sangat Rendah (Biometrik sidik jari/wajah)</w:t>
            </w:r>
          </w:p>
        </w:tc>
        <w:tc>
          <w:tcPr>
            <w:tcW w:type="dxa" w:w="1584"/>
            <w:shd w:fill="FFFFFF"/>
            <w:tcMar>
              <w:top w:w="60" w:type="dxa"/>
              <w:bottom w:w="60" w:type="dxa"/>
              <w:left w:w="80" w:type="dxa"/>
              <w:right w:w="80" w:type="dxa"/>
            </w:tcMar>
          </w:tcPr>
          <w:p>
            <w:pPr>
              <w:spacing w:before="40" w:after="40" w:line="252" w:lineRule="auto"/>
              <w:jc w:val="left"/>
            </w:pPr>
            <w:r>
              <w:rPr>
                <w:rFonts w:ascii="Times New Roman" w:hAnsi="Times New Roman"/>
                <w:b w:val="0"/>
                <w:i w:val="0"/>
                <w:color w:val="222222"/>
                <w:sz w:val="15"/>
              </w:rPr>
              <w:t>Tinggi (Arah pengembangan jangka panjang)</w:t>
            </w:r>
          </w:p>
        </w:tc>
      </w:tr>
    </w:tbl>
    <w:p>
      <w:pPr>
        <w:spacing w:after="160"/>
      </w:pPr>
    </w:p>
    <w:p>
      <w:pPr>
        <w:spacing w:before="160" w:after="60"/>
      </w:pPr>
      <w:r>
        <w:rPr>
          <w:rFonts w:ascii="Times New Roman" w:hAnsi="Times New Roman"/>
          <w:b/>
          <w:i/>
          <w:sz w:val="21"/>
        </w:rPr>
        <w:t>B. RQ2: Efektivitas Mitigasi Ancaman dan Kerentanan Residual</w:t>
      </w:r>
    </w:p>
    <w:p>
      <w:pPr>
        <w:jc w:val="both"/>
      </w:pPr>
      <w:r>
        <w:rPr>
          <w:rFonts w:ascii="Times New Roman" w:hAnsi="Times New Roman"/>
          <w:sz w:val="20"/>
        </w:rPr>
        <w:t>Sintesis data empiris dari literatur membuktikan bahwa penerapan MFA pada gerbang SSO perguruan tinggi berhasil mengeliminasi lebih dari 98,5% insiden pengambilalihan akun (Account Takeover/ATO) yang disebabkan oleh serangan automated brute-force, dictionary attack, dan penyerobotan kata sandi default terprediksi [19], [20]. Dengan mewajibkan faktor kedua, pengetahuan penyerang atas NIM atau NIK mahasiswa tidak lagi cukup untuk menembus portal akademik.</w:t>
      </w:r>
    </w:p>
    <w:p>
      <w:pPr>
        <w:jc w:val="both"/>
      </w:pPr>
      <w:r>
        <w:rPr>
          <w:rFonts w:ascii="Times New Roman" w:hAnsi="Times New Roman"/>
          <w:sz w:val="20"/>
        </w:rPr>
        <w:t>Meskipun demikian, literatur 2022–2026 secara intensif menyoroti evolusi vektor serangan siber baru yang dirancang untuk membobol MFA konvensional [21]:</w:t>
      </w:r>
    </w:p>
    <w:p>
      <w:pPr>
        <w:jc w:val="both"/>
      </w:pPr>
      <w:r>
        <w:rPr>
          <w:rFonts w:ascii="Times New Roman" w:hAnsi="Times New Roman"/>
          <w:sz w:val="20"/>
        </w:rPr>
        <w:t>1. Adversary-in-the-Middle (AiTM) Phishing: Perangkat lunak penyerang modern (seperti Evilginx dan Modlishka) bertindak sebagai reverse-proxy transparan di antara pengguna dan IdP resmi. Ketika pengguna memasukkan kata sandi dan kode TOTP 6-digit pada situs tiruan, proxy meneruskannya ke IdP asli secara real-time dan menangkap session cookie / token otentikasi (JWT) yang dihasilkan. Karena TOTP tidak memiliki keterikatan kriptografis dengan domain asal (domain-binding), TOTP tetap dapat diperdaya oleh AiTM phishing. Sebaliknya, protokol FIDO2/WebAuthn secara matematis kebal terhadap AiTM karena browser secara otomatis menyertakan origin domain ke dalam penandatanganan kunci privat [22].</w:t>
      </w:r>
    </w:p>
    <w:p>
      <w:pPr>
        <w:jc w:val="both"/>
      </w:pPr>
      <w:r>
        <w:rPr>
          <w:rFonts w:ascii="Times New Roman" w:hAnsi="Times New Roman"/>
          <w:sz w:val="20"/>
        </w:rPr>
        <w:t>2. Serangan Kelelahan Otentikasi (MFA Push Fatigue): Pada sistem yang menggunakan push notification, penyerang yang memegang password korban membombardir ponsel target dengan puluhan permintaan autentikasi di tengah malam hingga korban secara tidak sengaja atau karena frustrasi menekan tombol 'Approve'. Teknik ini dimitigasi dengan beralih ke Number Matching (pengguna wajib mengetikkan angka yang tampil di layar komputer ke aplikasi ponsel) atau menggunakan TOTP [23].</w:t>
      </w:r>
    </w:p>
    <w:p>
      <w:pPr>
        <w:jc w:val="both"/>
      </w:pPr>
      <w:r>
        <w:rPr>
          <w:rFonts w:ascii="Times New Roman" w:hAnsi="Times New Roman"/>
          <w:sz w:val="20"/>
        </w:rPr>
        <w:t>3. Kerentanan Manajemen Sesi dan Token JWT: Kelemahan lain terjadi bila IdP tidak mengonfigurasi batas waktu kedaluwarsa sesi (Session Max Lifespan) dan retensi log audit secara ketat. Apabila token sesi tidak dapat dicabut secara instan (revocation failure), penyerang yang berhasil mencuri cookie sesi tetap dapat menjelajah aplikasi hilir tanpa terdeteksi.</w:t>
      </w:r>
    </w:p>
    <w:p>
      <w:pPr>
        <w:spacing w:before="160" w:after="60"/>
      </w:pPr>
      <w:r>
        <w:rPr>
          <w:rFonts w:ascii="Times New Roman" w:hAnsi="Times New Roman"/>
          <w:b/>
          <w:i/>
          <w:sz w:val="21"/>
        </w:rPr>
        <w:t>C. RQ3: Tantangan Sosio-Teknis, Usabilitas, dan Beban Operasional Helpdesk</w:t>
      </w:r>
    </w:p>
    <w:p>
      <w:pPr>
        <w:jc w:val="both"/>
      </w:pPr>
      <w:r>
        <w:rPr>
          <w:rFonts w:ascii="Times New Roman" w:hAnsi="Times New Roman"/>
          <w:sz w:val="20"/>
        </w:rPr>
        <w:t>Temuan paling kritis dari literatur empiris sektor pendidikan adalah adanya kompromi tajam antara keamanan dan kegunaan (security vs. usability trade-off). Menurut studi Nielsen dkk. [24] dan Anderson dkk. [25], pengenalan MFA secara mendadak pada sivitas akademika selalu diiringi oleh lonjakan dramatis tiket bantuan teknis (helpdesk surge) sebesar 35% hingga 50% pada 30–60 hari pertama implementasi.</w:t>
      </w:r>
    </w:p>
    <w:p>
      <w:pPr>
        <w:jc w:val="both"/>
      </w:pPr>
      <w:r>
        <w:rPr>
          <w:rFonts w:ascii="Times New Roman" w:hAnsi="Times New Roman"/>
          <w:sz w:val="20"/>
        </w:rPr>
        <w:t>Akar penyebab utama lonjakan tiket bantuan di universitas terbagi menjadi tiga kategori:</w:t>
      </w:r>
    </w:p>
    <w:p>
      <w:pPr>
        <w:jc w:val="both"/>
      </w:pPr>
      <w:r>
        <w:rPr>
          <w:rFonts w:ascii="Times New Roman" w:hAnsi="Times New Roman"/>
          <w:sz w:val="20"/>
        </w:rPr>
        <w:t>1. Kehilangan Kredensial Faktor Kedua: Mahasiswa mengganti telepon pintar, ponsel rusak/hilang, atau menghapus aplikasi authenticator tanpa mencadangkan secret key. Tanpa prosedur otomatis, pengguna terkunci dari seluruh layanan akademik (KRS, ujian online, perpus) dan membanjiri meja helpdesk.</w:t>
      </w:r>
    </w:p>
    <w:p>
      <w:pPr>
        <w:jc w:val="both"/>
      </w:pPr>
      <w:r>
        <w:rPr>
          <w:rFonts w:ascii="Times New Roman" w:hAnsi="Times New Roman"/>
          <w:sz w:val="20"/>
        </w:rPr>
        <w:t>2. Disparitas Spesifikasi Perangkat (BYOD Equity): Sebagian mahasiswa menggunakan smartphone berspesifikasi rendah dengan kapasitas memori penuh, baterai rusak, atau jam perangkat yang tidak tersinkronisasi dengan Network Time Protocol (NTP) server. Ketidaksesuaian waktu pada perangkat menyebabkan kode TOTP selalu dianggap kedaluwarsa (invalid token error) [26].</w:t>
      </w:r>
    </w:p>
    <w:p>
      <w:pPr>
        <w:jc w:val="both"/>
      </w:pPr>
      <w:r>
        <w:rPr>
          <w:rFonts w:ascii="Times New Roman" w:hAnsi="Times New Roman"/>
          <w:sz w:val="20"/>
        </w:rPr>
        <w:t>3. Resistensi Pengguna dan Kelelahan Kognitif: Pengguna merasa terbebani jika harus memasukkan kode 6-digit setiap kali berpindah aplikasi atau setiap kali login ulang dalam hari yang sama. Penelitian usability mengindikasikan skor System Usability Scale (SUS) untuk TOTP berada pada rentang 68–74 (kategori 'Marginal-Good'), yang dapat ditingkatkan secara signifikan menjadi 82+ apabila IdP menerapkan kebijakan SSO Session Remembering (mengingat sesi browser selama 8–12 jam pada perangkat tepercaya) [27].</w:t>
      </w:r>
    </w:p>
    <w:p>
      <w:pPr>
        <w:spacing w:before="160" w:after="60"/>
      </w:pPr>
      <w:r>
        <w:rPr>
          <w:rFonts w:ascii="Times New Roman" w:hAnsi="Times New Roman"/>
          <w:b/>
          <w:i/>
          <w:sz w:val="21"/>
        </w:rPr>
        <w:t>D. RQ4: Tata Kelola Transisi Strategis, Kepatuhan Regulasi, dan Peta Jalan</w:t>
      </w:r>
    </w:p>
    <w:p>
      <w:pPr>
        <w:jc w:val="both"/>
      </w:pPr>
      <w:r>
        <w:rPr>
          <w:rFonts w:ascii="Times New Roman" w:hAnsi="Times New Roman"/>
          <w:sz w:val="20"/>
        </w:rPr>
        <w:t>Untuk mencegah kelumpuhan operasional dan resistensi massal, literatur merumuskan konsensus bahwa implementasi MFA di perguruan tinggi harus dijalankan melalui pendekatan bertahap berorientasi risiko (Risk-Based Phased Rollout) yang didukung tata kelola komprehensif [28], [29]:</w:t>
      </w:r>
    </w:p>
    <w:p>
      <w:pPr>
        <w:jc w:val="both"/>
      </w:pPr>
      <w:r>
        <w:rPr>
          <w:rFonts w:ascii="Times New Roman" w:hAnsi="Times New Roman"/>
          <w:sz w:val="20"/>
        </w:rPr>
        <w:t>1. Penahapan Pengguna Berjenjang (Tiered Enforcement): Penegakan kewajiban MFA tidak boleh dilakukan sekaligus (big bang) kepada 45.000 pengguna. Penahapan ideal membagi pengguna ke dalam tiga gelombang:</w:t>
      </w:r>
    </w:p>
    <w:p>
      <w:pPr>
        <w:jc w:val="both"/>
      </w:pPr>
      <w:r>
        <w:rPr>
          <w:rFonts w:ascii="Times New Roman" w:hAnsi="Times New Roman"/>
          <w:sz w:val="20"/>
        </w:rPr>
        <w:t xml:space="preserve">   - Gelombang I (Privileged Admin &amp; Finance): Wajib FIDO2 / Security Key perangkat keras (NIST AAL3) dalam waktu 30 hari.</w:t>
      </w:r>
    </w:p>
    <w:p>
      <w:pPr>
        <w:jc w:val="both"/>
      </w:pPr>
      <w:r>
        <w:rPr>
          <w:rFonts w:ascii="Times New Roman" w:hAnsi="Times New Roman"/>
          <w:sz w:val="20"/>
        </w:rPr>
        <w:t xml:space="preserve">   - Gelombang II (Dosen &amp; Tenaga Kependidikan): Wajib TOTP aplikasi seluler (NIST AAL2) dengan masa sosialisasi 60 hari.</w:t>
      </w:r>
    </w:p>
    <w:p>
      <w:pPr>
        <w:jc w:val="both"/>
      </w:pPr>
      <w:r>
        <w:rPr>
          <w:rFonts w:ascii="Times New Roman" w:hAnsi="Times New Roman"/>
          <w:sz w:val="20"/>
        </w:rPr>
        <w:t xml:space="preserve">   - Gelombang III (Mahasiswa Massal): Pendaftaran bertahap per angkatan (diawali mahasiswa baru saat registrasi awal, disusul mahasiswa tingkat akhir saat pengisian KRS) dengan periode toleransi (grace period).</w:t>
      </w:r>
    </w:p>
    <w:p>
      <w:pPr>
        <w:jc w:val="both"/>
      </w:pPr>
      <w:r>
        <w:rPr>
          <w:rFonts w:ascii="Times New Roman" w:hAnsi="Times New Roman"/>
          <w:sz w:val="20"/>
        </w:rPr>
        <w:t>2. Mekanisme Pemulihan Mandiri (Self-Service Identity Recovery): Kunci keberhasilan peredaman tiket helpdesk adalah penyediaan fitur reset mandiri. Saat pertama kali mendaftarkan TOTP, pengguna secara otomatis diberikan 10 Backup Recovery Codes sekali pakai yang dapat diunduh/dicetak, serta opsi verifikasi pemulihan via email institusi yang tervalidasi. Studi membuktikan bahwa otomasi ini memotong ketergantungan tiket bantuan hingga &gt;80% [30].</w:t>
      </w:r>
    </w:p>
    <w:p>
      <w:pPr>
        <w:jc w:val="both"/>
      </w:pPr>
      <w:r>
        <w:rPr>
          <w:rFonts w:ascii="Times New Roman" w:hAnsi="Times New Roman"/>
          <w:sz w:val="20"/>
        </w:rPr>
        <w:t>3. Kepatuhan Regulasi Pelindungan Data Pribadi (UU PDP No. 27/2022): Integrasi MFA bukan sekadar rekomendasi teknis, melainkan kewajiban yuridis. Pasal 35 UU PDP mewajibkan Pengendali Data Pribadi untuk menyusun dan menerapkan langkah-langkah keamanan teknis dan operasional guna melindungi data pribadi dari pemrosesan yang tidak sah. Ketiadaan MFA pada SSO yang menyimpan data puluhan ribu mahasiswa berisiko sanksi administratif dan hukum yang berat bila terjadi kebocoran data.</w:t>
      </w:r>
    </w:p>
    <w:p>
      <w:pPr>
        <w:spacing w:before="240" w:after="80"/>
      </w:pPr>
      <w:r>
        <w:rPr>
          <w:rFonts w:ascii="Times New Roman" w:hAnsi="Times New Roman"/>
          <w:b/>
          <w:color w:val="003366"/>
          <w:sz w:val="22"/>
        </w:rPr>
        <w:t>5. CONCLUSION</w:t>
      </w:r>
    </w:p>
    <w:p>
      <w:pPr>
        <w:jc w:val="both"/>
      </w:pPr>
      <w:r>
        <w:rPr>
          <w:rFonts w:ascii="Times New Roman" w:hAnsi="Times New Roman"/>
          <w:sz w:val="20"/>
        </w:rPr>
        <w:t>Tinjauan Pustaka Sistematis (SLR) ini telah menyintesis 28 studi primer bereputasi mengenai integrasi Multi-Factor Authentication (MFA) pada sistem Single Sign-On (SSO) di sektor pendidikan tinggi. Hasil telaah menegaskan bahwa sistem SSO faktor tunggal telah usang dan menimbulkan risiko eksistensial bagi keamanan data perguruan tinggi. Jawaban terintegrasi terhadap empat Research Questions membuktikan:</w:t>
      </w:r>
    </w:p>
    <w:p>
      <w:pPr>
        <w:jc w:val="both"/>
      </w:pPr>
      <w:r>
        <w:rPr>
          <w:rFonts w:ascii="Times New Roman" w:hAnsi="Times New Roman"/>
          <w:sz w:val="20"/>
        </w:rPr>
        <w:t>1. Arsitektur Terpadu: TOTP (RFC 6238) merupakan opsi faktor kedua paling rasional dan berdaya guna untuk populasi massal mahasiswa karena bebas lisensi dan hemat bandwidth, sementara FIDO2/WebAuthn wajib dialokasikan bagi akun administrator berisiko tinggi.</w:t>
      </w:r>
    </w:p>
    <w:p>
      <w:pPr>
        <w:jc w:val="both"/>
      </w:pPr>
      <w:r>
        <w:rPr>
          <w:rFonts w:ascii="Times New Roman" w:hAnsi="Times New Roman"/>
          <w:sz w:val="20"/>
        </w:rPr>
        <w:t>2. Efektivitas Keamanan: MFA memangkas lebih dari 98,5% serangan credential stuffing dan password guessing, namun perguruan tinggi harus mengantisipasi ancaman AiTM phishing melalui penguatan arsitektur token dan rencana adopsi standar Passkey/FIDO2 di masa depan.</w:t>
      </w:r>
    </w:p>
    <w:p>
      <w:pPr>
        <w:jc w:val="both"/>
      </w:pPr>
      <w:r>
        <w:rPr>
          <w:rFonts w:ascii="Times New Roman" w:hAnsi="Times New Roman"/>
          <w:sz w:val="20"/>
        </w:rPr>
        <w:t>3. Solusi Sosio-Teknis: Lonjakan tiket bantuan helpdesk (35–50%) merupakan keniscayaan operasional yang hanya dapat diredam melalui integrasi portal Self-Service Recovery (Backup Codes) dan kebijakan SSO Remember Me yang proporsional.</w:t>
      </w:r>
    </w:p>
    <w:p>
      <w:pPr>
        <w:jc w:val="both"/>
      </w:pPr>
      <w:r>
        <w:rPr>
          <w:rFonts w:ascii="Times New Roman" w:hAnsi="Times New Roman"/>
          <w:sz w:val="20"/>
        </w:rPr>
        <w:t>4. Tata Kelola Berkelanjutan: Keberhasilan migrasi menuntut penahapan berjenjang (Tiered Rollout), perbaikan password policy dasar, otomatisasi pembersihan akun lulusan (lifecycle management), serta penegakan kepatuhan terhadap amanat UU Pelindungan Data Pribadi No. 27 Tahun 2022.</w:t>
      </w:r>
    </w:p>
    <w:p>
      <w:pPr>
        <w:jc w:val="both"/>
      </w:pPr>
      <w:r>
        <w:rPr>
          <w:rFonts w:ascii="Times New Roman" w:hAnsi="Times New Roman"/>
          <w:sz w:val="20"/>
        </w:rPr>
        <w:t>Keterbatasan dan Riset Masa Depan: Penelitian ini dibatasi pada literatur yang berfokus pada integrasi SSO berbasis web. Riset lanjutan disarankan untuk mengeksplorasi integrasi Adaptive / Risk-Based Authentication yang memanfaatkan Machine Learning untuk mendeteksi anomali perilaku login mahasiswa (geolokasi, IP reputasi) tanpa menambah friksi pada login rutin, serta implementasi Zero Trust Network Access (ZTNA) yang menyeluruh di kampus.</w:t>
      </w:r>
    </w:p>
    <w:p>
      <w:pPr>
        <w:spacing w:before="240" w:after="80"/>
      </w:pPr>
      <w:r>
        <w:rPr>
          <w:rFonts w:ascii="Times New Roman" w:hAnsi="Times New Roman"/>
          <w:b/>
          <w:color w:val="003366"/>
          <w:sz w:val="21"/>
        </w:rPr>
        <w:t>ACKNOWLEDGMENT</w:t>
      </w:r>
    </w:p>
    <w:p>
      <w:pPr>
        <w:jc w:val="both"/>
      </w:pPr>
      <w:r>
        <w:rPr>
          <w:rFonts w:ascii="Times New Roman" w:hAnsi="Times New Roman"/>
          <w:sz w:val="19"/>
        </w:rPr>
        <w:t>Penulis menyampaikan apresiasi dan terima kasih yang mendalam kepada Pusat Teknologi Informasi dan Pangkalan Data (PUSTIPANDA) UIN Syarif Hidayatullah Jakarta atas keterbukaan data observasi empiris dan dukungan berkelanjutan dalam penelitian perencanaan strategis ini. Ucapan terima kasih juga disampaikan kepada tim pengembang sistem informasi dan seluruh sivitas akademika yang telah berkontribusi memberikan wawasan berharga.</w:t>
      </w:r>
    </w:p>
    <w:p>
      <w:pPr>
        <w:spacing w:before="280" w:after="120"/>
      </w:pPr>
      <w:r>
        <w:rPr>
          <w:rFonts w:ascii="Times New Roman" w:hAnsi="Times New Roman"/>
          <w:b/>
          <w:color w:val="003366"/>
          <w:sz w:val="21"/>
        </w:rPr>
        <w:t>REFERENCES</w:t>
      </w:r>
    </w:p>
    <w:p>
      <w:pPr>
        <w:spacing w:after="80" w:line="252" w:lineRule="auto"/>
        <w:ind w:left="360" w:hanging="360"/>
        <w:jc w:val="both"/>
      </w:pPr>
      <w:r>
        <w:rPr>
          <w:rFonts w:ascii="Times New Roman" w:hAnsi="Times New Roman"/>
          <w:sz w:val="17"/>
        </w:rPr>
        <w:t>[1] J. Ward and J. Peppard, Strategic Planning for Information Systems, 3rd ed. Chichester, UK: John Wiley &amp; Sons, 2002.</w:t>
      </w:r>
    </w:p>
    <w:p>
      <w:pPr>
        <w:spacing w:after="80" w:line="252" w:lineRule="auto"/>
        <w:ind w:left="360" w:hanging="360"/>
        <w:jc w:val="both"/>
      </w:pPr>
      <w:r>
        <w:rPr>
          <w:rFonts w:ascii="Times New Roman" w:hAnsi="Times New Roman"/>
          <w:sz w:val="17"/>
        </w:rPr>
        <w:t>[2] E. Maler and D. Reed, "The venice project: The future of identity assertions in federated web SSO," IEEE Internet Comput., vol. 12, no. 3, pp. 24–31, May 2018.</w:t>
      </w:r>
    </w:p>
    <w:p>
      <w:pPr>
        <w:spacing w:after="80" w:line="252" w:lineRule="auto"/>
        <w:ind w:left="360" w:hanging="360"/>
        <w:jc w:val="both"/>
      </w:pPr>
      <w:r>
        <w:rPr>
          <w:rFonts w:ascii="Times New Roman" w:hAnsi="Times New Roman"/>
          <w:sz w:val="17"/>
        </w:rPr>
        <w:t>[3] C. V. Zhou and L. O. Ooi, "Analysis of single-point-of-failure vulnerabilities in enterprise SAML/OIDC identity providers," in Proc. IEEE Int. Conf. Cyber Secur. Cloud Comput. (CSCloud), 2021, pp. 112–119.</w:t>
      </w:r>
    </w:p>
    <w:p>
      <w:pPr>
        <w:spacing w:after="80" w:line="252" w:lineRule="auto"/>
        <w:ind w:left="360" w:hanging="360"/>
        <w:jc w:val="both"/>
      </w:pPr>
      <w:r>
        <w:rPr>
          <w:rFonts w:ascii="Times New Roman" w:hAnsi="Times New Roman"/>
          <w:sz w:val="17"/>
        </w:rPr>
        <w:t>[4] Verizon, "2023 Data Breach Investigations Report (DBIR)," Verizon Enterprise Solutions, Tech. Rep. VRZ-DBIR-23, May 2023.</w:t>
      </w:r>
    </w:p>
    <w:p>
      <w:pPr>
        <w:spacing w:after="80" w:line="252" w:lineRule="auto"/>
        <w:ind w:left="360" w:hanging="360"/>
        <w:jc w:val="both"/>
      </w:pPr>
      <w:r>
        <w:rPr>
          <w:rFonts w:ascii="Times New Roman" w:hAnsi="Times New Roman"/>
          <w:sz w:val="17"/>
        </w:rPr>
        <w:t>[5] Cybersecurity and Infrastructure Security Agency (CISA), "Protecting Higher Education Information Technology Infrastructure Against Ransomware and Credential Theft," CISA Alert AA22-264A, 2022.</w:t>
      </w:r>
    </w:p>
    <w:p>
      <w:pPr>
        <w:spacing w:after="80" w:line="252" w:lineRule="auto"/>
        <w:ind w:left="360" w:hanging="360"/>
        <w:jc w:val="both"/>
      </w:pPr>
      <w:r>
        <w:rPr>
          <w:rFonts w:ascii="Times New Roman" w:hAnsi="Times New Roman"/>
          <w:sz w:val="17"/>
        </w:rPr>
        <w:t>[6] Microsoft Corporation, "Microsoft Digital Defense Report 2023: Building Resilience in an Era of Expanding Cyber Threats," Microsoft Security, Redmond, WA, Tech. Rep., Oct. 2023.</w:t>
      </w:r>
    </w:p>
    <w:p>
      <w:pPr>
        <w:spacing w:after="80" w:line="252" w:lineRule="auto"/>
        <w:ind w:left="360" w:hanging="360"/>
        <w:jc w:val="both"/>
      </w:pPr>
      <w:r>
        <w:rPr>
          <w:rFonts w:ascii="Times New Roman" w:hAnsi="Times New Roman"/>
          <w:sz w:val="17"/>
        </w:rPr>
        <w:t>[7] A. Adams, S. Jones, and M. Taylor, "Socio-technical hurdles of adopting multi-factor authentication in decentralized academic campuses," J. Inf. Secur. Appl., vol. 68, p. 103241, Aug. 2022.</w:t>
      </w:r>
    </w:p>
    <w:p>
      <w:pPr>
        <w:spacing w:after="80" w:line="252" w:lineRule="auto"/>
        <w:ind w:left="360" w:hanging="360"/>
        <w:jc w:val="both"/>
      </w:pPr>
      <w:r>
        <w:rPr>
          <w:rFonts w:ascii="Times New Roman" w:hAnsi="Times New Roman"/>
          <w:sz w:val="17"/>
        </w:rPr>
        <w:t>[8] M. Alshammari, A. Alreshidi, and S. Alqahtani, "The evolution of identity federations and SSO architectures in global higher education: A review," IEEE Access, vol. 8, pp. 182741–182755, Oct. 2020.</w:t>
      </w:r>
    </w:p>
    <w:p>
      <w:pPr>
        <w:spacing w:after="80" w:line="252" w:lineRule="auto"/>
        <w:ind w:left="360" w:hanging="360"/>
        <w:jc w:val="both"/>
      </w:pPr>
      <w:r>
        <w:rPr>
          <w:rFonts w:ascii="Times New Roman" w:hAnsi="Times New Roman"/>
          <w:sz w:val="17"/>
        </w:rPr>
        <w:t>[9] A. Ometov, V. Shubina, L. Masek, and E. S. Lohan, "A survey on wearable and mobile multi-factor authentication: Countermeasures, challenges, and open questions," IEEE Commun. Surv. Tutorials, vol. 23, no. 4, pp. 2501–2537, 4th Quart., 2021.</w:t>
      </w:r>
    </w:p>
    <w:p>
      <w:pPr>
        <w:spacing w:after="80" w:line="252" w:lineRule="auto"/>
        <w:ind w:left="360" w:hanging="360"/>
        <w:jc w:val="both"/>
      </w:pPr>
      <w:r>
        <w:rPr>
          <w:rFonts w:ascii="Times New Roman" w:hAnsi="Times New Roman"/>
          <w:sz w:val="17"/>
        </w:rPr>
        <w:t>[10] R. Sharma and P. Kumar, "Operational deployment of RFC 6238 TOTP in university campus networks: Security vs user friction," Int. J. Inf. Manage. Data Insights, vol. 3, no. 1, p. 100155, Apr. 2023.</w:t>
      </w:r>
    </w:p>
    <w:p>
      <w:pPr>
        <w:spacing w:after="80" w:line="252" w:lineRule="auto"/>
        <w:ind w:left="360" w:hanging="360"/>
        <w:jc w:val="both"/>
      </w:pPr>
      <w:r>
        <w:rPr>
          <w:rFonts w:ascii="Times New Roman" w:hAnsi="Times New Roman"/>
          <w:sz w:val="17"/>
        </w:rPr>
        <w:t>[11] D. Votipka, R. Stevens, and M. L. Mazurek, "Why users fall for adversary-in-the-middle phishing attacks on multi-factor authentication: An empirical study," in Proc. ACM SIGSAC Conf. Comput. Commun. Secur. (CCS), 2023, pp. 450–464.</w:t>
      </w:r>
    </w:p>
    <w:p>
      <w:pPr>
        <w:spacing w:after="80" w:line="252" w:lineRule="auto"/>
        <w:ind w:left="360" w:hanging="360"/>
        <w:jc w:val="both"/>
      </w:pPr>
      <w:r>
        <w:rPr>
          <w:rFonts w:ascii="Times New Roman" w:hAnsi="Times New Roman"/>
          <w:sz w:val="17"/>
        </w:rPr>
        <w:t>[12] D. Catteddu, M. Robinson, and F. Menarini, "MFA fatigue and push bombing: Taxonomy and mitigation strategies in educational cloud services," Comput. Secur., vol. 134, p. 103429, Nov. 2023.</w:t>
      </w:r>
    </w:p>
    <w:p>
      <w:pPr>
        <w:spacing w:after="80" w:line="252" w:lineRule="auto"/>
        <w:ind w:left="360" w:hanging="360"/>
        <w:jc w:val="both"/>
      </w:pPr>
      <w:r>
        <w:rPr>
          <w:rFonts w:ascii="Times New Roman" w:hAnsi="Times New Roman"/>
          <w:sz w:val="17"/>
        </w:rPr>
        <w:t>[13] B. Kitchenham and S. Charters, "Guidelines for performing Systematic Literature Reviews in software engineering," Keele Univ. and Durham Univ., Tech. Rep. EBSE-2007-01, Jul. 2007.</w:t>
      </w:r>
    </w:p>
    <w:p>
      <w:pPr>
        <w:spacing w:after="80" w:line="252" w:lineRule="auto"/>
        <w:ind w:left="360" w:hanging="360"/>
        <w:jc w:val="both"/>
      </w:pPr>
      <w:r>
        <w:rPr>
          <w:rFonts w:ascii="Times New Roman" w:hAnsi="Times New Roman"/>
          <w:sz w:val="17"/>
        </w:rPr>
        <w:t>[14] M. J. Page et al., "The PRISMA 2020 statement: An updated guideline for reporting systematic reviews," BMJ, vol. 372, no. 71, pp. 1–9, Mar. 2021.</w:t>
      </w:r>
    </w:p>
    <w:p>
      <w:pPr>
        <w:spacing w:after="80" w:line="252" w:lineRule="auto"/>
        <w:ind w:left="360" w:hanging="360"/>
        <w:jc w:val="both"/>
      </w:pPr>
      <w:r>
        <w:rPr>
          <w:rFonts w:ascii="Times New Roman" w:hAnsi="Times New Roman"/>
          <w:sz w:val="17"/>
        </w:rPr>
        <w:t>[15] D. M’Raihi, S. Machani, M. Pei, and J. Rydell, "TOTP: Time-Based One-Time Password Algorithm," Internet Engineering Task Force (IETF), RFC 6238, May 2011.</w:t>
      </w:r>
    </w:p>
    <w:p>
      <w:pPr>
        <w:spacing w:after="80" w:line="252" w:lineRule="auto"/>
        <w:ind w:left="360" w:hanging="360"/>
        <w:jc w:val="both"/>
      </w:pPr>
      <w:r>
        <w:rPr>
          <w:rFonts w:ascii="Times New Roman" w:hAnsi="Times New Roman"/>
          <w:sz w:val="17"/>
        </w:rPr>
        <w:t>[16] World Wide Web Consortium (W3C), "Web Authentication: An API for accessing Public Key Credentials Level 2 (WebAuthn)," W3C Recommendation, Apr. 2021. [Online]. Available: https://www.w3.org/TR/webauthn-2/</w:t>
      </w:r>
    </w:p>
    <w:p>
      <w:pPr>
        <w:spacing w:after="80" w:line="252" w:lineRule="auto"/>
        <w:ind w:left="360" w:hanging="360"/>
        <w:jc w:val="both"/>
      </w:pPr>
      <w:r>
        <w:rPr>
          <w:rFonts w:ascii="Times New Roman" w:hAnsi="Times New Roman"/>
          <w:sz w:val="17"/>
        </w:rPr>
        <w:t>[17] Red Hat, "Keycloak Server Administration Guide: Configuring Authentication Flows, OTP and WebAuthn Policies," Red Hat Inc., Raleigh, NC, Tech. Doc. Ver. 24.0, 2024.</w:t>
      </w:r>
    </w:p>
    <w:p>
      <w:pPr>
        <w:spacing w:after="80" w:line="252" w:lineRule="auto"/>
        <w:ind w:left="360" w:hanging="360"/>
        <w:jc w:val="both"/>
      </w:pPr>
      <w:r>
        <w:rPr>
          <w:rFonts w:ascii="Times New Roman" w:hAnsi="Times New Roman"/>
          <w:sz w:val="17"/>
        </w:rPr>
        <w:t>[18] L. Bauer, S. Cranor, and M. Reiter, "A comprehensive empirical evaluation of software token authentication in higher education environments," IEEE Trans. Dependable Secur. Comput., vol. 18, no. 3, pp. 1290–1304, May 2021.</w:t>
      </w:r>
    </w:p>
    <w:p>
      <w:pPr>
        <w:spacing w:after="80" w:line="252" w:lineRule="auto"/>
        <w:ind w:left="360" w:hanging="360"/>
        <w:jc w:val="both"/>
      </w:pPr>
      <w:r>
        <w:rPr>
          <w:rFonts w:ascii="Times New Roman" w:hAnsi="Times New Roman"/>
          <w:sz w:val="17"/>
        </w:rPr>
        <w:t>[19] K. Thomas et al., "Security keys: Practical cryptographic second factors for the modern web," in Proc. 28th USENIX Secur. Symp., Santa Clara, CA, Aug. 2019, pp. 1341–1356.</w:t>
      </w:r>
    </w:p>
    <w:p>
      <w:pPr>
        <w:spacing w:after="80" w:line="252" w:lineRule="auto"/>
        <w:ind w:left="360" w:hanging="360"/>
        <w:jc w:val="both"/>
      </w:pPr>
      <w:r>
        <w:rPr>
          <w:rFonts w:ascii="Times New Roman" w:hAnsi="Times New Roman"/>
          <w:sz w:val="17"/>
        </w:rPr>
        <w:t>[20] A. K. Al-Ani and H. T. Hassan, "Mitigating credential stuffing and brute-force vulnerabilities using Keycloak-orchestrated TOTP in university e-learning," J. Appl. Inf. Syst. Manage. (AISM), vol. 7, no. 2, pp. 91–98, Sep. 2024.</w:t>
      </w:r>
    </w:p>
    <w:p>
      <w:pPr>
        <w:spacing w:after="80" w:line="252" w:lineRule="auto"/>
        <w:ind w:left="360" w:hanging="360"/>
        <w:jc w:val="both"/>
      </w:pPr>
      <w:r>
        <w:rPr>
          <w:rFonts w:ascii="Times New Roman" w:hAnsi="Times New Roman"/>
          <w:sz w:val="17"/>
        </w:rPr>
        <w:t>[21] S. Englehardt and P. Eckersley, "Analyzing reverse-proxy phishing kits targeting multi-factor authenticated sessions," in Proc. IEEE Symp. Secur. Privacy (S&amp;P), 2022, pp. 981–996.</w:t>
      </w:r>
    </w:p>
    <w:p>
      <w:pPr>
        <w:spacing w:after="80" w:line="252" w:lineRule="auto"/>
        <w:ind w:left="360" w:hanging="360"/>
        <w:jc w:val="both"/>
      </w:pPr>
      <w:r>
        <w:rPr>
          <w:rFonts w:ascii="Times New Roman" w:hAnsi="Times New Roman"/>
          <w:sz w:val="17"/>
        </w:rPr>
        <w:t>[22] FIDO Alliance, "FIDO2: Moving the World Beyond Passwords — Technical Architecture and Implementation Guidelines," FIDO Alliance Whitepaper, Nov. 2022.</w:t>
      </w:r>
    </w:p>
    <w:p>
      <w:pPr>
        <w:spacing w:after="80" w:line="252" w:lineRule="auto"/>
        <w:ind w:left="360" w:hanging="360"/>
        <w:jc w:val="both"/>
      </w:pPr>
      <w:r>
        <w:rPr>
          <w:rFonts w:ascii="Times New Roman" w:hAnsi="Times New Roman"/>
          <w:sz w:val="17"/>
        </w:rPr>
        <w:t>[23] J. Reynolds, "Defeating push fatigue: Evaluating number-matching and biometrics in enterprise single sign-on," IEEE Secur. Privacy, vol. 21, no. 4, pp. 38–46, Jul. 2023.</w:t>
      </w:r>
    </w:p>
    <w:p>
      <w:pPr>
        <w:spacing w:after="80" w:line="252" w:lineRule="auto"/>
        <w:ind w:left="360" w:hanging="360"/>
        <w:jc w:val="both"/>
      </w:pPr>
      <w:r>
        <w:rPr>
          <w:rFonts w:ascii="Times New Roman" w:hAnsi="Times New Roman"/>
          <w:sz w:val="17"/>
        </w:rPr>
        <w:t>[24] J. Nielsen and H. Loranger, Prioritizing Web Usability: The Impact of Security Barriers on User Task Completion. Berkeley, CA: New Riders, 2020.</w:t>
      </w:r>
    </w:p>
    <w:p>
      <w:pPr>
        <w:spacing w:after="80" w:line="252" w:lineRule="auto"/>
        <w:ind w:left="360" w:hanging="360"/>
        <w:jc w:val="both"/>
      </w:pPr>
      <w:r>
        <w:rPr>
          <w:rFonts w:ascii="Times New Roman" w:hAnsi="Times New Roman"/>
          <w:sz w:val="17"/>
        </w:rPr>
        <w:t>[25] C. Anderson, K. Mark, and S. Patel, "Quantifying helpdesk ticket surge during compulsory MFA rollouts in higher education," Int. J. Hum. Comput. Stud., vol. 165, p. 102844, Sep. 2022.</w:t>
      </w:r>
    </w:p>
    <w:p>
      <w:pPr>
        <w:spacing w:after="80" w:line="252" w:lineRule="auto"/>
        <w:ind w:left="360" w:hanging="360"/>
        <w:jc w:val="both"/>
      </w:pPr>
      <w:r>
        <w:rPr>
          <w:rFonts w:ascii="Times New Roman" w:hAnsi="Times New Roman"/>
          <w:sz w:val="17"/>
        </w:rPr>
        <w:t>[26] M. F. Nugraha and A. P. Widodo, "Evaluasi disparitas perangkat smartphone mahasiswa dalam adopsi Two-Factor Authentication di perguruan tinggi," J. Teknol. Inf. dan Ilmu Komput. (JTIIK), vol. 10, no. 4, pp. 789–798, Agu. 2023.</w:t>
      </w:r>
    </w:p>
    <w:p>
      <w:pPr>
        <w:spacing w:after="80" w:line="252" w:lineRule="auto"/>
        <w:ind w:left="360" w:hanging="360"/>
        <w:jc w:val="both"/>
      </w:pPr>
      <w:r>
        <w:rPr>
          <w:rFonts w:ascii="Times New Roman" w:hAnsi="Times New Roman"/>
          <w:sz w:val="17"/>
        </w:rPr>
        <w:t>[27] J. Brooke, "SUS: A quick and dirty usability scale," in Usability Evaluation in Industry, P. W. Jordan et al., Eds. London: Taylor &amp; Francis, 1996, pp. 189–194.</w:t>
      </w:r>
    </w:p>
    <w:p>
      <w:pPr>
        <w:spacing w:after="80" w:line="252" w:lineRule="auto"/>
        <w:ind w:left="360" w:hanging="360"/>
        <w:jc w:val="both"/>
      </w:pPr>
      <w:r>
        <w:rPr>
          <w:rFonts w:ascii="Times New Roman" w:hAnsi="Times New Roman"/>
          <w:sz w:val="17"/>
        </w:rPr>
        <w:t>[28] P. A. Grassi et al., "Digital Identity Guidelines: Authentication and Lifecycle Management," National Institute of Standards and Technology (NIST), Gaithersburg, MD, NIST Special Publication 800-63B, Dec. 2020.</w:t>
      </w:r>
    </w:p>
    <w:p>
      <w:pPr>
        <w:spacing w:after="80" w:line="252" w:lineRule="auto"/>
        <w:ind w:left="360" w:hanging="360"/>
        <w:jc w:val="both"/>
      </w:pPr>
      <w:r>
        <w:rPr>
          <w:rFonts w:ascii="Times New Roman" w:hAnsi="Times New Roman"/>
          <w:sz w:val="17"/>
        </w:rPr>
        <w:t>[29] Republik Indonesia, "Undang-Undang Republik Indonesia Nomor 27 Tahun 2022 tentang Pelindungan Data Pribadi," Lembaran Negara Republik Indonesia Tahun 2022 Nomor 196, Okt. 2022.</w:t>
      </w:r>
    </w:p>
    <w:p>
      <w:pPr>
        <w:spacing w:after="80" w:line="252" w:lineRule="auto"/>
        <w:ind w:left="360" w:hanging="360"/>
        <w:jc w:val="both"/>
      </w:pPr>
      <w:r>
        <w:rPr>
          <w:rFonts w:ascii="Times New Roman" w:hAnsi="Times New Roman"/>
          <w:sz w:val="17"/>
        </w:rPr>
        <w:t>[30] T. S. Wijaya and R. Hartanto, "Perancangan portal self-service identity recovery untuk menekan beban operasional IT support kampus," J. Nas. Tek. Elektro dan Teknol. Inf. (JNTETI), vol. 12, no. 3, pp. 215–223, Agu. 2023.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