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rPr>
          <w:rFonts w:ascii="Georgia" w:cs="Georgia" w:eastAsia="Georgia" w:hAnsi="Georgia"/>
          <w:b/>
          <w:bCs/>
          <w:color w:val="111111"/>
          <w:sz w:val="36"/>
          <w:szCs w:val="36"/>
        </w:rPr>
        <w:t xml:space="preserve">YAML for DevOps</w:t>
      </w:r>
    </w:p>
    <w:p>
      <w:pPr>
        <w:spacing w:after="300"/>
        <w:jc w:val="center"/>
      </w:pPr>
      <w:r>
        <w:rPr>
          <w:rFonts w:ascii="Arial" w:cs="Arial" w:eastAsia="Arial" w:hAnsi="Arial"/>
          <w:color w:val="555555"/>
          <w:sz w:val="16"/>
          <w:szCs w:val="16"/>
        </w:rPr>
        <w:t xml:space="preserve">THE SHARED PAPERWORK FORMAT EVERY TOOL ALREADY SPEAKS</w:t>
      </w:r>
    </w:p>
    <w:p>
      <w:pPr>
        <w:pStyle w:val="Heading2"/>
        <w:spacing w:after="150" w:before="300"/>
      </w:pPr>
      <w:r>
        <w:rPr>
          <w:rFonts w:ascii="Arial" w:cs="Arial" w:eastAsia="Arial" w:hAnsi="Arial"/>
          <w:b/>
          <w:bCs/>
          <w:color w:val="888888"/>
          <w:sz w:val="20"/>
          <w:szCs w:val="20"/>
        </w:rPr>
        <w:t xml:space="preserve">THE BIG PICTURE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YAML isn't a programming language at all — it's a shared paperwork format. Kubernetes manifests, Ansible playbooks, GitHub Actions workflows, and Docker Compose files all fill out the same kind of form, using the same rules. Learn YAML's structure once, and you can read almost any of these tools' config files.</w:t>
            </w:r>
          </w:p>
        </w:tc>
      </w:tr>
    </w:tbl>
    <w:p>
      <w:pPr>
        <w:spacing w:after="120"/>
      </w:pPr>
    </w:p>
    <w:tbl>
      <w:tblPr>
        <w:tblW w:type="pct" w:w="100%"/>
        <w:tblBorders>
          <w:top w:val="single" w:color="6b7a3d" w:sz="6"/>
          <w:left w:val="single" w:color="6b7a3d" w:sz="24"/>
          <w:bottom w:val="single" w:color="6b7a3d" w:sz="6"/>
          <w:right w:val="single" w:color="6b7a3d" w:sz="6"/>
          <w:insideH w:val="single" w:color="auto" w:sz="4"/>
          <w:insideV w:val="single" w:color="auto" w:sz="4"/>
        </w:tblBorders>
      </w:tblPr>
      <w:tblGrid>
        <w:gridCol w:w="100"/>
      </w:tblGrid>
      <w:tr>
        <w:tc>
          <w:tcPr>
            <w:shd w:fill="f2f5ea" w:val="clear"/>
            <w:tcMar>
              <w:top w:type="dxa" w:w="150"/>
              <w:left w:type="dxa" w:w="200"/>
              <w:bottom w:type="dxa" w:w="150"/>
              <w:right w:type="dxa" w:w="200"/>
            </w:tcMar>
          </w:tcPr>
          <w:p>
            <w:pPr>
              <w:spacing w:after="60"/>
            </w:pPr>
            <w:r>
              <w:rPr>
                <w:rFonts w:ascii="Arial" w:cs="Arial" w:eastAsia="Arial" w:hAnsi="Arial"/>
                <w:b/>
                <w:bCs/>
                <w:color w:val="6b7a3d"/>
                <w:sz w:val="18"/>
                <w:szCs w:val="18"/>
              </w:rPr>
              <w:t xml:space="preserve">KEY: VALUE  </w:t>
            </w:r>
            <w:r>
              <w:rPr>
                <w:rFonts w:ascii="Georgia" w:cs="Georgia" w:eastAsia="Georgia" w:hAnsi="Georgia"/>
                <w:b/>
                <w:bCs/>
                <w:i w:val="false"/>
                <w:iCs w:val="false"/>
                <w:color w:val="111111"/>
                <w:sz w:val="24"/>
                <w:szCs w:val="24"/>
              </w:rPr>
              <w:t xml:space="preserve">the basic building block of every form</w:t>
            </w:r>
          </w:p>
          <w:p>
            <w:pPr>
              <w:spacing w:after="100"/>
            </w:pPr>
            <w:r>
              <w:rPr>
                <w:rFonts w:ascii="Arial" w:cs="Arial" w:eastAsia="Arial" w:hAnsi="Arial"/>
                <w:color w:val="333333"/>
                <w:sz w:val="20"/>
                <w:szCs w:val="20"/>
              </w:rPr>
              <w:t xml:space="preserve">The simplest unit in YAML — a label, a colon, and its value. You've written dozens of these already.</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replicas: 3 — the key is "replicas," the value is 3.</w:t>
                  </w:r>
                </w:p>
              </w:tc>
            </w:tr>
          </w:tbl>
          <w:p/>
        </w:tc>
      </w:tr>
    </w:tbl>
    <w:p>
      <w:pPr>
        <w:spacing w:after="120"/>
      </w:pPr>
    </w:p>
    <w:tbl>
      <w:tblPr>
        <w:tblW w:type="pct" w:w="100%"/>
        <w:tblBorders>
          <w:top w:val="single" w:color="8b5e34" w:sz="6"/>
          <w:left w:val="single" w:color="8b5e34" w:sz="24"/>
          <w:bottom w:val="single" w:color="8b5e34" w:sz="6"/>
          <w:right w:val="single" w:color="8b5e34" w:sz="6"/>
          <w:insideH w:val="single" w:color="auto" w:sz="4"/>
          <w:insideV w:val="single" w:color="auto" w:sz="4"/>
        </w:tblBorders>
      </w:tblPr>
      <w:tblGrid>
        <w:gridCol w:w="100"/>
      </w:tblGrid>
      <w:tr>
        <w:tc>
          <w:tcPr>
            <w:shd w:fill="f7f0e8" w:val="clear"/>
            <w:tcMar>
              <w:top w:type="dxa" w:w="150"/>
              <w:left w:type="dxa" w:w="200"/>
              <w:bottom w:type="dxa" w:w="150"/>
              <w:right w:type="dxa" w:w="200"/>
            </w:tcMar>
          </w:tcPr>
          <w:p>
            <w:pPr>
              <w:spacing w:after="60"/>
            </w:pPr>
            <w:r>
              <w:rPr>
                <w:rFonts w:ascii="Arial" w:cs="Arial" w:eastAsia="Arial" w:hAnsi="Arial"/>
                <w:b/>
                <w:bCs/>
                <w:color w:val="8b5e34"/>
                <w:sz w:val="18"/>
                <w:szCs w:val="18"/>
              </w:rPr>
              <w:t xml:space="preserve">INDENTATION  </w:t>
            </w:r>
            <w:r>
              <w:rPr>
                <w:rFonts w:ascii="Georgia" w:cs="Georgia" w:eastAsia="Georgia" w:hAnsi="Georgia"/>
                <w:b/>
                <w:bCs/>
                <w:i w:val="false"/>
                <w:iCs w:val="false"/>
                <w:color w:val="111111"/>
                <w:sz w:val="24"/>
                <w:szCs w:val="24"/>
              </w:rPr>
              <w:t xml:space="preserve">structure defined purely by spacing</w:t>
            </w:r>
          </w:p>
          <w:p>
            <w:pPr>
              <w:spacing w:after="100"/>
            </w:pPr>
            <w:r>
              <w:rPr>
                <w:rFonts w:ascii="Arial" w:cs="Arial" w:eastAsia="Arial" w:hAnsi="Arial"/>
                <w:color w:val="333333"/>
                <w:sz w:val="20"/>
                <w:szCs w:val="20"/>
              </w:rPr>
              <w:t xml:space="preserve">YAML has no brackets or braces — nesting is shown entirely by how far a line is indented.</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line indented under "spec:" belongs inside spec — move it one space left, and it no longer does.</w:t>
                  </w:r>
                </w:p>
              </w:tc>
            </w:tr>
          </w:tbl>
          <w:p/>
        </w:tc>
      </w:tr>
    </w:tbl>
    <w:p>
      <w:pPr>
        <w:spacing w:after="120"/>
      </w:pPr>
    </w:p>
    <w:tbl>
      <w:tblPr>
        <w:tblW w:type="pct" w:w="100%"/>
        <w:tblBorders>
          <w:top w:val="single" w:color="4b3f8a" w:sz="6"/>
          <w:left w:val="single" w:color="4b3f8a" w:sz="24"/>
          <w:bottom w:val="single" w:color="4b3f8a" w:sz="6"/>
          <w:right w:val="single" w:color="4b3f8a" w:sz="6"/>
          <w:insideH w:val="single" w:color="auto" w:sz="4"/>
          <w:insideV w:val="single" w:color="auto" w:sz="4"/>
        </w:tblBorders>
      </w:tblPr>
      <w:tblGrid>
        <w:gridCol w:w="100"/>
      </w:tblGrid>
      <w:tr>
        <w:tc>
          <w:tcPr>
            <w:shd w:fill="f0eefa" w:val="clear"/>
            <w:tcMar>
              <w:top w:type="dxa" w:w="150"/>
              <w:left w:type="dxa" w:w="200"/>
              <w:bottom w:type="dxa" w:w="150"/>
              <w:right w:type="dxa" w:w="200"/>
            </w:tcMar>
          </w:tcPr>
          <w:p>
            <w:pPr>
              <w:spacing w:after="60"/>
            </w:pPr>
            <w:r>
              <w:rPr>
                <w:rFonts w:ascii="Arial" w:cs="Arial" w:eastAsia="Arial" w:hAnsi="Arial"/>
                <w:b/>
                <w:bCs/>
                <w:color w:val="4b3f8a"/>
                <w:sz w:val="18"/>
                <w:szCs w:val="18"/>
              </w:rPr>
              <w:t xml:space="preserve">LIST ( - ITEM )  </w:t>
            </w:r>
            <w:r>
              <w:rPr>
                <w:rFonts w:ascii="Georgia" w:cs="Georgia" w:eastAsia="Georgia" w:hAnsi="Georgia"/>
                <w:b/>
                <w:bCs/>
                <w:i w:val="false"/>
                <w:iCs w:val="false"/>
                <w:color w:val="111111"/>
                <w:sz w:val="24"/>
                <w:szCs w:val="24"/>
              </w:rPr>
              <w:t xml:space="preserve">multiple items under one key</w:t>
            </w:r>
          </w:p>
          <w:p>
            <w:pPr>
              <w:spacing w:after="100"/>
            </w:pPr>
            <w:r>
              <w:rPr>
                <w:rFonts w:ascii="Arial" w:cs="Arial" w:eastAsia="Arial" w:hAnsi="Arial"/>
                <w:color w:val="333333"/>
                <w:sz w:val="20"/>
                <w:szCs w:val="20"/>
              </w:rPr>
              <w:t xml:space="preserve">A dash marks each item in a list — used in Ansible inventories, Kubernetes container lists, and GitHub Actions steps.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"branches:" key followed by a dash-prefixed list of branch names.</w:t>
                  </w:r>
                </w:p>
              </w:tc>
            </w:tr>
          </w:tbl>
          <w:p/>
        </w:tc>
      </w:tr>
    </w:tbl>
    <w:p>
      <w:pPr>
        <w:spacing w:after="120"/>
      </w:pPr>
    </w:p>
    <w:tbl>
      <w:tblPr>
        <w:tblW w:type="pct" w:w="100%"/>
        <w:tblBorders>
          <w:top w:val="single" w:color="c1552f" w:sz="6"/>
          <w:left w:val="single" w:color="c1552f" w:sz="24"/>
          <w:bottom w:val="single" w:color="c1552f" w:sz="6"/>
          <w:right w:val="single" w:color="c1552f" w:sz="6"/>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c1552f"/>
                <w:sz w:val="18"/>
                <w:szCs w:val="18"/>
              </w:rPr>
              <w:t xml:space="preserve">NESTING  </w:t>
            </w:r>
            <w:r>
              <w:rPr>
                <w:rFonts w:ascii="Georgia" w:cs="Georgia" w:eastAsia="Georgia" w:hAnsi="Georgia"/>
                <w:b/>
                <w:bCs/>
                <w:i w:val="false"/>
                <w:iCs w:val="false"/>
                <w:color w:val="111111"/>
                <w:sz w:val="24"/>
                <w:szCs w:val="24"/>
              </w:rPr>
              <w:t xml:space="preserve">forms within forms</w:t>
            </w:r>
          </w:p>
          <w:p>
            <w:pPr>
              <w:spacing w:after="100"/>
            </w:pPr>
            <w:r>
              <w:rPr>
                <w:rFonts w:ascii="Arial" w:cs="Arial" w:eastAsia="Arial" w:hAnsi="Arial"/>
                <w:color w:val="333333"/>
                <w:sz w:val="20"/>
                <w:szCs w:val="20"/>
              </w:rPr>
              <w:t xml:space="preserve">Keys can hold entire sub-forms underneath them, which can themselves hold more keys.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"spec" contains "containers," which contains a list of container definitions.</w:t>
                  </w:r>
                </w:p>
              </w:tc>
            </w:tr>
          </w:tbl>
          <w:p/>
        </w:tc>
      </w:tr>
    </w:tbl>
    <w:p>
      <w:pPr>
        <w:spacing w:after="120"/>
      </w:pPr>
    </w:p>
    <w:tbl>
      <w:tblPr>
        <w:tblW w:type="pct" w:w="100%"/>
        <w:tblBorders>
          <w:top w:val="single" w:color="555555" w:sz="6"/>
          <w:left w:val="single" w:color="555555" w:sz="24"/>
          <w:bottom w:val="single" w:color="555555" w:sz="6"/>
          <w:right w:val="single" w:color="555555" w:sz="6"/>
          <w:insideH w:val="single" w:color="auto" w:sz="4"/>
          <w:insideV w:val="single" w:color="auto" w:sz="4"/>
        </w:tblBorders>
      </w:tblPr>
      <w:tblGrid>
        <w:gridCol w:w="100"/>
      </w:tblGrid>
      <w:tr>
        <w:tc>
          <w:tcPr>
            <w:shd w:fill="f4f4f4" w:val="clear"/>
            <w:tcMar>
              <w:top w:type="dxa" w:w="150"/>
              <w:left w:type="dxa" w:w="200"/>
              <w:bottom w:type="dxa" w:w="150"/>
              <w:right w:type="dxa" w:w="200"/>
            </w:tcMar>
          </w:tcPr>
          <w:p>
            <w:pPr>
              <w:spacing w:after="60"/>
            </w:pPr>
            <w:r>
              <w:rPr>
                <w:rFonts w:ascii="Arial" w:cs="Arial" w:eastAsia="Arial" w:hAnsi="Arial"/>
                <w:b/>
                <w:bCs/>
                <w:color w:val="555555"/>
                <w:sz w:val="18"/>
                <w:szCs w:val="18"/>
              </w:rPr>
              <w:t xml:space="preserve">WHY YAML EVERYWHERE  </w:t>
            </w:r>
            <w:r>
              <w:rPr>
                <w:rFonts w:ascii="Georgia" w:cs="Georgia" w:eastAsia="Georgia" w:hAnsi="Georgia"/>
                <w:b/>
                <w:bCs/>
                <w:i w:val="false"/>
                <w:iCs w:val="false"/>
                <w:color w:val="111111"/>
                <w:sz w:val="24"/>
                <w:szCs w:val="24"/>
              </w:rPr>
              <w:t xml:space="preserve">one shared form, understood by every department</w:t>
            </w:r>
          </w:p>
          <w:p>
            <w:pPr>
              <w:spacing w:after="100"/>
            </w:pPr>
            <w:r>
              <w:rPr>
                <w:rFonts w:ascii="Arial" w:cs="Arial" w:eastAsia="Arial" w:hAnsi="Arial"/>
                <w:color w:val="333333"/>
                <w:sz w:val="20"/>
                <w:szCs w:val="20"/>
              </w:rPr>
              <w:t xml:space="preserve">Kubernetes, Ansible, GitHub Actions, and Docker Compose all read and write the same format.</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Kubernetes deployment.yaml and a GitHub Actions workflow.yml look structurally similar, despite configuring completely different things.</w:t>
                  </w:r>
                </w:p>
              </w:tc>
            </w:tr>
          </w:tbl>
          <w:p/>
        </w:tc>
      </w:tr>
    </w:tbl>
    <w:p>
      <w:pPr>
        <w:spacing w:after="120"/>
      </w:pPr>
    </w:p>
    <w:tbl>
      <w:tblPr>
        <w:tblW w:type="pct" w:w="100%"/>
        <w:tblBorders>
          <w:top w:val="single" w:color="c2528b" w:sz="6"/>
          <w:left w:val="single" w:color="c2528b" w:sz="24"/>
          <w:bottom w:val="single" w:color="c2528b" w:sz="6"/>
          <w:right w:val="single" w:color="c2528b" w:sz="6"/>
          <w:insideH w:val="single" w:color="auto" w:sz="4"/>
          <w:insideV w:val="single" w:color="auto" w:sz="4"/>
        </w:tblBorders>
      </w:tblPr>
      <w:tblGrid>
        <w:gridCol w:w="100"/>
      </w:tblGrid>
      <w:tr>
        <w:tc>
          <w:tcPr>
            <w:shd w:fill="fbeef4" w:val="clear"/>
            <w:tcMar>
              <w:top w:type="dxa" w:w="150"/>
              <w:left w:type="dxa" w:w="200"/>
              <w:bottom w:type="dxa" w:w="150"/>
              <w:right w:type="dxa" w:w="200"/>
            </w:tcMar>
          </w:tcPr>
          <w:p>
            <w:pPr>
              <w:spacing w:after="60"/>
            </w:pPr>
            <w:r>
              <w:rPr>
                <w:rFonts w:ascii="Arial" w:cs="Arial" w:eastAsia="Arial" w:hAnsi="Arial"/>
                <w:b/>
                <w:bCs/>
                <w:color w:val="c2528b"/>
                <w:sz w:val="18"/>
                <w:szCs w:val="18"/>
              </w:rPr>
              <w:t xml:space="preserve">COMMENTS (#)  </w:t>
            </w:r>
            <w:r>
              <w:rPr>
                <w:rFonts w:ascii="Georgia" w:cs="Georgia" w:eastAsia="Georgia" w:hAnsi="Georgia"/>
                <w:b/>
                <w:bCs/>
                <w:i w:val="false"/>
                <w:iCs w:val="false"/>
                <w:color w:val="111111"/>
                <w:sz w:val="24"/>
                <w:szCs w:val="24"/>
              </w:rPr>
              <w:t xml:space="preserve">a sticky note that isn't part of the actual form</w:t>
            </w:r>
          </w:p>
          <w:p>
            <w:pPr>
              <w:spacing w:after="100"/>
            </w:pPr>
            <w:r>
              <w:rPr>
                <w:rFonts w:ascii="Arial" w:cs="Arial" w:eastAsia="Arial" w:hAnsi="Arial"/>
                <w:color w:val="333333"/>
                <w:sz w:val="20"/>
                <w:szCs w:val="20"/>
              </w:rPr>
              <w:t xml:space="preserve">Anything after a # on a line is ignored entirely — useful for leaving notes explaining why a value is set the way it is.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 TODO: increase this before the sale" left above a replicas value, for the next person reading it.</w:t>
                  </w:r>
                </w:p>
              </w:tc>
            </w:tr>
          </w:tbl>
          <w:p/>
        </w:tc>
      </w:tr>
    </w:tbl>
    <w:p>
      <w:pPr>
        <w:spacing w:after="120"/>
      </w:pPr>
    </w:p>
    <w:p>
      <w:pPr>
        <w:pStyle w:val="Heading2"/>
        <w:spacing w:after="150" w:before="0"/>
      </w:pPr>
      <w:r>
        <w:br w:type="page"/>
      </w:r>
      <w:r>
        <w:rPr>
          <w:rFonts w:ascii="Arial" w:cs="Arial" w:eastAsia="Arial" w:hAnsi="Arial"/>
          <w:b/>
          <w:bCs/>
          <w:color w:val="888888"/>
          <w:sz w:val="20"/>
          <w:szCs w:val="20"/>
        </w:rPr>
        <w:t xml:space="preserve">READING A REAL FILE</w:t>
      </w:r>
    </w:p>
    <w:tbl>
      <w:tblPr>
        <w:tblW w:type="pct" w:w="100%"/>
        <w:tblBorders>
          <w:top w:val="single" w:color="DDDDDD" w:sz="4"/>
          <w:left w:val="single" w:color="6b7a3d" w:sz="24"/>
          <w:bottom w:val="single" w:color="DDDDDD" w:sz="4"/>
          <w:right w:val="single" w:color="DDDDDD" w:sz="4"/>
          <w:insideH w:val="single" w:color="auto" w:sz="4"/>
          <w:insideV w:val="single" w:color="auto" w:sz="4"/>
        </w:tblBorders>
      </w:tblPr>
      <w:tblGrid>
        <w:gridCol w:w="100"/>
      </w:tblGrid>
      <w:tr>
        <w:tc>
          <w:tcPr>
            <w:shd w:fill="f2f5ea"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A Kubernetes manifest, structurally annotated   </w:t>
            </w:r>
            <w:r>
              <w:rPr>
                <w:rFonts w:ascii="Arial" w:cs="Arial" w:eastAsia="Arial" w:hAnsi="Arial"/>
                <w:b w:val="false"/>
                <w:bCs w:val="false"/>
                <w:color w:val="FFFFFF"/>
                <w:sz w:val="15"/>
                <w:szCs w:val="15"/>
                <w:shd w:fill="6b7a3d" w:val="clear"/>
              </w:rPr>
              <w:t xml:space="preserve">KEY:VALUE, INDENTATION, LISTS, NESTING</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apiVersion: apps/v1</w:t>
                  </w:r>
                </w:p>
                <w:p>
                  <w:r>
                    <w:rPr>
                      <w:rFonts w:ascii="Courier New" w:cs="Courier New" w:eastAsia="Courier New" w:hAnsi="Courier New"/>
                      <w:color w:val="1C1C1C"/>
                      <w:sz w:val="18"/>
                      <w:szCs w:val="18"/>
                    </w:rPr>
                    <w:t xml:space="preserve">kind: Deployment</w:t>
                  </w:r>
                </w:p>
                <w:p>
                  <w:r>
                    <w:rPr>
                      <w:rFonts w:ascii="Courier New" w:cs="Courier New" w:eastAsia="Courier New" w:hAnsi="Courier New"/>
                      <w:color w:val="1C1C1C"/>
                      <w:sz w:val="18"/>
                      <w:szCs w:val="18"/>
                    </w:rPr>
                    <w:t xml:space="preserve">metadata:</w:t>
                  </w:r>
                </w:p>
                <w:p>
                  <w:r>
                    <w:rPr>
                      <w:rFonts w:ascii="Courier New" w:cs="Courier New" w:eastAsia="Courier New" w:hAnsi="Courier New"/>
                      <w:color w:val="1C1C1C"/>
                      <w:sz w:val="18"/>
                      <w:szCs w:val="18"/>
                    </w:rPr>
                    <w:t xml:space="preserve">  name: web-app</w:t>
                  </w:r>
                </w:p>
                <w:p>
                  <w:r>
                    <w:rPr>
                      <w:rFonts w:ascii="Courier New" w:cs="Courier New" w:eastAsia="Courier New" w:hAnsi="Courier New"/>
                      <w:color w:val="1C1C1C"/>
                      <w:sz w:val="18"/>
                      <w:szCs w:val="18"/>
                    </w:rPr>
                    <w:t xml:space="preserve">spec:</w:t>
                  </w:r>
                </w:p>
                <w:p>
                  <w:r>
                    <w:rPr>
                      <w:rFonts w:ascii="Courier New" w:cs="Courier New" w:eastAsia="Courier New" w:hAnsi="Courier New"/>
                      <w:color w:val="1C1C1C"/>
                      <w:sz w:val="18"/>
                      <w:szCs w:val="18"/>
                    </w:rPr>
                    <w:t xml:space="preserve">  replicas: 3</w:t>
                  </w:r>
                </w:p>
                <w:p>
                  <w:r>
                    <w:rPr>
                      <w:rFonts w:ascii="Courier New" w:cs="Courier New" w:eastAsia="Courier New" w:hAnsi="Courier New"/>
                      <w:color w:val="1C1C1C"/>
                      <w:sz w:val="18"/>
                      <w:szCs w:val="18"/>
                    </w:rPr>
                    <w:t xml:space="preserve">  template:</w:t>
                  </w:r>
                </w:p>
                <w:p>
                  <w:r>
                    <w:rPr>
                      <w:rFonts w:ascii="Courier New" w:cs="Courier New" w:eastAsia="Courier New" w:hAnsi="Courier New"/>
                      <w:color w:val="1C1C1C"/>
                      <w:sz w:val="18"/>
                      <w:szCs w:val="18"/>
                    </w:rPr>
                    <w:t xml:space="preserve">    spec:</w:t>
                  </w:r>
                </w:p>
                <w:p>
                  <w:r>
                    <w:rPr>
                      <w:rFonts w:ascii="Courier New" w:cs="Courier New" w:eastAsia="Courier New" w:hAnsi="Courier New"/>
                      <w:color w:val="1C1C1C"/>
                      <w:sz w:val="18"/>
                      <w:szCs w:val="18"/>
                    </w:rPr>
                    <w:t xml:space="preserve">      containers:</w:t>
                  </w:r>
                </w:p>
                <w:p>
                  <w:r>
                    <w:rPr>
                      <w:rFonts w:ascii="Courier New" w:cs="Courier New" w:eastAsia="Courier New" w:hAnsi="Courier New"/>
                      <w:color w:val="1C1C1C"/>
                      <w:sz w:val="18"/>
                      <w:szCs w:val="18"/>
                    </w:rPr>
                    <w:t xml:space="preserve">        - name: web</w:t>
                  </w:r>
                </w:p>
                <w:p>
                  <w:r>
                    <w:rPr>
                      <w:rFonts w:ascii="Courier New" w:cs="Courier New" w:eastAsia="Courier New" w:hAnsi="Courier New"/>
                      <w:color w:val="1C1C1C"/>
                      <w:sz w:val="18"/>
                      <w:szCs w:val="18"/>
                    </w:rPr>
                    <w:t xml:space="preserve">          image: nginx</w:t>
                  </w:r>
                </w:p>
                <w:p>
                  <w:r>
                    <w:rPr>
                      <w:rFonts w:ascii="Courier New" w:cs="Courier New" w:eastAsia="Courier New" w:hAnsi="Courier New"/>
                      <w:color w:val="1C1C1C"/>
                      <w:sz w:val="18"/>
                      <w:szCs w:val="18"/>
                    </w:rPr>
                    <w:t xml:space="preserve">          ports:</w:t>
                  </w:r>
                </w:p>
                <w:p>
                  <w:r>
                    <w:rPr>
                      <w:rFonts w:ascii="Courier New" w:cs="Courier New" w:eastAsia="Courier New" w:hAnsi="Courier New"/>
                      <w:color w:val="1C1C1C"/>
                      <w:sz w:val="18"/>
                      <w:szCs w:val="18"/>
                    </w:rPr>
                    <w:t xml:space="preserve">            - containerPort: 80</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kind: Deployment   </w:t>
                  </w:r>
                  <w:r>
                    <w:rPr>
                      <w:rFonts w:ascii="Arial" w:cs="Arial" w:eastAsia="Arial" w:hAnsi="Arial"/>
                      <w:color w:val="666666"/>
                      <w:sz w:val="17"/>
                      <w:szCs w:val="17"/>
                    </w:rPr>
                    <w:t xml:space="preserve">— a simple key: value pair</w:t>
                  </w:r>
                </w:p>
                <w:p>
                  <w:pPr>
                    <w:spacing w:after="20"/>
                  </w:pPr>
                  <w:r>
                    <w:rPr>
                      <w:rFonts w:ascii="Courier New" w:cs="Courier New" w:eastAsia="Courier New" w:hAnsi="Courier New"/>
                      <w:b/>
                      <w:bCs/>
                      <w:color w:val="333333"/>
                      <w:sz w:val="17"/>
                      <w:szCs w:val="17"/>
                    </w:rPr>
                    <w:t xml:space="preserve">spec: (indented under it)   </w:t>
                  </w:r>
                  <w:r>
                    <w:rPr>
                      <w:rFonts w:ascii="Arial" w:cs="Arial" w:eastAsia="Arial" w:hAnsi="Arial"/>
                      <w:color w:val="666666"/>
                      <w:sz w:val="17"/>
                      <w:szCs w:val="17"/>
                    </w:rPr>
                    <w:t xml:space="preserve">— nesting: spec belongs inside the top-level form</w:t>
                  </w:r>
                </w:p>
                <w:p>
                  <w:pPr>
                    <w:spacing w:after="20"/>
                  </w:pPr>
                  <w:r>
                    <w:rPr>
                      <w:rFonts w:ascii="Courier New" w:cs="Courier New" w:eastAsia="Courier New" w:hAnsi="Courier New"/>
                      <w:b/>
                      <w:bCs/>
                      <w:color w:val="333333"/>
                      <w:sz w:val="17"/>
                      <w:szCs w:val="17"/>
                    </w:rPr>
                    <w:t xml:space="preserve">- name: web   </w:t>
                  </w:r>
                  <w:r>
                    <w:rPr>
                      <w:rFonts w:ascii="Arial" w:cs="Arial" w:eastAsia="Arial" w:hAnsi="Arial"/>
                      <w:color w:val="666666"/>
                      <w:sz w:val="17"/>
                      <w:szCs w:val="17"/>
                    </w:rPr>
                    <w:t xml:space="preserve">— a list item: the first container</w:t>
                  </w:r>
                </w:p>
                <w:p>
                  <w:pPr>
                    <w:spacing w:after="20"/>
                  </w:pPr>
                  <w:r>
                    <w:rPr>
                      <w:rFonts w:ascii="Courier New" w:cs="Courier New" w:eastAsia="Courier New" w:hAnsi="Courier New"/>
                      <w:b/>
                      <w:bCs/>
                      <w:color w:val="333333"/>
                      <w:sz w:val="17"/>
                      <w:szCs w:val="17"/>
                    </w:rPr>
                    <w:t xml:space="preserve">- containerPort: 80   </w:t>
                  </w:r>
                  <w:r>
                    <w:rPr>
                      <w:rFonts w:ascii="Arial" w:cs="Arial" w:eastAsia="Arial" w:hAnsi="Arial"/>
                      <w:color w:val="666666"/>
                      <w:sz w:val="17"/>
                      <w:szCs w:val="17"/>
                    </w:rPr>
                    <w:t xml:space="preserve">— a list nested inside a list item</w:t>
                  </w:r>
                </w:p>
              </w:tc>
            </w:tr>
          </w:tbl>
          <w:p>
            <w:pPr>
              <w:spacing w:after="40"/>
            </w:pPr>
          </w:p>
          <w:p>
            <w:pPr>
              <w:spacing w:after="0"/>
            </w:pPr>
            <w:r>
              <w:rPr>
                <w:rFonts w:ascii="Arial" w:cs="Arial" w:eastAsia="Arial" w:hAnsi="Arial"/>
                <w:color w:val="333333"/>
                <w:sz w:val="19"/>
                <w:szCs w:val="19"/>
              </w:rPr>
              <w:t xml:space="preserve">Every line's meaning comes entirely from its indentation level — no brackets required. Once this structure clicks, every YAML file you meet reads the same way.</w:t>
            </w:r>
          </w:p>
        </w:tc>
      </w:tr>
    </w:tbl>
    <w:p>
      <w:pPr>
        <w:spacing w:after="120"/>
      </w:pPr>
    </w:p>
    <w:tbl>
      <w:tblPr>
        <w:tblW w:type="pct" w:w="100%"/>
        <w:tblBorders>
          <w:top w:val="single" w:color="DDDDDD" w:sz="4"/>
          <w:left w:val="single" w:color="c2528b" w:sz="24"/>
          <w:bottom w:val="single" w:color="DDDDDD" w:sz="4"/>
          <w:right w:val="single" w:color="DDDDDD" w:sz="4"/>
          <w:insideH w:val="single" w:color="auto" w:sz="4"/>
          <w:insideV w:val="single" w:color="auto" w:sz="4"/>
        </w:tblBorders>
      </w:tblPr>
      <w:tblGrid>
        <w:gridCol w:w="100"/>
      </w:tblGrid>
      <w:tr>
        <w:tc>
          <w:tcPr>
            <w:shd w:fill="fbeef4"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Adding a comment   </w:t>
            </w:r>
            <w:r>
              <w:rPr>
                <w:rFonts w:ascii="Arial" w:cs="Arial" w:eastAsia="Arial" w:hAnsi="Arial"/>
                <w:b w:val="false"/>
                <w:bCs w:val="false"/>
                <w:color w:val="FFFFFF"/>
                <w:sz w:val="15"/>
                <w:szCs w:val="15"/>
                <w:shd w:fill="c2528b" w:val="clear"/>
              </w:rPr>
              <w:t xml:space="preserve">COMMENTS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 This controls how many replicas run</w:t>
                  </w:r>
                </w:p>
                <w:p>
                  <w:r>
                    <w:rPr>
                      <w:rFonts w:ascii="Courier New" w:cs="Courier New" w:eastAsia="Courier New" w:hAnsi="Courier New"/>
                      <w:color w:val="1C1C1C"/>
                      <w:sz w:val="18"/>
                      <w:szCs w:val="18"/>
                    </w:rPr>
                    <w:t xml:space="preserve">replicas: 3  # TODO: increase before the big sale</w:t>
                  </w:r>
                </w:p>
              </w:tc>
            </w:tr>
          </w:tbl>
          <w:p>
            <w:pPr>
              <w:spacing w:after="40"/>
            </w:pPr>
          </w:p>
          <w:p>
            <w:pPr>
              <w:spacing w:after="0"/>
            </w:pPr>
            <w:r>
              <w:rPr>
                <w:rFonts w:ascii="Arial" w:cs="Arial" w:eastAsia="Arial" w:hAnsi="Arial"/>
                <w:color w:val="333333"/>
                <w:sz w:val="19"/>
                <w:szCs w:val="19"/>
              </w:rPr>
              <w:t xml:space="preserve">Everything after the # is ignored by the tool reading the file — purely a note for the next human who opens it.</w:t>
            </w:r>
          </w:p>
        </w:tc>
      </w:tr>
    </w:tbl>
    <w:p>
      <w:pPr>
        <w:pStyle w:val="Heading2"/>
        <w:spacing w:after="150" w:before="300"/>
      </w:pPr>
      <w:r>
        <w:rPr>
          <w:rFonts w:ascii="Arial" w:cs="Arial" w:eastAsia="Arial" w:hAnsi="Arial"/>
          <w:b/>
          <w:bCs/>
          <w:color w:val="888888"/>
          <w:sz w:val="20"/>
          <w:szCs w:val="20"/>
        </w:rPr>
        <w:t xml:space="preserve">HOW THIS CONNECTS TO EVERYTHING ELSE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YAML is the paperwork format every one of your other guides already writes in — Kubernetes deployment.yaml, Ansible playbooks, GitHub Actions workflow.yml, Docker Compose files. Learning YAML doesn't add a new tool to the city — it lets you read and write what every existing tool already speaks.</w:t>
            </w:r>
          </w:p>
        </w:tc>
      </w:tr>
    </w:tbl>
    <w:p>
      <w:pPr>
        <w:spacing w:after="120"/>
      </w:pPr>
    </w:p>
    <w:p>
      <w:pPr>
        <w:pStyle w:val="Heading2"/>
        <w:spacing w:after="150" w:before="300"/>
      </w:pPr>
      <w:r>
        <w:rPr>
          <w:rFonts w:ascii="Arial" w:cs="Arial" w:eastAsia="Arial" w:hAnsi="Arial"/>
          <w:b/>
          <w:bCs/>
          <w:color w:val="888888"/>
          <w:sz w:val="20"/>
          <w:szCs w:val="20"/>
        </w:rPr>
        <w:t xml:space="preserve">QUICK SELF-TEST</w:t>
      </w:r>
    </w:p>
    <w:tbl>
      <w:tblPr>
        <w:tblW w:type="pct" w:w="100%"/>
        <w:tblBorders>
          <w:top w:val="single" w:color="c1552f" w:sz="6"/>
          <w:left w:val="single" w:color="c1552f" w:sz="24"/>
          <w:bottom w:val="single" w:color="c1552f" w:sz="6"/>
          <w:right w:val="single" w:color="c1552f" w:sz="6"/>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c1552f"/>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1. What's the simplest possible unit in a YAML file?</w:t>
            </w:r>
            <w:r>
              <w:rPr>
                <w:rFonts w:ascii="Arial" w:cs="Arial" w:eastAsia="Arial" w:hAnsi="Arial"/>
                <w:color w:val="333333"/>
                <w:sz w:val="20"/>
                <w:szCs w:val="20"/>
              </w:rPr>
              <w:br/>
              <w:t xml:space="preserve">2. Why does indentation matter so much in YAML?</w:t>
            </w:r>
            <w:r>
              <w:rPr>
                <w:rFonts w:ascii="Arial" w:cs="Arial" w:eastAsia="Arial" w:hAnsi="Arial"/>
                <w:color w:val="333333"/>
                <w:sz w:val="20"/>
                <w:szCs w:val="20"/>
              </w:rPr>
              <w:br/>
              <w:t xml:space="preserve">3. How do you tell YAML you want a list of multiple items?</w:t>
            </w:r>
            <w:r>
              <w:rPr>
                <w:rFonts w:ascii="Arial" w:cs="Arial" w:eastAsia="Arial" w:hAnsi="Arial"/>
                <w:color w:val="333333"/>
                <w:sz w:val="20"/>
                <w:szCs w:val="20"/>
              </w:rPr>
              <w:br/>
              <w:t xml:space="preserve">4. What does "nesting" actually mean in a YAML file?</w:t>
            </w:r>
            <w:r>
              <w:rPr>
                <w:rFonts w:ascii="Arial" w:cs="Arial" w:eastAsia="Arial" w:hAnsi="Arial"/>
                <w:color w:val="333333"/>
                <w:sz w:val="20"/>
                <w:szCs w:val="20"/>
              </w:rPr>
              <w:br/>
              <w:t xml:space="preserve">5. Name two DevOps tools that both use YAML for their config files.</w:t>
            </w:r>
            <w:r>
              <w:rPr>
                <w:rFonts w:ascii="Arial" w:cs="Arial" w:eastAsia="Arial" w:hAnsi="Arial"/>
                <w:color w:val="333333"/>
                <w:sz w:val="20"/>
                <w:szCs w:val="20"/>
              </w:rPr>
              <w:br/>
              <w:t xml:space="preserve">6. What happens to text after a # symbol?</w:t>
            </w:r>
          </w:p>
        </w:tc>
      </w:tr>
    </w:tbl>
    <w:p>
      <w:pPr>
        <w:spacing w:after="120"/>
      </w:pPr>
    </w:p>
    <w:p>
      <w:pPr>
        <w:pStyle w:val="Heading2"/>
        <w:spacing w:after="150" w:before="300"/>
      </w:pPr>
      <w:r>
        <w:rPr>
          <w:rFonts w:ascii="Arial" w:cs="Arial" w:eastAsia="Arial" w:hAnsi="Arial"/>
          <w:b/>
          <w:bCs/>
          <w:color w:val="888888"/>
          <w:sz w:val="20"/>
          <w:szCs w:val="20"/>
        </w:rPr>
        <w:t xml:space="preserve">IF THE MANAGER ASKS...</w:t>
      </w:r>
    </w:p>
    <w:tbl>
      <w:tblPr>
        <w:tblW w:type="pct" w:w="100%"/>
        <w:tblBorders>
          <w:top w:val="single" w:color="DDDDDD" w:sz="4"/>
          <w:left w:val="single" w:color="6b7a3d" w:sz="24"/>
          <w:bottom w:val="single" w:color="DDDDDD" w:sz="4"/>
          <w:right w:val="single" w:color="DDDDDD" w:sz="4"/>
          <w:insideH w:val="single" w:color="auto" w:sz="4"/>
          <w:insideV w:val="single" w:color="auto" w:sz="4"/>
        </w:tblBorders>
      </w:tblPr>
      <w:tblGrid>
        <w:gridCol w:w="100"/>
      </w:tblGrid>
      <w:tr>
        <w:tc>
          <w:tcPr>
            <w:shd w:fill="f2f5ea"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"Why does YAML matter so much in DevOps?"   </w:t>
            </w:r>
            <w:r>
              <w:rPr>
                <w:rFonts w:ascii="Arial" w:cs="Arial" w:eastAsia="Arial" w:hAnsi="Arial"/>
                <w:b w:val="false"/>
                <w:bCs w:val="false"/>
                <w:color w:val="FFFFFF"/>
                <w:sz w:val="15"/>
                <w:szCs w:val="15"/>
                <w:shd w:fill="6b7a3d" w:val="clear"/>
              </w:rPr>
              <w:t xml:space="preserve"/>
            </w:r>
          </w:p>
          <w:p>
            <w:pPr>
              <w:spacing w:after="0"/>
            </w:pPr>
            <w:r>
              <w:rPr>
                <w:rFonts w:ascii="Arial" w:cs="Arial" w:eastAsia="Arial" w:hAnsi="Arial"/>
                <w:color w:val="333333"/>
                <w:sz w:val="19"/>
                <w:szCs w:val="19"/>
              </w:rPr>
              <w:t xml:space="preserve">It's the shared format nearly every tool in the stack uses to describe configuration.</w:t>
            </w:r>
          </w:p>
        </w:tc>
      </w:tr>
    </w:tbl>
    <w:p>
      <w:pPr>
        <w:spacing w:after="120"/>
      </w:pPr>
    </w:p>
    <w:tbl>
      <w:tblPr>
        <w:tblW w:type="pct" w:w="100%"/>
        <w:tblBorders>
          <w:top w:val="single" w:color="DDDDDD" w:sz="4"/>
          <w:left w:val="single" w:color="c2528b" w:sz="24"/>
          <w:bottom w:val="single" w:color="DDDDDD" w:sz="4"/>
          <w:right w:val="single" w:color="DDDDDD" w:sz="4"/>
          <w:insideH w:val="single" w:color="auto" w:sz="4"/>
          <w:insideV w:val="single" w:color="auto" w:sz="4"/>
        </w:tblBorders>
      </w:tblPr>
      <w:tblGrid>
        <w:gridCol w:w="100"/>
      </w:tblGrid>
      <w:tr>
        <w:tc>
          <w:tcPr>
            <w:shd w:fill="fbeef4"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"What's the most common mistake beginners make with YAML?"   </w:t>
            </w:r>
            <w:r>
              <w:rPr>
                <w:rFonts w:ascii="Arial" w:cs="Arial" w:eastAsia="Arial" w:hAnsi="Arial"/>
                <w:b w:val="false"/>
                <w:bCs w:val="false"/>
                <w:color w:val="FFFFFF"/>
                <w:sz w:val="15"/>
                <w:szCs w:val="15"/>
                <w:shd w:fill="c2528b" w:val="clear"/>
              </w:rPr>
              <w:t xml:space="preserve"/>
            </w:r>
          </w:p>
          <w:p>
            <w:pPr>
              <w:spacing w:after="0"/>
            </w:pPr>
            <w:r>
              <w:rPr>
                <w:rFonts w:ascii="Arial" w:cs="Arial" w:eastAsia="Arial" w:hAnsi="Arial"/>
                <w:color w:val="333333"/>
                <w:sz w:val="19"/>
                <w:szCs w:val="19"/>
              </w:rPr>
              <w:t xml:space="preserve">Incorrect indentation — since YAML has no brackets, even one misplaced space can silently change what a line belongs to.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2026-08-05T22:47:36.041Z</dcterms:created>
  <dcterms:modified xsi:type="dcterms:W3CDTF">2026-08-05T22:47:36.041Z</dcterms:modified>
</cp:coreProperties>
</file>

<file path=docProps/custom.xml><?xml version="1.0" encoding="utf-8"?>
<Properties xmlns="http://schemas.openxmlformats.org/officeDocument/2006/custom-properties" xmlns:vt="http://schemas.openxmlformats.org/officeDocument/2006/docPropsVTypes"/>
</file>