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303B5" w:rsidRDefault="00DA6B1D">
      <w:pPr>
        <w:spacing w:after="300"/>
      </w:pPr>
      <w:r>
        <w:rPr>
          <w:b/>
          <w:bCs/>
          <w:color w:val="000000"/>
          <w:sz w:val="40"/>
          <w:szCs w:val="40"/>
        </w:rPr>
        <w:t>Days 47-49: Autopsy Case Setup &amp; Initial Triage</w:t>
      </w:r>
    </w:p>
    <w:p w:rsidR="009303B5" w:rsidRDefault="00DA6B1D">
      <w:pPr>
        <w:shd w:val="clear" w:color="auto" w:fill="1A1A1A"/>
        <w:spacing w:before="400" w:after="200"/>
        <w:ind w:left="100" w:right="100"/>
      </w:pPr>
      <w:r>
        <w:rPr>
          <w:rFonts w:ascii="Consolas" w:eastAsia="Consolas" w:hAnsi="Consolas" w:cs="Consolas"/>
          <w:b/>
          <w:bCs/>
          <w:color w:val="39B54A"/>
          <w:sz w:val="22"/>
          <w:szCs w:val="22"/>
        </w:rPr>
        <w:t xml:space="preserve">// 47-49  </w:t>
      </w:r>
      <w:r>
        <w:rPr>
          <w:b/>
          <w:bCs/>
          <w:color w:val="FFFFFF"/>
          <w:sz w:val="22"/>
          <w:szCs w:val="22"/>
        </w:rPr>
        <w:t>OVERVIEW &amp; SCOPE</w:t>
      </w:r>
    </w:p>
    <w:p w:rsidR="009303B5" w:rsidRDefault="00DA6B1D">
      <w:pPr>
        <w:spacing w:after="150"/>
        <w:rPr>
          <w:sz w:val="21"/>
          <w:szCs w:val="21"/>
        </w:rPr>
      </w:pPr>
      <w:r>
        <w:rPr>
          <w:sz w:val="21"/>
          <w:szCs w:val="21"/>
        </w:rPr>
        <w:t>This block moves the Days 46-47 acquisition into a structured forensic case workflow using Autopsy. The E01 image is loaded as a data source, all ingest modules are run to completion, and a systematic triage is performed across the file tree, timeline, deleted files, thumbnails, and web artefacts. The objective at this stage is breadth of coverage and identification of areas warranting deeper investigation, not exhaustive analysis of every artefact.</w:t>
      </w:r>
    </w:p>
    <w:p w:rsidR="00A0605D" w:rsidRDefault="00A0605D">
      <w:pPr>
        <w:spacing w:after="150"/>
      </w:pPr>
    </w:p>
    <w:p w:rsidR="00A0605D" w:rsidRDefault="00A0605D">
      <w:pPr>
        <w:spacing w:after="150"/>
      </w:pPr>
    </w:p>
    <w:p w:rsidR="00A0605D" w:rsidRDefault="00A0605D">
      <w:pPr>
        <w:spacing w:after="150"/>
      </w:pPr>
    </w:p>
    <w:p w:rsidR="009303B5" w:rsidRDefault="00DA6B1D">
      <w:pPr>
        <w:shd w:val="clear" w:color="auto" w:fill="1A1A1A"/>
        <w:spacing w:before="400" w:after="200"/>
        <w:ind w:left="100" w:right="100"/>
      </w:pPr>
      <w:r>
        <w:rPr>
          <w:rFonts w:ascii="Consolas" w:eastAsia="Consolas" w:hAnsi="Consolas" w:cs="Consolas"/>
          <w:b/>
          <w:bCs/>
          <w:color w:val="39B54A"/>
          <w:sz w:val="22"/>
          <w:szCs w:val="22"/>
        </w:rPr>
        <w:t xml:space="preserve">// 01  </w:t>
      </w:r>
      <w:r>
        <w:rPr>
          <w:b/>
          <w:bCs/>
          <w:color w:val="FFFFFF"/>
          <w:sz w:val="22"/>
          <w:szCs w:val="22"/>
        </w:rPr>
        <w:t>CASE SETUP &amp; DATA SOURCE INGESTION</w:t>
      </w:r>
    </w:p>
    <w:p w:rsidR="009303B5" w:rsidRDefault="00DA6B1D">
      <w:pPr>
        <w:spacing w:before="200" w:after="100"/>
      </w:pPr>
      <w:r>
        <w:rPr>
          <w:b/>
          <w:bCs/>
          <w:i/>
          <w:iCs/>
          <w:color w:val="1F4E79"/>
          <w:sz w:val="22"/>
          <w:szCs w:val="22"/>
          <w:u w:val="single"/>
        </w:rPr>
        <w:t>$ Case Creation</w:t>
      </w:r>
    </w:p>
    <w:p w:rsidR="009303B5" w:rsidRDefault="00DA6B1D">
      <w:pPr>
        <w:spacing w:after="150"/>
        <w:rPr>
          <w:sz w:val="21"/>
          <w:szCs w:val="21"/>
        </w:rPr>
      </w:pPr>
      <w:r>
        <w:rPr>
          <w:sz w:val="21"/>
          <w:szCs w:val="21"/>
        </w:rPr>
        <w:t>Autopsy case created with the following parameters:</w:t>
      </w:r>
    </w:p>
    <w:p w:rsidR="00DB2340" w:rsidRDefault="00DB2340">
      <w:pPr>
        <w:spacing w:after="150"/>
        <w:rPr>
          <w:sz w:val="21"/>
          <w:szCs w:val="21"/>
        </w:rPr>
      </w:pPr>
      <w:bookmarkStart w:id="0" w:name="_GoBack"/>
      <w:bookmarkEnd w:id="0"/>
    </w:p>
    <w:p w:rsidR="00DA6B1D" w:rsidRDefault="00A0605D" w:rsidP="00A0605D">
      <w:pPr>
        <w:spacing w:after="150"/>
        <w:jc w:val="center"/>
      </w:pPr>
      <w:r w:rsidRPr="00A0605D">
        <w:drawing>
          <wp:inline distT="0" distB="0" distL="0" distR="0" wp14:anchorId="3BCB2A02" wp14:editId="2A2FE78C">
            <wp:extent cx="4022937" cy="2526030"/>
            <wp:effectExtent l="152400" t="152400" r="358775" b="3695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36134" cy="2534316"/>
                    </a:xfrm>
                    <a:prstGeom prst="rect">
                      <a:avLst/>
                    </a:prstGeom>
                    <a:ln>
                      <a:noFill/>
                    </a:ln>
                    <a:effectLst>
                      <a:outerShdw blurRad="292100" dist="139700" dir="2700000" algn="tl" rotWithShape="0">
                        <a:srgbClr val="333333">
                          <a:alpha val="65000"/>
                        </a:srgbClr>
                      </a:outerShdw>
                    </a:effectLst>
                  </pic:spPr>
                </pic:pic>
              </a:graphicData>
            </a:graphic>
          </wp:inline>
        </w:drawing>
      </w:r>
    </w:p>
    <w:p w:rsidR="009303B5" w:rsidRDefault="00DA6B1D">
      <w:pPr>
        <w:spacing w:before="80" w:after="200"/>
        <w:jc w:val="center"/>
        <w:rPr>
          <w:i/>
          <w:iCs/>
          <w:color w:val="808080"/>
          <w:sz w:val="18"/>
          <w:szCs w:val="18"/>
        </w:rPr>
      </w:pPr>
      <w:r>
        <w:rPr>
          <w:i/>
          <w:iCs/>
          <w:color w:val="808080"/>
          <w:sz w:val="18"/>
          <w:szCs w:val="18"/>
        </w:rPr>
        <w:t>Figure 1 — Autopsy case creation.</w:t>
      </w:r>
    </w:p>
    <w:p w:rsidR="00A0605D" w:rsidRDefault="00A0605D">
      <w:pPr>
        <w:spacing w:before="80" w:after="200"/>
        <w:jc w:val="center"/>
      </w:pPr>
    </w:p>
    <w:p w:rsidR="00A0605D" w:rsidRDefault="00A0605D">
      <w:pPr>
        <w:spacing w:before="80" w:after="200"/>
        <w:jc w:val="center"/>
      </w:pPr>
    </w:p>
    <w:p w:rsidR="00A0605D" w:rsidRDefault="00A0605D">
      <w:pPr>
        <w:spacing w:before="80" w:after="200"/>
        <w:jc w:val="center"/>
      </w:pPr>
    </w:p>
    <w:p w:rsidR="00A0605D" w:rsidRDefault="00A0605D">
      <w:pPr>
        <w:spacing w:before="80" w:after="200"/>
        <w:jc w:val="center"/>
      </w:pPr>
    </w:p>
    <w:p w:rsidR="00A0605D" w:rsidRDefault="00A0605D">
      <w:pPr>
        <w:spacing w:before="80" w:after="200"/>
        <w:jc w:val="center"/>
      </w:pPr>
    </w:p>
    <w:p w:rsidR="009303B5" w:rsidRDefault="00DA6B1D">
      <w:pPr>
        <w:shd w:val="clear" w:color="auto" w:fill="1A1A1A"/>
        <w:spacing w:before="400" w:after="200"/>
        <w:ind w:left="100" w:right="100"/>
      </w:pPr>
      <w:r>
        <w:rPr>
          <w:rFonts w:ascii="Consolas" w:eastAsia="Consolas" w:hAnsi="Consolas" w:cs="Consolas"/>
          <w:b/>
          <w:bCs/>
          <w:color w:val="39B54A"/>
          <w:sz w:val="22"/>
          <w:szCs w:val="22"/>
        </w:rPr>
        <w:t xml:space="preserve">// 02  </w:t>
      </w:r>
      <w:r>
        <w:rPr>
          <w:b/>
          <w:bCs/>
          <w:color w:val="FFFFFF"/>
          <w:sz w:val="22"/>
          <w:szCs w:val="22"/>
        </w:rPr>
        <w:t>INGEST MODULE CONFIGURATION &amp; EXECUTION</w:t>
      </w:r>
    </w:p>
    <w:p w:rsidR="009303B5" w:rsidRDefault="00DA6B1D">
      <w:pPr>
        <w:spacing w:after="150"/>
        <w:rPr>
          <w:sz w:val="21"/>
          <w:szCs w:val="21"/>
        </w:rPr>
      </w:pPr>
      <w:r>
        <w:rPr>
          <w:sz w:val="21"/>
          <w:szCs w:val="21"/>
        </w:rPr>
        <w:t>All available ingest modules were enabled: Hash Lookup, Keyword Search, File Type Identification, EXIF Parser, Extension Mismatch Detector, Recent Activity, and Web Artefacts extraction. Each module's function was reviewed prior to enabling it.</w:t>
      </w:r>
    </w:p>
    <w:p w:rsidR="00A0605D" w:rsidRDefault="00A0605D" w:rsidP="00A0605D">
      <w:pPr>
        <w:spacing w:after="150"/>
        <w:jc w:val="center"/>
      </w:pPr>
      <w:r>
        <w:rPr>
          <w:noProof/>
        </w:rPr>
        <w:drawing>
          <wp:inline distT="0" distB="0" distL="0" distR="0">
            <wp:extent cx="3743819" cy="2350770"/>
            <wp:effectExtent l="152400" t="152400" r="371475" b="3543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9-15 004428.png"/>
                    <pic:cNvPicPr/>
                  </pic:nvPicPr>
                  <pic:blipFill>
                    <a:blip r:embed="rId8">
                      <a:extLst>
                        <a:ext uri="{28A0092B-C50C-407E-A947-70E740481C1C}">
                          <a14:useLocalDpi xmlns:a14="http://schemas.microsoft.com/office/drawing/2010/main" val="0"/>
                        </a:ext>
                      </a:extLst>
                    </a:blip>
                    <a:stretch>
                      <a:fillRect/>
                    </a:stretch>
                  </pic:blipFill>
                  <pic:spPr>
                    <a:xfrm>
                      <a:off x="0" y="0"/>
                      <a:ext cx="3747221" cy="2352906"/>
                    </a:xfrm>
                    <a:prstGeom prst="rect">
                      <a:avLst/>
                    </a:prstGeom>
                    <a:ln>
                      <a:noFill/>
                    </a:ln>
                    <a:effectLst>
                      <a:outerShdw blurRad="292100" dist="139700" dir="2700000" algn="tl" rotWithShape="0">
                        <a:srgbClr val="333333">
                          <a:alpha val="65000"/>
                        </a:srgbClr>
                      </a:outerShdw>
                    </a:effectLst>
                  </pic:spPr>
                </pic:pic>
              </a:graphicData>
            </a:graphic>
          </wp:inline>
        </w:drawing>
      </w:r>
    </w:p>
    <w:p w:rsidR="009303B5" w:rsidRDefault="00DA6B1D">
      <w:pPr>
        <w:spacing w:before="80" w:after="200"/>
        <w:jc w:val="center"/>
        <w:rPr>
          <w:i/>
          <w:iCs/>
          <w:color w:val="808080"/>
          <w:sz w:val="18"/>
          <w:szCs w:val="18"/>
        </w:rPr>
      </w:pPr>
      <w:r>
        <w:rPr>
          <w:i/>
          <w:iCs/>
          <w:color w:val="808080"/>
          <w:sz w:val="18"/>
          <w:szCs w:val="18"/>
        </w:rPr>
        <w:t>Figure 3 — Ingest module selection.</w:t>
      </w:r>
    </w:p>
    <w:p w:rsidR="00A0605D" w:rsidRDefault="00A0605D">
      <w:pPr>
        <w:spacing w:before="80" w:after="200"/>
        <w:jc w:val="center"/>
        <w:rPr>
          <w:i/>
          <w:iCs/>
          <w:color w:val="808080"/>
          <w:sz w:val="18"/>
          <w:szCs w:val="18"/>
        </w:rPr>
      </w:pPr>
    </w:p>
    <w:p w:rsidR="00A0605D" w:rsidRDefault="00A0605D">
      <w:pPr>
        <w:spacing w:before="80" w:after="200"/>
        <w:jc w:val="center"/>
        <w:rPr>
          <w:i/>
          <w:iCs/>
          <w:color w:val="808080"/>
          <w:sz w:val="18"/>
          <w:szCs w:val="18"/>
        </w:rPr>
      </w:pPr>
    </w:p>
    <w:p w:rsidR="00A0605D" w:rsidRDefault="00A0605D">
      <w:pPr>
        <w:spacing w:before="80" w:after="200"/>
        <w:jc w:val="center"/>
      </w:pPr>
      <w:r w:rsidRPr="00A0605D">
        <w:drawing>
          <wp:inline distT="0" distB="0" distL="0" distR="0" wp14:anchorId="08AD3B78" wp14:editId="3D73A231">
            <wp:extent cx="3490159" cy="2179320"/>
            <wp:effectExtent l="152400" t="152400" r="358140" b="3543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94409" cy="2181974"/>
                    </a:xfrm>
                    <a:prstGeom prst="rect">
                      <a:avLst/>
                    </a:prstGeom>
                    <a:ln>
                      <a:noFill/>
                    </a:ln>
                    <a:effectLst>
                      <a:outerShdw blurRad="292100" dist="139700" dir="2700000" algn="tl" rotWithShape="0">
                        <a:srgbClr val="333333">
                          <a:alpha val="65000"/>
                        </a:srgbClr>
                      </a:outerShdw>
                    </a:effectLst>
                  </pic:spPr>
                </pic:pic>
              </a:graphicData>
            </a:graphic>
          </wp:inline>
        </w:drawing>
      </w:r>
    </w:p>
    <w:p w:rsidR="009303B5" w:rsidRDefault="00DA6B1D">
      <w:pPr>
        <w:spacing w:before="80" w:after="200"/>
        <w:jc w:val="center"/>
        <w:rPr>
          <w:i/>
          <w:iCs/>
          <w:color w:val="808080"/>
          <w:sz w:val="18"/>
          <w:szCs w:val="18"/>
        </w:rPr>
      </w:pPr>
      <w:r>
        <w:rPr>
          <w:i/>
          <w:iCs/>
          <w:color w:val="808080"/>
          <w:sz w:val="18"/>
          <w:szCs w:val="18"/>
        </w:rPr>
        <w:t>Figure 4 — Ingest execution.</w:t>
      </w:r>
    </w:p>
    <w:p w:rsidR="00A0605D" w:rsidRDefault="00A0605D">
      <w:pPr>
        <w:spacing w:before="80" w:after="200"/>
        <w:jc w:val="center"/>
      </w:pPr>
    </w:p>
    <w:p w:rsidR="00A0605D" w:rsidRDefault="00A0605D">
      <w:pPr>
        <w:spacing w:before="80" w:after="200"/>
        <w:jc w:val="center"/>
      </w:pPr>
    </w:p>
    <w:p w:rsidR="009303B5" w:rsidRDefault="00DA6B1D">
      <w:pPr>
        <w:shd w:val="clear" w:color="auto" w:fill="1A1A1A"/>
        <w:spacing w:before="400" w:after="200"/>
        <w:ind w:left="100" w:right="100"/>
      </w:pPr>
      <w:r>
        <w:rPr>
          <w:rFonts w:ascii="Consolas" w:eastAsia="Consolas" w:hAnsi="Consolas" w:cs="Consolas"/>
          <w:b/>
          <w:bCs/>
          <w:color w:val="39B54A"/>
          <w:sz w:val="22"/>
          <w:szCs w:val="22"/>
        </w:rPr>
        <w:t xml:space="preserve">// 03  </w:t>
      </w:r>
      <w:r>
        <w:rPr>
          <w:b/>
          <w:bCs/>
          <w:color w:val="FFFFFF"/>
          <w:sz w:val="22"/>
          <w:szCs w:val="22"/>
        </w:rPr>
        <w:t>FILE TREE OBSERVATIONS</w:t>
      </w:r>
    </w:p>
    <w:p w:rsidR="009303B5" w:rsidRDefault="00DA6B1D">
      <w:pPr>
        <w:spacing w:after="150"/>
      </w:pPr>
      <w:r>
        <w:rPr>
          <w:sz w:val="21"/>
          <w:szCs w:val="21"/>
        </w:rPr>
        <w:t>The directory structure was reviewed across the user profile, Desktop, Documents, Downloads, AppData, and Temp directories, looking for extension mismatches, files in unexpected locations, and timestamps inconsistent with apparent purpose.</w:t>
      </w:r>
    </w:p>
    <w:p w:rsidR="00A0605D" w:rsidRDefault="00A0605D" w:rsidP="00A0605D">
      <w:pPr>
        <w:spacing w:after="150"/>
        <w:jc w:val="center"/>
      </w:pPr>
      <w:r>
        <w:rPr>
          <w:noProof/>
        </w:rPr>
        <w:drawing>
          <wp:inline distT="0" distB="0" distL="0" distR="0">
            <wp:extent cx="4956810" cy="2202309"/>
            <wp:effectExtent l="152400" t="152400" r="358140" b="3695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9-15 00533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64161" cy="2205575"/>
                    </a:xfrm>
                    <a:prstGeom prst="rect">
                      <a:avLst/>
                    </a:prstGeom>
                    <a:ln>
                      <a:noFill/>
                    </a:ln>
                    <a:effectLst>
                      <a:outerShdw blurRad="292100" dist="139700" dir="2700000" algn="tl" rotWithShape="0">
                        <a:srgbClr val="333333">
                          <a:alpha val="65000"/>
                        </a:srgbClr>
                      </a:outerShdw>
                    </a:effectLst>
                  </pic:spPr>
                </pic:pic>
              </a:graphicData>
            </a:graphic>
          </wp:inline>
        </w:drawing>
      </w:r>
    </w:p>
    <w:p w:rsidR="009303B5" w:rsidRDefault="00DA6B1D">
      <w:pPr>
        <w:spacing w:before="80" w:after="200"/>
        <w:jc w:val="center"/>
      </w:pPr>
      <w:r>
        <w:rPr>
          <w:i/>
          <w:iCs/>
          <w:color w:val="808080"/>
          <w:sz w:val="18"/>
          <w:szCs w:val="18"/>
        </w:rPr>
        <w:t>Figure 5 — File tree anomaly.</w:t>
      </w:r>
    </w:p>
    <w:p w:rsidR="009303B5" w:rsidRDefault="00DA6B1D">
      <w:pPr>
        <w:shd w:val="clear" w:color="auto" w:fill="1A1A1A"/>
        <w:spacing w:before="400" w:after="200"/>
        <w:ind w:left="100" w:right="100"/>
      </w:pPr>
      <w:r>
        <w:rPr>
          <w:rFonts w:ascii="Consolas" w:eastAsia="Consolas" w:hAnsi="Consolas" w:cs="Consolas"/>
          <w:b/>
          <w:bCs/>
          <w:color w:val="39B54A"/>
          <w:sz w:val="22"/>
          <w:szCs w:val="22"/>
        </w:rPr>
        <w:t xml:space="preserve">// 04  </w:t>
      </w:r>
      <w:r>
        <w:rPr>
          <w:b/>
          <w:bCs/>
          <w:color w:val="FFFFFF"/>
          <w:sz w:val="22"/>
          <w:szCs w:val="22"/>
        </w:rPr>
        <w:t>TIMELINE FINDINGS</w:t>
      </w:r>
    </w:p>
    <w:p w:rsidR="009303B5" w:rsidRPr="00A0605D" w:rsidRDefault="00DA6B1D">
      <w:pPr>
        <w:spacing w:after="150"/>
      </w:pPr>
      <w:r>
        <w:rPr>
          <w:sz w:val="21"/>
          <w:szCs w:val="21"/>
        </w:rPr>
        <w:t>The Timeline view was set to bracket the period preceding acquisition. Activity clusters — periods of concentrated file creation or modification — were prioritised over isolated single events.</w:t>
      </w:r>
    </w:p>
    <w:p w:rsidR="00A0605D" w:rsidRDefault="00A0605D" w:rsidP="00A0605D">
      <w:pPr>
        <w:spacing w:after="150"/>
        <w:jc w:val="center"/>
      </w:pPr>
      <w:r w:rsidRPr="00A0605D">
        <w:drawing>
          <wp:inline distT="0" distB="0" distL="0" distR="0" wp14:anchorId="353D104F" wp14:editId="700653C6">
            <wp:extent cx="5124450" cy="2487111"/>
            <wp:effectExtent l="152400" t="152400" r="361950" b="3708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29280" cy="2489455"/>
                    </a:xfrm>
                    <a:prstGeom prst="rect">
                      <a:avLst/>
                    </a:prstGeom>
                    <a:ln>
                      <a:noFill/>
                    </a:ln>
                    <a:effectLst>
                      <a:outerShdw blurRad="292100" dist="139700" dir="2700000" algn="tl" rotWithShape="0">
                        <a:srgbClr val="333333">
                          <a:alpha val="65000"/>
                        </a:srgbClr>
                      </a:outerShdw>
                    </a:effectLst>
                  </pic:spPr>
                </pic:pic>
              </a:graphicData>
            </a:graphic>
          </wp:inline>
        </w:drawing>
      </w:r>
    </w:p>
    <w:p w:rsidR="009303B5" w:rsidRDefault="00DA6B1D">
      <w:pPr>
        <w:spacing w:before="80" w:after="200"/>
        <w:jc w:val="center"/>
      </w:pPr>
      <w:r>
        <w:rPr>
          <w:i/>
          <w:iCs/>
          <w:color w:val="808080"/>
          <w:sz w:val="18"/>
          <w:szCs w:val="18"/>
        </w:rPr>
        <w:lastRenderedPageBreak/>
        <w:t>Figure 6 — Timeline activity cluster.</w:t>
      </w:r>
    </w:p>
    <w:p w:rsidR="009303B5" w:rsidRDefault="00DA6B1D">
      <w:pPr>
        <w:shd w:val="clear" w:color="auto" w:fill="1A1A1A"/>
        <w:spacing w:before="400" w:after="200"/>
        <w:ind w:left="100" w:right="100"/>
      </w:pPr>
      <w:r>
        <w:rPr>
          <w:rFonts w:ascii="Consolas" w:eastAsia="Consolas" w:hAnsi="Consolas" w:cs="Consolas"/>
          <w:b/>
          <w:bCs/>
          <w:color w:val="39B54A"/>
          <w:sz w:val="22"/>
          <w:szCs w:val="22"/>
        </w:rPr>
        <w:t xml:space="preserve">// 05  </w:t>
      </w:r>
      <w:r>
        <w:rPr>
          <w:b/>
          <w:bCs/>
          <w:color w:val="FFFFFF"/>
          <w:sz w:val="22"/>
          <w:szCs w:val="22"/>
        </w:rPr>
        <w:t>DELETED FILES RECOVERED</w:t>
      </w:r>
    </w:p>
    <w:p w:rsidR="009303B5" w:rsidRDefault="00DA6B1D">
      <w:pPr>
        <w:spacing w:after="150"/>
      </w:pPr>
      <w:r>
        <w:rPr>
          <w:sz w:val="21"/>
          <w:szCs w:val="21"/>
        </w:rPr>
        <w:t>Autopsy's file carver was reviewed under File Views &gt; Deleted Files. For each recovered item, file type, approximate disk location, and recovery completeness (full content vs. header-only) were recorded.</w:t>
      </w:r>
    </w:p>
    <w:p w:rsidR="00AA5F8C" w:rsidRDefault="00AA5F8C" w:rsidP="00AA5F8C">
      <w:pPr>
        <w:spacing w:after="150"/>
        <w:jc w:val="center"/>
      </w:pPr>
      <w:r w:rsidRPr="00AA5F8C">
        <w:drawing>
          <wp:inline distT="0" distB="0" distL="0" distR="0" wp14:anchorId="43B499BC" wp14:editId="36EE84BF">
            <wp:extent cx="5055749" cy="2194560"/>
            <wp:effectExtent l="152400" t="152400" r="354965" b="3581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76576" cy="2203600"/>
                    </a:xfrm>
                    <a:prstGeom prst="rect">
                      <a:avLst/>
                    </a:prstGeom>
                    <a:ln>
                      <a:noFill/>
                    </a:ln>
                    <a:effectLst>
                      <a:outerShdw blurRad="292100" dist="139700" dir="2700000" algn="tl" rotWithShape="0">
                        <a:srgbClr val="333333">
                          <a:alpha val="65000"/>
                        </a:srgbClr>
                      </a:outerShdw>
                    </a:effectLst>
                  </pic:spPr>
                </pic:pic>
              </a:graphicData>
            </a:graphic>
          </wp:inline>
        </w:drawing>
      </w:r>
    </w:p>
    <w:p w:rsidR="009303B5" w:rsidRDefault="00DA6B1D" w:rsidP="00AA5F8C">
      <w:pPr>
        <w:spacing w:before="80" w:after="200"/>
        <w:jc w:val="center"/>
      </w:pPr>
      <w:r>
        <w:rPr>
          <w:i/>
          <w:iCs/>
          <w:color w:val="808080"/>
          <w:sz w:val="18"/>
          <w:szCs w:val="18"/>
        </w:rPr>
        <w:t>Figure 7 — Recovered/carved files</w:t>
      </w:r>
    </w:p>
    <w:p w:rsidR="009303B5" w:rsidRDefault="00DA6B1D">
      <w:pPr>
        <w:shd w:val="clear" w:color="auto" w:fill="1A1A1A"/>
        <w:spacing w:before="400" w:after="200"/>
        <w:ind w:left="100" w:right="100"/>
      </w:pPr>
      <w:r>
        <w:rPr>
          <w:rFonts w:ascii="Consolas" w:eastAsia="Consolas" w:hAnsi="Consolas" w:cs="Consolas"/>
          <w:b/>
          <w:bCs/>
          <w:color w:val="39B54A"/>
          <w:sz w:val="22"/>
          <w:szCs w:val="22"/>
        </w:rPr>
        <w:t xml:space="preserve">// 08  </w:t>
      </w:r>
      <w:r>
        <w:rPr>
          <w:b/>
          <w:bCs/>
          <w:color w:val="FFFFFF"/>
          <w:sz w:val="22"/>
          <w:szCs w:val="22"/>
        </w:rPr>
        <w:t>EXPORT &amp; REPORTING</w:t>
      </w:r>
    </w:p>
    <w:p w:rsidR="009303B5" w:rsidRDefault="00DA6B1D">
      <w:pPr>
        <w:spacing w:after="150"/>
        <w:rPr>
          <w:sz w:val="21"/>
          <w:szCs w:val="21"/>
        </w:rPr>
      </w:pPr>
      <w:r>
        <w:rPr>
          <w:sz w:val="21"/>
          <w:szCs w:val="21"/>
        </w:rPr>
        <w:t>Autopsy's built-in HTML report was generated covering all flagged items, keyword hits, and carved files. Recovered files were exported into a case-referenced evidence folder structure and logged above.</w:t>
      </w:r>
    </w:p>
    <w:p w:rsidR="00AA5F8C" w:rsidRDefault="00AA5F8C" w:rsidP="00AA5F8C">
      <w:pPr>
        <w:spacing w:after="150"/>
        <w:jc w:val="center"/>
      </w:pPr>
      <w:r>
        <w:rPr>
          <w:noProof/>
        </w:rPr>
        <w:drawing>
          <wp:inline distT="0" distB="0" distL="0" distR="0">
            <wp:extent cx="4579620" cy="2580698"/>
            <wp:effectExtent l="152400" t="152400" r="354330" b="3530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9-15 00554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86671" cy="2584671"/>
                    </a:xfrm>
                    <a:prstGeom prst="rect">
                      <a:avLst/>
                    </a:prstGeom>
                    <a:ln>
                      <a:noFill/>
                    </a:ln>
                    <a:effectLst>
                      <a:outerShdw blurRad="292100" dist="139700" dir="2700000" algn="tl" rotWithShape="0">
                        <a:srgbClr val="333333">
                          <a:alpha val="65000"/>
                        </a:srgbClr>
                      </a:outerShdw>
                    </a:effectLst>
                  </pic:spPr>
                </pic:pic>
              </a:graphicData>
            </a:graphic>
          </wp:inline>
        </w:drawing>
      </w:r>
    </w:p>
    <w:p w:rsidR="009303B5" w:rsidRDefault="00DA6B1D">
      <w:pPr>
        <w:spacing w:before="80" w:after="200"/>
        <w:jc w:val="center"/>
      </w:pPr>
      <w:r>
        <w:rPr>
          <w:i/>
          <w:iCs/>
          <w:color w:val="808080"/>
          <w:sz w:val="18"/>
          <w:szCs w:val="18"/>
        </w:rPr>
        <w:lastRenderedPageBreak/>
        <w:t xml:space="preserve">Figure </w:t>
      </w:r>
      <w:r w:rsidR="00AA5F8C">
        <w:rPr>
          <w:i/>
          <w:iCs/>
          <w:color w:val="808080"/>
          <w:sz w:val="18"/>
          <w:szCs w:val="18"/>
        </w:rPr>
        <w:t>8</w:t>
      </w:r>
      <w:r>
        <w:rPr>
          <w:i/>
          <w:iCs/>
          <w:color w:val="808080"/>
          <w:sz w:val="18"/>
          <w:szCs w:val="18"/>
        </w:rPr>
        <w:t>— Case report export.</w:t>
      </w:r>
    </w:p>
    <w:p w:rsidR="009303B5" w:rsidRDefault="009303B5">
      <w:pPr>
        <w:spacing w:after="150"/>
      </w:pPr>
    </w:p>
    <w:sectPr w:rsidR="009303B5">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60AA2" w:rsidRDefault="00D60AA2">
      <w:r>
        <w:separator/>
      </w:r>
    </w:p>
  </w:endnote>
  <w:endnote w:type="continuationSeparator" w:id="0">
    <w:p w:rsidR="00D60AA2" w:rsidRDefault="00D60A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6B1D" w:rsidRDefault="00DA6B1D">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60AA2" w:rsidRDefault="00D60AA2">
      <w:r>
        <w:separator/>
      </w:r>
    </w:p>
  </w:footnote>
  <w:footnote w:type="continuationSeparator" w:id="0">
    <w:p w:rsidR="00D60AA2" w:rsidRDefault="00D60A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6B1D" w:rsidRDefault="00DA6B1D">
    <w:pPr>
      <w:jc w:val="center"/>
    </w:pPr>
    <w:r>
      <w:rPr>
        <w:i/>
        <w:iCs/>
        <w:color w:val="808080"/>
        <w:sz w:val="16"/>
        <w:szCs w:val="16"/>
      </w:rPr>
      <w:t>Blue Team SOC Analyst Internship — Cyberster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C3C6719"/>
    <w:multiLevelType w:val="hybridMultilevel"/>
    <w:tmpl w:val="F5986D0C"/>
    <w:lvl w:ilvl="0" w:tplc="06BCA6EC">
      <w:start w:val="1"/>
      <w:numFmt w:val="bullet"/>
      <w:lvlText w:val="●"/>
      <w:lvlJc w:val="left"/>
      <w:pPr>
        <w:ind w:left="720" w:hanging="360"/>
      </w:pPr>
    </w:lvl>
    <w:lvl w:ilvl="1" w:tplc="2BD29C54">
      <w:start w:val="1"/>
      <w:numFmt w:val="bullet"/>
      <w:lvlText w:val="○"/>
      <w:lvlJc w:val="left"/>
      <w:pPr>
        <w:ind w:left="1440" w:hanging="360"/>
      </w:pPr>
    </w:lvl>
    <w:lvl w:ilvl="2" w:tplc="BE880D64">
      <w:start w:val="1"/>
      <w:numFmt w:val="bullet"/>
      <w:lvlText w:val="■"/>
      <w:lvlJc w:val="left"/>
      <w:pPr>
        <w:ind w:left="2160" w:hanging="360"/>
      </w:pPr>
    </w:lvl>
    <w:lvl w:ilvl="3" w:tplc="F80098FA">
      <w:start w:val="1"/>
      <w:numFmt w:val="bullet"/>
      <w:lvlText w:val="●"/>
      <w:lvlJc w:val="left"/>
      <w:pPr>
        <w:ind w:left="2880" w:hanging="360"/>
      </w:pPr>
    </w:lvl>
    <w:lvl w:ilvl="4" w:tplc="5BFC2510">
      <w:start w:val="1"/>
      <w:numFmt w:val="bullet"/>
      <w:lvlText w:val="○"/>
      <w:lvlJc w:val="left"/>
      <w:pPr>
        <w:ind w:left="3600" w:hanging="360"/>
      </w:pPr>
    </w:lvl>
    <w:lvl w:ilvl="5" w:tplc="245081F6">
      <w:start w:val="1"/>
      <w:numFmt w:val="bullet"/>
      <w:lvlText w:val="■"/>
      <w:lvlJc w:val="left"/>
      <w:pPr>
        <w:ind w:left="4320" w:hanging="360"/>
      </w:pPr>
    </w:lvl>
    <w:lvl w:ilvl="6" w:tplc="4B50A076">
      <w:start w:val="1"/>
      <w:numFmt w:val="bullet"/>
      <w:lvlText w:val="●"/>
      <w:lvlJc w:val="left"/>
      <w:pPr>
        <w:ind w:left="5040" w:hanging="360"/>
      </w:pPr>
    </w:lvl>
    <w:lvl w:ilvl="7" w:tplc="3A80B2D8">
      <w:start w:val="1"/>
      <w:numFmt w:val="bullet"/>
      <w:lvlText w:val="●"/>
      <w:lvlJc w:val="left"/>
      <w:pPr>
        <w:ind w:left="5760" w:hanging="360"/>
      </w:pPr>
    </w:lvl>
    <w:lvl w:ilvl="8" w:tplc="B0B2343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B5"/>
    <w:rsid w:val="009303B5"/>
    <w:rsid w:val="00A0605D"/>
    <w:rsid w:val="00AA5F8C"/>
    <w:rsid w:val="00D60AA2"/>
    <w:rsid w:val="00DA6B1D"/>
    <w:rsid w:val="00DB2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18A05"/>
  <w15:docId w15:val="{32E88607-B920-4C69-AA4D-96F630713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5</Pages>
  <Words>319</Words>
  <Characters>1822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Hanzallah</cp:lastModifiedBy>
  <cp:revision>6</cp:revision>
  <dcterms:created xsi:type="dcterms:W3CDTF">2026-09-14T19:58:00Z</dcterms:created>
  <dcterms:modified xsi:type="dcterms:W3CDTF">2026-09-15T01:32:00Z</dcterms:modified>
</cp:coreProperties>
</file>