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CE252D" w:rsidTr="0087633D">
        <w:trPr>
          <w:trHeight w:val="13000"/>
          <w:jc w:val="center"/>
        </w:trPr>
        <w:tc>
          <w:tcPr>
            <w:tcW w:w="10440" w:type="dxa"/>
            <w:shd w:val="clear" w:color="auto" w:fill="0B0F19"/>
            <w:tcMar>
              <w:top w:w="400" w:type="dxa"/>
              <w:left w:w="500" w:type="dxa"/>
              <w:bottom w:w="400" w:type="dxa"/>
              <w:right w:w="500" w:type="dxa"/>
            </w:tcMar>
            <w:vAlign w:val="center"/>
          </w:tcPr>
          <w:p w:rsidR="00CE252D" w:rsidRDefault="00CE252D" w:rsidP="0087633D">
            <w:pPr>
              <w:spacing w:after="60"/>
              <w:jc w:val="center"/>
              <w:rPr>
                <w:rFonts w:ascii="Consolas" w:eastAsia="Consolas" w:hAnsi="Consolas" w:cs="Consolas"/>
                <w:color w:val="5C6F8A"/>
              </w:rPr>
            </w:pPr>
            <w:r>
              <w:rPr>
                <w:rFonts w:ascii="Consolas" w:eastAsia="Consolas" w:hAnsi="Consolas" w:cs="Consolas"/>
                <w:noProof/>
                <w:color w:val="5C6F8A"/>
              </w:rPr>
              <w:drawing>
                <wp:inline distT="0" distB="0" distL="0" distR="0" wp14:anchorId="443EBB9C" wp14:editId="35B02E9B">
                  <wp:extent cx="2452370" cy="326794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_Image_2026-06-21_at_10.47.40_PM-removebg-preview.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42136" cy="3387558"/>
                          </a:xfrm>
                          <a:prstGeom prst="rect">
                            <a:avLst/>
                          </a:prstGeom>
                        </pic:spPr>
                      </pic:pic>
                    </a:graphicData>
                  </a:graphic>
                </wp:inline>
              </w:drawing>
            </w:r>
          </w:p>
          <w:p w:rsidR="00CE252D" w:rsidRDefault="00CE252D" w:rsidP="0087633D">
            <w:pPr>
              <w:spacing w:after="60"/>
              <w:rPr>
                <w:rFonts w:ascii="Consolas" w:eastAsia="Consolas" w:hAnsi="Consolas" w:cs="Consolas"/>
                <w:color w:val="5C6F8A"/>
              </w:rPr>
            </w:pPr>
          </w:p>
          <w:p w:rsidR="00CE252D" w:rsidRDefault="00CE252D" w:rsidP="0087633D">
            <w:pPr>
              <w:spacing w:after="60"/>
            </w:pPr>
            <w:r>
              <w:rPr>
                <w:rFonts w:ascii="Consolas" w:eastAsia="Consolas" w:hAnsi="Consolas" w:cs="Consolas"/>
                <w:color w:val="5C6F8A"/>
              </w:rPr>
              <w:t>root@cyberster:~$ whoami</w:t>
            </w:r>
          </w:p>
          <w:p w:rsidR="00CE252D" w:rsidRDefault="00CE252D" w:rsidP="0087633D">
            <w:pPr>
              <w:spacing w:after="600"/>
              <w:rPr>
                <w:rFonts w:ascii="Consolas" w:eastAsia="Consolas" w:hAnsi="Consolas" w:cs="Consolas"/>
                <w:color w:val="00FF9C"/>
              </w:rPr>
            </w:pPr>
            <w:r>
              <w:rPr>
                <w:rFonts w:ascii="Consolas" w:eastAsia="Consolas" w:hAnsi="Consolas" w:cs="Consolas"/>
                <w:color w:val="00FF9C"/>
              </w:rPr>
              <w:t>&gt; hanzallah — soc_intern</w:t>
            </w:r>
          </w:p>
          <w:p w:rsidR="00CE252D" w:rsidRDefault="00CE252D" w:rsidP="0087633D">
            <w:r>
              <w:rPr>
                <w:rFonts w:ascii="Consolas" w:eastAsia="Consolas" w:hAnsi="Consolas" w:cs="Consolas"/>
                <w:b/>
                <w:bCs/>
                <w:color w:val="00D9FF"/>
                <w:sz w:val="60"/>
                <w:szCs w:val="60"/>
              </w:rPr>
              <w:t xml:space="preserve">Day </w:t>
            </w:r>
          </w:p>
          <w:p w:rsidR="00CE252D" w:rsidRPr="00F928FD" w:rsidRDefault="00CE252D" w:rsidP="0087633D">
            <w:pPr>
              <w:spacing w:after="260"/>
              <w:rPr>
                <w:rFonts w:ascii="Consolas" w:eastAsia="Consolas" w:hAnsi="Consolas" w:cs="Consolas"/>
                <w:b/>
                <w:bCs/>
                <w:color w:val="FFFFFF"/>
                <w:sz w:val="72"/>
                <w:szCs w:val="72"/>
              </w:rPr>
            </w:pPr>
            <w:r>
              <w:rPr>
                <w:rFonts w:ascii="Consolas" w:eastAsia="Consolas" w:hAnsi="Consolas" w:cs="Consolas"/>
                <w:b/>
                <w:bCs/>
                <w:color w:val="FFFFFF"/>
                <w:sz w:val="72"/>
                <w:szCs w:val="72"/>
              </w:rPr>
              <w:t>53-57</w:t>
            </w:r>
          </w:p>
          <w:p w:rsidR="00CE252D" w:rsidRDefault="00CE252D" w:rsidP="0087633D">
            <w:pPr>
              <w:spacing w:after="100"/>
              <w:rPr>
                <w:rFonts w:ascii="Consolas" w:eastAsia="Consolas" w:hAnsi="Consolas" w:cs="Consolas"/>
                <w:b/>
                <w:bCs/>
                <w:color w:val="00FF9C"/>
                <w:sz w:val="30"/>
                <w:szCs w:val="30"/>
              </w:rPr>
            </w:pPr>
            <w:r w:rsidRPr="00CE252D">
              <w:rPr>
                <w:rFonts w:ascii="Consolas" w:eastAsia="Consolas" w:hAnsi="Consolas" w:cs="Consolas"/>
                <w:b/>
                <w:bCs/>
                <w:color w:val="00FF9C"/>
                <w:sz w:val="30"/>
                <w:szCs w:val="30"/>
              </w:rPr>
              <w:t xml:space="preserve">Event Log &amp; Prefetch Analysis </w:t>
            </w:r>
          </w:p>
          <w:p w:rsidR="00CE252D" w:rsidRDefault="00CE252D" w:rsidP="0087633D">
            <w:pPr>
              <w:spacing w:after="100"/>
            </w:pPr>
            <w:r>
              <w:rPr>
                <w:rFonts w:ascii="Consolas" w:eastAsia="Consolas" w:hAnsi="Consolas" w:cs="Consolas"/>
                <w:color w:val="5C6F8A"/>
              </w:rPr>
              <w:t xml:space="preserve">// candidate     </w:t>
            </w:r>
            <w:r>
              <w:rPr>
                <w:rFonts w:ascii="Consolas" w:eastAsia="Consolas" w:hAnsi="Consolas" w:cs="Consolas"/>
                <w:color w:val="FFFFFF"/>
              </w:rPr>
              <w:t>Hanzallah</w:t>
            </w:r>
          </w:p>
          <w:p w:rsidR="00CE252D" w:rsidRDefault="00CE252D" w:rsidP="0087633D">
            <w:pPr>
              <w:spacing w:after="100"/>
            </w:pPr>
            <w:r>
              <w:rPr>
                <w:rFonts w:ascii="Consolas" w:eastAsia="Consolas" w:hAnsi="Consolas" w:cs="Consolas"/>
                <w:color w:val="5C6F8A"/>
              </w:rPr>
              <w:t xml:space="preserve">// program       </w:t>
            </w:r>
            <w:r>
              <w:rPr>
                <w:rFonts w:ascii="Consolas" w:eastAsia="Consolas" w:hAnsi="Consolas" w:cs="Consolas"/>
                <w:color w:val="FFFFFF"/>
              </w:rPr>
              <w:t>Cyberster — Cybersecurity Internship (Batch 2)</w:t>
            </w:r>
          </w:p>
          <w:p w:rsidR="00CE252D" w:rsidRDefault="00CE252D" w:rsidP="0087633D">
            <w:pPr>
              <w:spacing w:after="600"/>
            </w:pPr>
            <w:r>
              <w:rPr>
                <w:rFonts w:ascii="Consolas" w:eastAsia="Consolas" w:hAnsi="Consolas" w:cs="Consolas"/>
                <w:color w:val="5C6F8A"/>
              </w:rPr>
              <w:t xml:space="preserve">// tutor         </w:t>
            </w:r>
            <w:r>
              <w:rPr>
                <w:rFonts w:ascii="Consolas" w:eastAsia="Consolas" w:hAnsi="Consolas" w:cs="Consolas"/>
                <w:color w:val="FFFFFF"/>
              </w:rPr>
              <w:t>Abdullah Zia</w:t>
            </w:r>
          </w:p>
          <w:p w:rsidR="00CE252D" w:rsidRDefault="00CE252D" w:rsidP="0087633D">
            <w:r>
              <w:rPr>
                <w:rFonts w:ascii="Consolas" w:eastAsia="Consolas" w:hAnsi="Consolas" w:cs="Consolas"/>
                <w:b/>
                <w:bCs/>
                <w:color w:val="00FF9C"/>
                <w:sz w:val="18"/>
                <w:szCs w:val="18"/>
              </w:rPr>
              <w:t>[ STATUS: TASKS COMPLETE — READY FOR REVIEW ]</w:t>
            </w:r>
          </w:p>
        </w:tc>
      </w:tr>
    </w:tbl>
    <w:p w:rsidR="002B5793" w:rsidRDefault="003D2101">
      <w:pPr>
        <w:spacing w:after="160"/>
      </w:pPr>
      <w:r>
        <w:rPr>
          <w:i/>
          <w:iCs/>
          <w:color w:val="444444"/>
          <w:sz w:val="21"/>
          <w:szCs w:val="21"/>
        </w:rPr>
        <w:lastRenderedPageBreak/>
        <w:t>Local baseline investigation covering live Windows Security event log analysis (Part A, Days 53–55) and Prefetch execution artifact analysis (Part B, Days 56–57), performed against my own machine to establish what normal authentication and execution activity looks like before applying the same techniques to a compromised host.</w:t>
      </w:r>
    </w:p>
    <w:p w:rsidR="002B5793" w:rsidRDefault="003D2101">
      <w:pPr>
        <w:shd w:val="clear" w:color="auto" w:fill="0D0D0D"/>
        <w:spacing w:before="400" w:after="200"/>
        <w:ind w:left="100" w:right="100"/>
      </w:pPr>
      <w:r>
        <w:rPr>
          <w:rFonts w:ascii="Consolas" w:eastAsia="Consolas" w:hAnsi="Consolas" w:cs="Consolas"/>
          <w:b/>
          <w:bCs/>
          <w:color w:val="4ADE80"/>
          <w:sz w:val="22"/>
          <w:szCs w:val="22"/>
        </w:rPr>
        <w:t xml:space="preserve">// 00  </w:t>
      </w:r>
      <w:r>
        <w:rPr>
          <w:b/>
          <w:bCs/>
          <w:color w:val="FFFFFF"/>
          <w:sz w:val="22"/>
          <w:szCs w:val="22"/>
        </w:rPr>
        <w:t>ENVIRONMENT &amp; TOOLING SETUP</w:t>
      </w:r>
    </w:p>
    <w:p w:rsidR="002B5793" w:rsidRDefault="003D2101">
      <w:pPr>
        <w:spacing w:before="240" w:after="120"/>
      </w:pPr>
      <w:r>
        <w:rPr>
          <w:b/>
          <w:bCs/>
          <w:i/>
          <w:iCs/>
          <w:color w:val="60A5FA"/>
          <w:sz w:val="24"/>
          <w:szCs w:val="24"/>
          <w:u w:val="single"/>
        </w:rPr>
        <w:t>$ Locating EZ Tools on the Host</w:t>
      </w:r>
    </w:p>
    <w:p w:rsidR="002B5793" w:rsidRDefault="003D2101">
      <w:pPr>
        <w:spacing w:after="160"/>
      </w:pPr>
      <w:r>
        <w:rPr>
          <w:sz w:val="21"/>
          <w:szCs w:val="21"/>
        </w:rPr>
        <w:t>Before any parsing could begin, the EZ Tools binaries (EvtxECmd, PECmd) had to be located on the host, since both are launched from PowerShell rather than added to system PATH by default. A recursive search confirmed EvtxECmd was already present under a versioned EZTools directory.</w:t>
      </w:r>
    </w:p>
    <w:p w:rsidR="002B5793" w:rsidRDefault="000B4460" w:rsidP="000B4460">
      <w:pPr>
        <w:spacing w:after="120"/>
        <w:jc w:val="center"/>
      </w:pPr>
      <w:r w:rsidRPr="000B4460">
        <w:rPr>
          <w:noProof/>
        </w:rPr>
        <w:drawing>
          <wp:inline distT="0" distB="0" distL="0" distR="0" wp14:anchorId="2E9C6B8C" wp14:editId="6559A474">
            <wp:extent cx="4437887" cy="1173480"/>
            <wp:effectExtent l="152400" t="152400" r="363220" b="3695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9993" cy="1179325"/>
                    </a:xfrm>
                    <a:prstGeom prst="rect">
                      <a:avLst/>
                    </a:prstGeom>
                    <a:ln>
                      <a:noFill/>
                    </a:ln>
                    <a:effectLst>
                      <a:outerShdw blurRad="292100" dist="139700" dir="2700000" algn="tl" rotWithShape="0">
                        <a:srgbClr val="333333">
                          <a:alpha val="65000"/>
                        </a:srgbClr>
                      </a:outerShdw>
                    </a:effectLst>
                  </pic:spPr>
                </pic:pic>
              </a:graphicData>
            </a:graphic>
          </wp:inline>
        </w:drawing>
      </w:r>
    </w:p>
    <w:p w:rsidR="002B5793" w:rsidRDefault="003D2101">
      <w:pPr>
        <w:spacing w:after="160"/>
      </w:pPr>
      <w:r>
        <w:rPr>
          <w:i/>
          <w:iCs/>
          <w:color w:val="6B7280"/>
          <w:sz w:val="21"/>
          <w:szCs w:val="21"/>
        </w:rPr>
        <w:t>Result: C:\Tools\EZTools\net9\EvtxeCmd\EvtxECmd.exe</w:t>
      </w:r>
    </w:p>
    <w:p w:rsidR="002B5793" w:rsidRDefault="003D2101">
      <w:pPr>
        <w:spacing w:after="160"/>
      </w:pPr>
      <w:r>
        <w:rPr>
          <w:sz w:val="21"/>
          <w:szCs w:val="21"/>
        </w:rPr>
        <w:t>PowerShell's dir alias (Get-ChildItem) does not accept cmd.exe-style switches such as /a-d, and PowerShell will not execute a binary from the current folder without an explicit .\ prefix — both are common sources of "not recognized" errors when following instructions written for classic cmd.exe.</w:t>
      </w:r>
    </w:p>
    <w:p w:rsidR="002B5793" w:rsidRDefault="003D2101">
      <w:pPr>
        <w:spacing w:before="240" w:after="120"/>
      </w:pPr>
      <w:r>
        <w:rPr>
          <w:b/>
          <w:bCs/>
          <w:i/>
          <w:iCs/>
          <w:color w:val="60A5FA"/>
          <w:sz w:val="24"/>
          <w:szCs w:val="24"/>
          <w:u w:val="single"/>
        </w:rPr>
        <w:t>$ Resolving PECmd's Location</w:t>
      </w:r>
    </w:p>
    <w:p w:rsidR="002B5793" w:rsidRDefault="003D2101">
      <w:pPr>
        <w:spacing w:after="160"/>
      </w:pPr>
      <w:r>
        <w:rPr>
          <w:sz w:val="21"/>
          <w:szCs w:val="21"/>
        </w:rPr>
        <w:t>A repeat search located PECmd.exe, but it was extracted flat into the net9 directory itself rather than its own PECmd subfolder — a packaging inconsistency between the two tool downloads that had to be confirmed before the correct working directory could be used.</w:t>
      </w:r>
    </w:p>
    <w:p w:rsidR="002B5793" w:rsidRDefault="000B4460" w:rsidP="000B4460">
      <w:pPr>
        <w:spacing w:after="120"/>
        <w:jc w:val="center"/>
      </w:pPr>
      <w:r w:rsidRPr="000B4460">
        <w:rPr>
          <w:noProof/>
        </w:rPr>
        <w:drawing>
          <wp:inline distT="0" distB="0" distL="0" distR="0" wp14:anchorId="71EEFBC8" wp14:editId="00AC15C8">
            <wp:extent cx="4665457" cy="979170"/>
            <wp:effectExtent l="152400" t="152400" r="363855" b="3543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74139" cy="980992"/>
                    </a:xfrm>
                    <a:prstGeom prst="rect">
                      <a:avLst/>
                    </a:prstGeom>
                    <a:ln>
                      <a:noFill/>
                    </a:ln>
                    <a:effectLst>
                      <a:outerShdw blurRad="292100" dist="139700" dir="2700000" algn="tl" rotWithShape="0">
                        <a:srgbClr val="333333">
                          <a:alpha val="65000"/>
                        </a:srgbClr>
                      </a:outerShdw>
                    </a:effectLst>
                  </pic:spPr>
                </pic:pic>
              </a:graphicData>
            </a:graphic>
          </wp:inline>
        </w:drawing>
      </w:r>
    </w:p>
    <w:p w:rsidR="002B5793" w:rsidRDefault="003D2101">
      <w:pPr>
        <w:spacing w:after="160"/>
      </w:pPr>
      <w:r>
        <w:rPr>
          <w:i/>
          <w:iCs/>
          <w:color w:val="6B7280"/>
          <w:sz w:val="21"/>
          <w:szCs w:val="21"/>
        </w:rPr>
        <w:t>Result: C:\Tools\EZTools\net9\PECmd.exe</w:t>
      </w:r>
    </w:p>
    <w:p w:rsidR="000B4460" w:rsidRDefault="000B4460">
      <w:pPr>
        <w:spacing w:before="240" w:after="120"/>
        <w:rPr>
          <w:sz w:val="21"/>
          <w:szCs w:val="21"/>
        </w:rPr>
      </w:pPr>
    </w:p>
    <w:p w:rsidR="002B5793" w:rsidRDefault="003D2101">
      <w:pPr>
        <w:spacing w:before="240" w:after="120"/>
      </w:pPr>
      <w:r>
        <w:rPr>
          <w:b/>
          <w:bCs/>
          <w:i/>
          <w:iCs/>
          <w:color w:val="60A5FA"/>
          <w:sz w:val="24"/>
          <w:szCs w:val="24"/>
          <w:u w:val="single"/>
        </w:rPr>
        <w:t>$ Prefetch File Count (PowerShell-native)</w:t>
      </w:r>
    </w:p>
    <w:p w:rsidR="002B5793" w:rsidRDefault="003D2101">
      <w:pPr>
        <w:spacing w:after="160"/>
        <w:rPr>
          <w:sz w:val="21"/>
          <w:szCs w:val="21"/>
        </w:rPr>
      </w:pPr>
      <w:r>
        <w:rPr>
          <w:sz w:val="21"/>
          <w:szCs w:val="21"/>
        </w:rPr>
        <w:t>The task instructions specified a cmd.exe counting pattern (dir /a-d | find /c), which fails under PowerShell's Get-ChildItem alias. The PowerShell-native equivalent was used instead:</w:t>
      </w:r>
    </w:p>
    <w:p w:rsidR="000B4460" w:rsidRDefault="000B4460" w:rsidP="000B4460">
      <w:pPr>
        <w:spacing w:after="160"/>
        <w:jc w:val="center"/>
      </w:pPr>
      <w:r w:rsidRPr="000B4460">
        <w:rPr>
          <w:noProof/>
        </w:rPr>
        <w:lastRenderedPageBreak/>
        <w:drawing>
          <wp:inline distT="0" distB="0" distL="0" distR="0" wp14:anchorId="5D9ECE12" wp14:editId="34DE0068">
            <wp:extent cx="4853936" cy="891540"/>
            <wp:effectExtent l="152400" t="152400" r="366395" b="3657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4989" cy="895407"/>
                    </a:xfrm>
                    <a:prstGeom prst="rect">
                      <a:avLst/>
                    </a:prstGeom>
                    <a:ln>
                      <a:noFill/>
                    </a:ln>
                    <a:effectLst>
                      <a:outerShdw blurRad="292100" dist="139700" dir="2700000" algn="tl" rotWithShape="0">
                        <a:srgbClr val="333333">
                          <a:alpha val="65000"/>
                        </a:srgbClr>
                      </a:outerShdw>
                    </a:effectLst>
                  </pic:spPr>
                </pic:pic>
              </a:graphicData>
            </a:graphic>
          </wp:inline>
        </w:drawing>
      </w:r>
    </w:p>
    <w:p w:rsidR="002B5793" w:rsidRDefault="003D2101">
      <w:pPr>
        <w:spacing w:before="240" w:after="120"/>
      </w:pPr>
      <w:r>
        <w:rPr>
          <w:b/>
          <w:bCs/>
          <w:i/>
          <w:iCs/>
          <w:color w:val="60A5FA"/>
          <w:sz w:val="24"/>
          <w:szCs w:val="24"/>
          <w:u w:val="single"/>
        </w:rPr>
        <w:t>$ Spreadsheet Filtering Method (Excel)</w:t>
      </w:r>
    </w:p>
    <w:p w:rsidR="002B5793" w:rsidRDefault="003D2101">
      <w:pPr>
        <w:spacing w:after="160"/>
      </w:pPr>
      <w:r>
        <w:rPr>
          <w:sz w:val="21"/>
          <w:szCs w:val="21"/>
        </w:rPr>
        <w:t>Both parsed CSVs (security_parsed.csv and prefetch_parsed.csv) were analyzed in Excel using AutoFilter rather than Event Viewer's XML filter view, which does not support filtering by multiple simultaneous criteria without hand-written XML.</w:t>
      </w:r>
    </w:p>
    <w:p w:rsidR="002B5793" w:rsidRDefault="003D2101">
      <w:pPr>
        <w:pStyle w:val="ListParagraph"/>
        <w:numPr>
          <w:ilvl w:val="0"/>
          <w:numId w:val="1"/>
        </w:numPr>
        <w:spacing w:after="80"/>
      </w:pPr>
      <w:r>
        <w:rPr>
          <w:sz w:val="21"/>
          <w:szCs w:val="21"/>
        </w:rPr>
        <w:t>Home → Sort &amp; Filter → Filter (Ctrl+Shift+L) to add dropdown arrows to every column header.</w:t>
      </w:r>
    </w:p>
    <w:p w:rsidR="002B5793" w:rsidRDefault="003D2101">
      <w:pPr>
        <w:pStyle w:val="ListParagraph"/>
        <w:numPr>
          <w:ilvl w:val="0"/>
          <w:numId w:val="1"/>
        </w:numPr>
        <w:spacing w:after="80"/>
      </w:pPr>
      <w:r>
        <w:rPr>
          <w:sz w:val="21"/>
          <w:szCs w:val="21"/>
        </w:rPr>
        <w:t>Filtered EventId to isolate 4624, 4625, and 4672 individually per investigation phase.</w:t>
      </w:r>
    </w:p>
    <w:p w:rsidR="002B5793" w:rsidRDefault="003D2101">
      <w:pPr>
        <w:pStyle w:val="ListParagraph"/>
        <w:numPr>
          <w:ilvl w:val="0"/>
          <w:numId w:val="1"/>
        </w:numPr>
        <w:spacing w:after="80"/>
      </w:pPr>
      <w:r>
        <w:rPr>
          <w:sz w:val="21"/>
          <w:szCs w:val="21"/>
        </w:rPr>
        <w:t>Filtered the LogonType / MapDescription column within the 4624 result set to isolate Types 2, 5, and 7 as required per day.</w:t>
      </w:r>
    </w:p>
    <w:p w:rsidR="002B5793" w:rsidRDefault="003D2101">
      <w:pPr>
        <w:pStyle w:val="ListParagraph"/>
        <w:numPr>
          <w:ilvl w:val="0"/>
          <w:numId w:val="1"/>
        </w:numPr>
        <w:spacing w:after="80"/>
      </w:pPr>
      <w:r>
        <w:rPr>
          <w:sz w:val="21"/>
          <w:szCs w:val="21"/>
        </w:rPr>
        <w:t>Where EventId did not sort numerically (imported as text), Data → Text to Columns → Finish was used to force a true numeric type before filtering.</w:t>
      </w:r>
    </w:p>
    <w:p w:rsidR="002B5793" w:rsidRDefault="002B5793"/>
    <w:p w:rsidR="002B5793" w:rsidRDefault="003D2101" w:rsidP="000B4460">
      <w:pPr>
        <w:shd w:val="clear" w:color="auto" w:fill="0D0D0D"/>
        <w:spacing w:before="400" w:after="200"/>
        <w:ind w:right="100"/>
      </w:pPr>
      <w:r>
        <w:rPr>
          <w:rFonts w:ascii="Consolas" w:eastAsia="Consolas" w:hAnsi="Consolas" w:cs="Consolas"/>
          <w:b/>
          <w:bCs/>
          <w:color w:val="4ADE80"/>
          <w:sz w:val="22"/>
          <w:szCs w:val="22"/>
        </w:rPr>
        <w:t xml:space="preserve">// 53-55  </w:t>
      </w:r>
      <w:r>
        <w:rPr>
          <w:b/>
          <w:bCs/>
          <w:color w:val="FFFFFF"/>
          <w:sz w:val="22"/>
          <w:szCs w:val="22"/>
        </w:rPr>
        <w:t>PART A — EVENT LOG ANALYSIS (LOCAL BASELINE)</w:t>
      </w:r>
    </w:p>
    <w:p w:rsidR="002B5793" w:rsidRDefault="003D2101">
      <w:pPr>
        <w:spacing w:before="240" w:after="120"/>
      </w:pPr>
      <w:r>
        <w:rPr>
          <w:b/>
          <w:bCs/>
          <w:i/>
          <w:iCs/>
          <w:color w:val="60A5FA"/>
          <w:sz w:val="24"/>
          <w:szCs w:val="24"/>
          <w:u w:val="single"/>
        </w:rPr>
        <w:t>$ Evidence Acquisition &amp; Integrity</w:t>
      </w:r>
    </w:p>
    <w:p w:rsidR="002B5793" w:rsidRDefault="003D2101">
      <w:pPr>
        <w:spacing w:after="160"/>
      </w:pPr>
      <w:r>
        <w:rPr>
          <w:sz w:val="21"/>
          <w:szCs w:val="21"/>
        </w:rPr>
        <w:t>The live Security.evtx log was copied to a working folder prior to any analysis, and a SHA256 hash was generated immediately to establish an evidence integrity record before parsing began.</w:t>
      </w:r>
    </w:p>
    <w:p w:rsidR="002B5793" w:rsidRDefault="002B5793">
      <w:pPr>
        <w:spacing w:after="120"/>
      </w:pPr>
    </w:p>
    <w:p w:rsidR="002B5793" w:rsidRDefault="000B4460" w:rsidP="000B4460">
      <w:pPr>
        <w:spacing w:after="120"/>
        <w:jc w:val="center"/>
      </w:pPr>
      <w:r>
        <w:rPr>
          <w:noProof/>
        </w:rPr>
        <w:drawing>
          <wp:inline distT="0" distB="0" distL="0" distR="0">
            <wp:extent cx="4953000" cy="1905449"/>
            <wp:effectExtent l="152400" t="152400" r="361950" b="3619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15 064308.png"/>
                    <pic:cNvPicPr/>
                  </pic:nvPicPr>
                  <pic:blipFill>
                    <a:blip r:embed="rId11">
                      <a:extLst>
                        <a:ext uri="{28A0092B-C50C-407E-A947-70E740481C1C}">
                          <a14:useLocalDpi xmlns:a14="http://schemas.microsoft.com/office/drawing/2010/main" val="0"/>
                        </a:ext>
                      </a:extLst>
                    </a:blip>
                    <a:stretch>
                      <a:fillRect/>
                    </a:stretch>
                  </pic:blipFill>
                  <pic:spPr>
                    <a:xfrm>
                      <a:off x="0" y="0"/>
                      <a:ext cx="5019079" cy="1930870"/>
                    </a:xfrm>
                    <a:prstGeom prst="rect">
                      <a:avLst/>
                    </a:prstGeom>
                    <a:ln>
                      <a:noFill/>
                    </a:ln>
                    <a:effectLst>
                      <a:outerShdw blurRad="292100" dist="139700" dir="2700000" algn="tl" rotWithShape="0">
                        <a:srgbClr val="333333">
                          <a:alpha val="65000"/>
                        </a:srgbClr>
                      </a:outerShdw>
                    </a:effectLst>
                  </pic:spPr>
                </pic:pic>
              </a:graphicData>
            </a:graphic>
          </wp:inline>
        </w:drawing>
      </w:r>
    </w:p>
    <w:p w:rsidR="002B5793" w:rsidRDefault="003D2101">
      <w:pPr>
        <w:spacing w:before="240" w:after="120"/>
      </w:pPr>
      <w:r>
        <w:rPr>
          <w:b/>
          <w:bCs/>
          <w:i/>
          <w:iCs/>
          <w:color w:val="60A5FA"/>
          <w:sz w:val="24"/>
          <w:szCs w:val="24"/>
          <w:u w:val="single"/>
        </w:rPr>
        <w:t>$ Day 53 — Human Baseline (Event ID 4624 / 4625)</w:t>
      </w:r>
    </w:p>
    <w:p w:rsidR="002B5793" w:rsidRDefault="003D2101">
      <w:pPr>
        <w:spacing w:after="160"/>
        <w:rPr>
          <w:sz w:val="21"/>
          <w:szCs w:val="21"/>
        </w:rPr>
      </w:pPr>
      <w:r>
        <w:rPr>
          <w:sz w:val="21"/>
          <w:szCs w:val="21"/>
        </w:rPr>
        <w:t>Event ID 4624 with Logon Type 2 (interactive console logon) and Logon Type 7 (screen unlock) was used to reconstruct physical working sessions over the preceding 48 hours.</w:t>
      </w:r>
    </w:p>
    <w:p w:rsidR="000B4460" w:rsidRDefault="000B4460" w:rsidP="000B4460">
      <w:pPr>
        <w:spacing w:after="160"/>
        <w:jc w:val="center"/>
      </w:pPr>
      <w:r>
        <w:rPr>
          <w:noProof/>
        </w:rPr>
        <w:lastRenderedPageBreak/>
        <w:drawing>
          <wp:inline distT="0" distB="0" distL="0" distR="0">
            <wp:extent cx="5986148" cy="807720"/>
            <wp:effectExtent l="152400" t="152400" r="357505" b="3543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5 07113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00558" cy="809664"/>
                    </a:xfrm>
                    <a:prstGeom prst="rect">
                      <a:avLst/>
                    </a:prstGeom>
                    <a:ln>
                      <a:noFill/>
                    </a:ln>
                    <a:effectLst>
                      <a:outerShdw blurRad="292100" dist="139700" dir="2700000" algn="tl" rotWithShape="0">
                        <a:srgbClr val="333333">
                          <a:alpha val="65000"/>
                        </a:srgbClr>
                      </a:outerShdw>
                    </a:effectLst>
                  </pic:spPr>
                </pic:pic>
              </a:graphicData>
            </a:graphic>
          </wp:inline>
        </w:drawing>
      </w:r>
    </w:p>
    <w:p w:rsidR="002B5793" w:rsidRDefault="002B5793">
      <w:pPr>
        <w:spacing w:after="120"/>
      </w:pPr>
    </w:p>
    <w:p w:rsidR="002B5793" w:rsidRDefault="002B5793">
      <w:pPr>
        <w:spacing w:after="120"/>
      </w:pPr>
    </w:p>
    <w:p w:rsidR="002B5793" w:rsidRDefault="003D2101">
      <w:pPr>
        <w:spacing w:after="160"/>
        <w:rPr>
          <w:sz w:val="21"/>
          <w:szCs w:val="21"/>
        </w:rPr>
      </w:pPr>
      <w:r>
        <w:rPr>
          <w:sz w:val="21"/>
          <w:szCs w:val="21"/>
        </w:rPr>
        <w:t>Event ID 4625 (failed logon) was filtered to identify the most recent authentication failure and its associated failure reason code.</w:t>
      </w:r>
    </w:p>
    <w:p w:rsidR="000B4460" w:rsidRDefault="000B4460">
      <w:pPr>
        <w:spacing w:after="160"/>
      </w:pPr>
      <w:r>
        <w:rPr>
          <w:noProof/>
        </w:rPr>
        <w:drawing>
          <wp:inline distT="0" distB="0" distL="0" distR="0">
            <wp:extent cx="6010275" cy="746760"/>
            <wp:effectExtent l="152400" t="152400" r="371475" b="3581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15 071251.png"/>
                    <pic:cNvPicPr/>
                  </pic:nvPicPr>
                  <pic:blipFill>
                    <a:blip r:embed="rId13">
                      <a:extLst>
                        <a:ext uri="{28A0092B-C50C-407E-A947-70E740481C1C}">
                          <a14:useLocalDpi xmlns:a14="http://schemas.microsoft.com/office/drawing/2010/main" val="0"/>
                        </a:ext>
                      </a:extLst>
                    </a:blip>
                    <a:stretch>
                      <a:fillRect/>
                    </a:stretch>
                  </pic:blipFill>
                  <pic:spPr>
                    <a:xfrm>
                      <a:off x="0" y="0"/>
                      <a:ext cx="6068201" cy="753957"/>
                    </a:xfrm>
                    <a:prstGeom prst="rect">
                      <a:avLst/>
                    </a:prstGeom>
                    <a:ln>
                      <a:noFill/>
                    </a:ln>
                    <a:effectLst>
                      <a:outerShdw blurRad="292100" dist="139700" dir="2700000" algn="tl" rotWithShape="0">
                        <a:srgbClr val="333333">
                          <a:alpha val="65000"/>
                        </a:srgbClr>
                      </a:outerShdw>
                    </a:effectLst>
                  </pic:spPr>
                </pic:pic>
              </a:graphicData>
            </a:graphic>
          </wp:inline>
        </w:drawing>
      </w:r>
    </w:p>
    <w:p w:rsidR="002B5793" w:rsidRDefault="002B5793">
      <w:pPr>
        <w:spacing w:after="120"/>
      </w:pPr>
    </w:p>
    <w:p w:rsidR="002B5793" w:rsidRDefault="003D2101">
      <w:pPr>
        <w:spacing w:before="240" w:after="120"/>
      </w:pPr>
      <w:r>
        <w:rPr>
          <w:b/>
          <w:bCs/>
          <w:i/>
          <w:iCs/>
          <w:color w:val="60A5FA"/>
          <w:sz w:val="24"/>
          <w:szCs w:val="24"/>
          <w:u w:val="single"/>
        </w:rPr>
        <w:t>$ Day 54 — Privilege Tracking &amp; UAC Auditing (Event ID 4672)</w:t>
      </w:r>
    </w:p>
    <w:p w:rsidR="002B5793" w:rsidRDefault="003D2101">
      <w:pPr>
        <w:spacing w:after="160"/>
      </w:pPr>
      <w:r>
        <w:rPr>
          <w:sz w:val="21"/>
          <w:szCs w:val="21"/>
        </w:rPr>
        <w:t>Event ID 4672 (Special Privileges Assigned) fires when an administrator logs in or a process elevates privileges. Timestamps were cross-referenced against known personal activity to confirm legitimate causes for each elevation event.</w:t>
      </w:r>
    </w:p>
    <w:p w:rsidR="002B5793" w:rsidRDefault="000B4460">
      <w:pPr>
        <w:spacing w:after="120"/>
      </w:pPr>
      <w:r>
        <w:rPr>
          <w:noProof/>
        </w:rPr>
        <w:drawing>
          <wp:inline distT="0" distB="0" distL="0" distR="0">
            <wp:extent cx="5848857" cy="857324"/>
            <wp:effectExtent l="152400" t="152400" r="361950" b="3619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15 071409.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48857" cy="857324"/>
                    </a:xfrm>
                    <a:prstGeom prst="rect">
                      <a:avLst/>
                    </a:prstGeom>
                    <a:ln>
                      <a:noFill/>
                    </a:ln>
                    <a:effectLst>
                      <a:outerShdw blurRad="292100" dist="139700" dir="2700000" algn="tl" rotWithShape="0">
                        <a:srgbClr val="333333">
                          <a:alpha val="65000"/>
                        </a:srgbClr>
                      </a:outerShdw>
                    </a:effectLst>
                  </pic:spPr>
                </pic:pic>
              </a:graphicData>
            </a:graphic>
          </wp:inline>
        </w:drawing>
      </w:r>
    </w:p>
    <w:p w:rsidR="002B5793" w:rsidRDefault="002B5793">
      <w:pPr>
        <w:spacing w:after="120"/>
      </w:pPr>
    </w:p>
    <w:p w:rsidR="002B5793" w:rsidRDefault="003D2101">
      <w:pPr>
        <w:spacing w:after="160"/>
        <w:rPr>
          <w:sz w:val="21"/>
          <w:szCs w:val="21"/>
        </w:rPr>
      </w:pPr>
      <w:r>
        <w:rPr>
          <w:sz w:val="21"/>
          <w:szCs w:val="21"/>
        </w:rPr>
        <w:t>Each event correlates directly to a deliberate administrative action, confirming that privilege escalation on this machine during the observed window was legitimate and user-initiated rather than the result of an unauthorized process.</w:t>
      </w:r>
    </w:p>
    <w:p w:rsidR="000B4460" w:rsidRDefault="000B4460">
      <w:pPr>
        <w:spacing w:after="160"/>
      </w:pPr>
    </w:p>
    <w:p w:rsidR="008F20BE" w:rsidRDefault="008F20BE">
      <w:pPr>
        <w:spacing w:after="160"/>
      </w:pPr>
    </w:p>
    <w:p w:rsidR="008F20BE" w:rsidRDefault="008F20BE">
      <w:pPr>
        <w:spacing w:after="160"/>
      </w:pPr>
    </w:p>
    <w:p w:rsidR="008F20BE" w:rsidRDefault="008F20BE">
      <w:pPr>
        <w:spacing w:after="160"/>
      </w:pPr>
    </w:p>
    <w:p w:rsidR="000B4460" w:rsidRDefault="000B4460">
      <w:pPr>
        <w:spacing w:after="160"/>
      </w:pPr>
    </w:p>
    <w:p w:rsidR="002B5793" w:rsidRDefault="003D2101">
      <w:pPr>
        <w:spacing w:before="240" w:after="120"/>
      </w:pPr>
      <w:r>
        <w:rPr>
          <w:b/>
          <w:bCs/>
          <w:i/>
          <w:iCs/>
          <w:color w:val="60A5FA"/>
          <w:sz w:val="24"/>
          <w:szCs w:val="24"/>
          <w:u w:val="single"/>
        </w:rPr>
        <w:lastRenderedPageBreak/>
        <w:t>$ Day 55 — Background Noise (Logon Type 5)</w:t>
      </w:r>
    </w:p>
    <w:p w:rsidR="002B5793" w:rsidRDefault="003D2101">
      <w:pPr>
        <w:spacing w:after="160"/>
        <w:rPr>
          <w:sz w:val="21"/>
          <w:szCs w:val="21"/>
        </w:rPr>
      </w:pPr>
      <w:r>
        <w:rPr>
          <w:sz w:val="21"/>
          <w:szCs w:val="21"/>
        </w:rPr>
        <w:t>Event ID 4624 with Logon Type 5 (service logon) was isolated to catalogue the built-in accounts responsible for background authentication that should not be flagged as suspicious during an investigation.</w:t>
      </w:r>
    </w:p>
    <w:p w:rsidR="00CE252D" w:rsidRDefault="00CE252D">
      <w:pPr>
        <w:spacing w:after="160"/>
      </w:pPr>
      <w:r>
        <w:rPr>
          <w:noProof/>
        </w:rPr>
        <w:drawing>
          <wp:inline distT="0" distB="0" distL="0" distR="0">
            <wp:extent cx="5829299" cy="796290"/>
            <wp:effectExtent l="152400" t="152400" r="362585" b="3657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15 071518.png"/>
                    <pic:cNvPicPr/>
                  </pic:nvPicPr>
                  <pic:blipFill>
                    <a:blip r:embed="rId15">
                      <a:extLst>
                        <a:ext uri="{28A0092B-C50C-407E-A947-70E740481C1C}">
                          <a14:useLocalDpi xmlns:a14="http://schemas.microsoft.com/office/drawing/2010/main" val="0"/>
                        </a:ext>
                      </a:extLst>
                    </a:blip>
                    <a:stretch>
                      <a:fillRect/>
                    </a:stretch>
                  </pic:blipFill>
                  <pic:spPr>
                    <a:xfrm>
                      <a:off x="0" y="0"/>
                      <a:ext cx="5854587" cy="799744"/>
                    </a:xfrm>
                    <a:prstGeom prst="rect">
                      <a:avLst/>
                    </a:prstGeom>
                    <a:ln>
                      <a:noFill/>
                    </a:ln>
                    <a:effectLst>
                      <a:outerShdw blurRad="292100" dist="139700" dir="2700000" algn="tl" rotWithShape="0">
                        <a:srgbClr val="333333">
                          <a:alpha val="65000"/>
                        </a:srgbClr>
                      </a:outerShdw>
                    </a:effectLst>
                  </pic:spPr>
                </pic:pic>
              </a:graphicData>
            </a:graphic>
          </wp:inline>
        </w:drawing>
      </w:r>
    </w:p>
    <w:p w:rsidR="002B5793" w:rsidRDefault="002B5793">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2B5793">
        <w:tc>
          <w:tcPr>
            <w:tcW w:w="3000" w:type="dxa"/>
            <w:shd w:val="clear" w:color="auto" w:fill="0D0D0D"/>
            <w:tcMar>
              <w:top w:w="100" w:type="dxa"/>
              <w:left w:w="120" w:type="dxa"/>
              <w:bottom w:w="100" w:type="dxa"/>
              <w:right w:w="120" w:type="dxa"/>
            </w:tcMar>
          </w:tcPr>
          <w:p w:rsidR="002B5793" w:rsidRDefault="003D2101">
            <w:r>
              <w:rPr>
                <w:b/>
                <w:bCs/>
                <w:color w:val="FFFFFF"/>
                <w:sz w:val="19"/>
                <w:szCs w:val="19"/>
              </w:rPr>
              <w:t>Account</w:t>
            </w:r>
          </w:p>
        </w:tc>
        <w:tc>
          <w:tcPr>
            <w:tcW w:w="3000" w:type="dxa"/>
            <w:shd w:val="clear" w:color="auto" w:fill="0D0D0D"/>
            <w:tcMar>
              <w:top w:w="100" w:type="dxa"/>
              <w:left w:w="120" w:type="dxa"/>
              <w:bottom w:w="100" w:type="dxa"/>
              <w:right w:w="120" w:type="dxa"/>
            </w:tcMar>
          </w:tcPr>
          <w:p w:rsidR="002B5793" w:rsidRDefault="003D2101">
            <w:r>
              <w:rPr>
                <w:b/>
                <w:bCs/>
                <w:color w:val="FFFFFF"/>
                <w:sz w:val="19"/>
                <w:szCs w:val="19"/>
              </w:rPr>
              <w:t>Function</w:t>
            </w:r>
          </w:p>
        </w:tc>
        <w:tc>
          <w:tcPr>
            <w:tcW w:w="3000" w:type="dxa"/>
            <w:shd w:val="clear" w:color="auto" w:fill="0D0D0D"/>
            <w:tcMar>
              <w:top w:w="100" w:type="dxa"/>
              <w:left w:w="120" w:type="dxa"/>
              <w:bottom w:w="100" w:type="dxa"/>
              <w:right w:w="120" w:type="dxa"/>
            </w:tcMar>
          </w:tcPr>
          <w:p w:rsidR="002B5793" w:rsidRDefault="003D2101">
            <w:r>
              <w:rPr>
                <w:b/>
                <w:bCs/>
                <w:color w:val="FFFFFF"/>
                <w:sz w:val="19"/>
                <w:szCs w:val="19"/>
              </w:rPr>
              <w:t>Why It Is Not Suspicious</w:t>
            </w:r>
          </w:p>
        </w:tc>
      </w:tr>
      <w:tr w:rsidR="002B5793">
        <w:tc>
          <w:tcPr>
            <w:tcW w:w="3000" w:type="dxa"/>
            <w:tcMar>
              <w:top w:w="90" w:type="dxa"/>
              <w:left w:w="120" w:type="dxa"/>
              <w:bottom w:w="90" w:type="dxa"/>
              <w:right w:w="120" w:type="dxa"/>
            </w:tcMar>
          </w:tcPr>
          <w:p w:rsidR="002B5793" w:rsidRDefault="003D2101">
            <w:r>
              <w:rPr>
                <w:sz w:val="19"/>
                <w:szCs w:val="19"/>
              </w:rPr>
              <w:t>SYSTEM</w:t>
            </w:r>
          </w:p>
        </w:tc>
        <w:tc>
          <w:tcPr>
            <w:tcW w:w="3000" w:type="dxa"/>
            <w:tcMar>
              <w:top w:w="90" w:type="dxa"/>
              <w:left w:w="120" w:type="dxa"/>
              <w:bottom w:w="90" w:type="dxa"/>
              <w:right w:w="120" w:type="dxa"/>
            </w:tcMar>
          </w:tcPr>
          <w:p w:rsidR="002B5793" w:rsidRDefault="003D2101">
            <w:r>
              <w:rPr>
                <w:sz w:val="19"/>
                <w:szCs w:val="19"/>
              </w:rPr>
              <w:t>Highest-privilege built-in account; runs core OS processes and most Windows services.</w:t>
            </w:r>
          </w:p>
        </w:tc>
        <w:tc>
          <w:tcPr>
            <w:tcW w:w="3000" w:type="dxa"/>
            <w:tcMar>
              <w:top w:w="90" w:type="dxa"/>
              <w:left w:w="120" w:type="dxa"/>
              <w:bottom w:w="90" w:type="dxa"/>
              <w:right w:w="120" w:type="dxa"/>
            </w:tcMar>
          </w:tcPr>
          <w:p w:rsidR="002B5793" w:rsidRDefault="003D2101">
            <w:r>
              <w:rPr>
                <w:sz w:val="19"/>
                <w:szCs w:val="19"/>
              </w:rPr>
              <w:t>Authenticates continuously by design across every Windows machine.</w:t>
            </w:r>
          </w:p>
        </w:tc>
      </w:tr>
      <w:tr w:rsidR="002B5793">
        <w:tc>
          <w:tcPr>
            <w:tcW w:w="3000" w:type="dxa"/>
            <w:tcMar>
              <w:top w:w="90" w:type="dxa"/>
              <w:left w:w="120" w:type="dxa"/>
              <w:bottom w:w="90" w:type="dxa"/>
              <w:right w:w="120" w:type="dxa"/>
            </w:tcMar>
          </w:tcPr>
          <w:p w:rsidR="002B5793" w:rsidRDefault="003D2101">
            <w:r>
              <w:rPr>
                <w:sz w:val="19"/>
                <w:szCs w:val="19"/>
              </w:rPr>
              <w:t>LOCAL SERVICE</w:t>
            </w:r>
          </w:p>
        </w:tc>
        <w:tc>
          <w:tcPr>
            <w:tcW w:w="3000" w:type="dxa"/>
            <w:tcMar>
              <w:top w:w="90" w:type="dxa"/>
              <w:left w:w="120" w:type="dxa"/>
              <w:bottom w:w="90" w:type="dxa"/>
              <w:right w:w="120" w:type="dxa"/>
            </w:tcMar>
          </w:tcPr>
          <w:p w:rsidR="002B5793" w:rsidRDefault="003D2101">
            <w:r>
              <w:rPr>
                <w:sz w:val="19"/>
                <w:szCs w:val="19"/>
              </w:rPr>
              <w:t>Reduced-privilege account for services needing minimal local access.</w:t>
            </w:r>
          </w:p>
        </w:tc>
        <w:tc>
          <w:tcPr>
            <w:tcW w:w="3000" w:type="dxa"/>
            <w:tcMar>
              <w:top w:w="90" w:type="dxa"/>
              <w:left w:w="120" w:type="dxa"/>
              <w:bottom w:w="90" w:type="dxa"/>
              <w:right w:w="120" w:type="dxa"/>
            </w:tcMar>
          </w:tcPr>
          <w:p w:rsidR="002B5793" w:rsidRDefault="003D2101">
            <w:r>
              <w:rPr>
                <w:sz w:val="19"/>
                <w:szCs w:val="19"/>
              </w:rPr>
              <w:t>Standard service account, not tied to human interaction.</w:t>
            </w:r>
          </w:p>
        </w:tc>
      </w:tr>
      <w:tr w:rsidR="002B5793">
        <w:tc>
          <w:tcPr>
            <w:tcW w:w="3000" w:type="dxa"/>
            <w:tcMar>
              <w:top w:w="90" w:type="dxa"/>
              <w:left w:w="120" w:type="dxa"/>
              <w:bottom w:w="90" w:type="dxa"/>
              <w:right w:w="120" w:type="dxa"/>
            </w:tcMar>
          </w:tcPr>
          <w:p w:rsidR="002B5793" w:rsidRDefault="003D2101">
            <w:r>
              <w:rPr>
                <w:sz w:val="19"/>
                <w:szCs w:val="19"/>
              </w:rPr>
              <w:t>NETWORK SERVICE</w:t>
            </w:r>
          </w:p>
        </w:tc>
        <w:tc>
          <w:tcPr>
            <w:tcW w:w="3000" w:type="dxa"/>
            <w:tcMar>
              <w:top w:w="90" w:type="dxa"/>
              <w:left w:w="120" w:type="dxa"/>
              <w:bottom w:w="90" w:type="dxa"/>
              <w:right w:w="120" w:type="dxa"/>
            </w:tcMar>
          </w:tcPr>
          <w:p w:rsidR="002B5793" w:rsidRDefault="003D2101">
            <w:r>
              <w:rPr>
                <w:sz w:val="19"/>
                <w:szCs w:val="19"/>
              </w:rPr>
              <w:t>Reduced-privilege account for services needing network access.</w:t>
            </w:r>
          </w:p>
        </w:tc>
        <w:tc>
          <w:tcPr>
            <w:tcW w:w="3000" w:type="dxa"/>
            <w:tcMar>
              <w:top w:w="90" w:type="dxa"/>
              <w:left w:w="120" w:type="dxa"/>
              <w:bottom w:w="90" w:type="dxa"/>
              <w:right w:w="120" w:type="dxa"/>
            </w:tcMar>
          </w:tcPr>
          <w:p w:rsidR="002B5793" w:rsidRDefault="003D2101">
            <w:r>
              <w:rPr>
                <w:sz w:val="19"/>
                <w:szCs w:val="19"/>
              </w:rPr>
              <w:t>Standard service account, not tied to human interaction.</w:t>
            </w:r>
          </w:p>
        </w:tc>
      </w:tr>
      <w:tr w:rsidR="002B5793">
        <w:tc>
          <w:tcPr>
            <w:tcW w:w="3000" w:type="dxa"/>
            <w:tcMar>
              <w:top w:w="90" w:type="dxa"/>
              <w:left w:w="120" w:type="dxa"/>
              <w:bottom w:w="90" w:type="dxa"/>
              <w:right w:w="120" w:type="dxa"/>
            </w:tcMar>
          </w:tcPr>
          <w:p w:rsidR="002B5793" w:rsidRDefault="003D2101">
            <w:r>
              <w:rPr>
                <w:sz w:val="19"/>
                <w:szCs w:val="19"/>
              </w:rPr>
              <w:t>DWM-1 / UMFD-0</w:t>
            </w:r>
          </w:p>
        </w:tc>
        <w:tc>
          <w:tcPr>
            <w:tcW w:w="3000" w:type="dxa"/>
            <w:tcMar>
              <w:top w:w="90" w:type="dxa"/>
              <w:left w:w="120" w:type="dxa"/>
              <w:bottom w:w="90" w:type="dxa"/>
              <w:right w:w="120" w:type="dxa"/>
            </w:tcMar>
          </w:tcPr>
          <w:p w:rsidR="002B5793" w:rsidRDefault="003D2101">
            <w:r>
              <w:rPr>
                <w:sz w:val="19"/>
                <w:szCs w:val="19"/>
              </w:rPr>
              <w:t>Per-session accounts for Desktop Window Manager and font rasterization.</w:t>
            </w:r>
          </w:p>
        </w:tc>
        <w:tc>
          <w:tcPr>
            <w:tcW w:w="3000" w:type="dxa"/>
            <w:tcMar>
              <w:top w:w="90" w:type="dxa"/>
              <w:left w:w="120" w:type="dxa"/>
              <w:bottom w:w="90" w:type="dxa"/>
              <w:right w:w="120" w:type="dxa"/>
            </w:tcMar>
          </w:tcPr>
          <w:p w:rsidR="002B5793" w:rsidRDefault="003D2101">
            <w:r>
              <w:rPr>
                <w:sz w:val="19"/>
                <w:szCs w:val="19"/>
              </w:rPr>
              <w:t>Created automatically per logon session; present on every session.</w:t>
            </w:r>
          </w:p>
        </w:tc>
      </w:tr>
    </w:tbl>
    <w:p w:rsidR="002B5793" w:rsidRDefault="002B5793">
      <w:pPr>
        <w:spacing w:after="120"/>
      </w:pPr>
    </w:p>
    <w:p w:rsidR="002B5793" w:rsidRDefault="003D2101" w:rsidP="00CE252D">
      <w:pPr>
        <w:spacing w:after="160"/>
      </w:pPr>
      <w:r>
        <w:rPr>
          <w:i/>
          <w:iCs/>
          <w:sz w:val="21"/>
          <w:szCs w:val="21"/>
        </w:rPr>
        <w:t>No Event ID 1102 (Security log cleared) was observed in the collected window. Had this event been present, it would represent a significant anti-forensics finding warranting escalation</w:t>
      </w:r>
      <w:r w:rsidR="00CE252D">
        <w:rPr>
          <w:i/>
          <w:iCs/>
          <w:sz w:val="21"/>
          <w:szCs w:val="21"/>
        </w:rPr>
        <w:t>.</w:t>
      </w:r>
      <w:r>
        <w:br w:type="page"/>
      </w:r>
    </w:p>
    <w:p w:rsidR="002B5793" w:rsidRDefault="003D2101">
      <w:pPr>
        <w:shd w:val="clear" w:color="auto" w:fill="0D0D0D"/>
        <w:spacing w:before="400" w:after="200"/>
        <w:ind w:left="100" w:right="100"/>
      </w:pPr>
      <w:r>
        <w:rPr>
          <w:rFonts w:ascii="Consolas" w:eastAsia="Consolas" w:hAnsi="Consolas" w:cs="Consolas"/>
          <w:b/>
          <w:bCs/>
          <w:color w:val="4ADE80"/>
          <w:sz w:val="22"/>
          <w:szCs w:val="22"/>
        </w:rPr>
        <w:lastRenderedPageBreak/>
        <w:t xml:space="preserve">// 56-57  </w:t>
      </w:r>
      <w:r>
        <w:rPr>
          <w:b/>
          <w:bCs/>
          <w:color w:val="FFFFFF"/>
          <w:sz w:val="22"/>
          <w:szCs w:val="22"/>
        </w:rPr>
        <w:t>PART B — PREFETCH FILE ANALYSIS (LOCA MACHINE)</w:t>
      </w:r>
    </w:p>
    <w:p w:rsidR="002B5793" w:rsidRDefault="003D2101">
      <w:pPr>
        <w:spacing w:before="240" w:after="120"/>
      </w:pPr>
      <w:r>
        <w:rPr>
          <w:b/>
          <w:bCs/>
          <w:i/>
          <w:iCs/>
          <w:color w:val="60A5FA"/>
          <w:sz w:val="24"/>
          <w:szCs w:val="24"/>
          <w:u w:val="single"/>
        </w:rPr>
        <w:t>$ Prefetch Collection &amp; Parsing</w:t>
      </w:r>
    </w:p>
    <w:p w:rsidR="002B5793" w:rsidRDefault="003D2101">
      <w:pPr>
        <w:spacing w:after="160"/>
        <w:rPr>
          <w:sz w:val="21"/>
          <w:szCs w:val="21"/>
        </w:rPr>
      </w:pPr>
      <w:r>
        <w:rPr>
          <w:sz w:val="21"/>
          <w:szCs w:val="21"/>
        </w:rPr>
        <w:t>The live Prefetch directory was copied to a working folder before analysis to avoid modifying original artifact timestamps, then parsed with PECmd.</w:t>
      </w:r>
    </w:p>
    <w:p w:rsidR="00CE252D" w:rsidRDefault="00CE252D" w:rsidP="00CE252D">
      <w:pPr>
        <w:spacing w:after="160"/>
        <w:jc w:val="center"/>
      </w:pPr>
      <w:r>
        <w:rPr>
          <w:noProof/>
        </w:rPr>
        <w:drawing>
          <wp:inline distT="0" distB="0" distL="0" distR="0">
            <wp:extent cx="4427472" cy="2806700"/>
            <wp:effectExtent l="152400" t="152400" r="354330" b="3556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15 07232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33744" cy="2810676"/>
                    </a:xfrm>
                    <a:prstGeom prst="rect">
                      <a:avLst/>
                    </a:prstGeom>
                    <a:ln>
                      <a:noFill/>
                    </a:ln>
                    <a:effectLst>
                      <a:outerShdw blurRad="292100" dist="139700" dir="2700000" algn="tl" rotWithShape="0">
                        <a:srgbClr val="333333">
                          <a:alpha val="65000"/>
                        </a:srgbClr>
                      </a:outerShdw>
                    </a:effectLst>
                  </pic:spPr>
                </pic:pic>
              </a:graphicData>
            </a:graphic>
          </wp:inline>
        </w:drawing>
      </w:r>
    </w:p>
    <w:p w:rsidR="002B5793" w:rsidRDefault="002B5793">
      <w:pPr>
        <w:spacing w:after="120"/>
      </w:pPr>
    </w:p>
    <w:p w:rsidR="002B5793" w:rsidRDefault="002B5793">
      <w:pPr>
        <w:spacing w:after="120"/>
      </w:pPr>
    </w:p>
    <w:p w:rsidR="002B5793" w:rsidRDefault="003D2101">
      <w:pPr>
        <w:spacing w:after="160"/>
      </w:pPr>
      <w:r>
        <w:rPr>
          <w:sz w:val="21"/>
          <w:szCs w:val="21"/>
        </w:rPr>
        <w:t xml:space="preserve">Total .pf files collected: </w:t>
      </w:r>
      <w:r w:rsidR="00CE252D">
        <w:rPr>
          <w:sz w:val="21"/>
          <w:szCs w:val="21"/>
        </w:rPr>
        <w:t>417</w:t>
      </w:r>
    </w:p>
    <w:p w:rsidR="002B5793" w:rsidRDefault="003D2101">
      <w:pPr>
        <w:spacing w:before="240" w:after="120"/>
      </w:pPr>
      <w:r>
        <w:rPr>
          <w:b/>
          <w:bCs/>
          <w:i/>
          <w:iCs/>
          <w:color w:val="60A5FA"/>
          <w:sz w:val="24"/>
          <w:szCs w:val="24"/>
          <w:u w:val="single"/>
        </w:rPr>
        <w:t>$ Top 20 Executed Programs</w:t>
      </w:r>
    </w:p>
    <w:p w:rsidR="002B5793" w:rsidRDefault="003D2101">
      <w:pPr>
        <w:spacing w:after="160"/>
      </w:pPr>
      <w:r>
        <w:rPr>
          <w:sz w:val="21"/>
          <w:szCs w:val="21"/>
        </w:rPr>
        <w:t>Entries were sorted descending by run count to identify the most frequently executed programs on this machine.</w:t>
      </w:r>
    </w:p>
    <w:p w:rsidR="002B5793" w:rsidRDefault="00CE252D" w:rsidP="00584AD3">
      <w:pPr>
        <w:spacing w:after="120"/>
      </w:pPr>
      <w:r>
        <w:rPr>
          <w:noProof/>
        </w:rPr>
        <w:drawing>
          <wp:inline distT="0" distB="0" distL="0" distR="0">
            <wp:extent cx="5692395" cy="1854200"/>
            <wp:effectExtent l="152400" t="152400" r="365760" b="3556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9-15 07381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8916" cy="1869353"/>
                    </a:xfrm>
                    <a:prstGeom prst="rect">
                      <a:avLst/>
                    </a:prstGeom>
                    <a:ln>
                      <a:noFill/>
                    </a:ln>
                    <a:effectLst>
                      <a:outerShdw blurRad="292100" dist="139700" dir="2700000" algn="tl" rotWithShape="0">
                        <a:srgbClr val="333333">
                          <a:alpha val="65000"/>
                        </a:srgbClr>
                      </a:outerShdw>
                    </a:effectLst>
                  </pic:spPr>
                </pic:pic>
              </a:graphicData>
            </a:graphic>
          </wp:inline>
        </w:drawing>
      </w:r>
      <w:bookmarkStart w:id="0" w:name="_GoBack"/>
      <w:bookmarkEnd w:id="0"/>
    </w:p>
    <w:sectPr w:rsidR="002B5793">
      <w:head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521DB" w:rsidRDefault="00D521DB">
      <w:r>
        <w:separator/>
      </w:r>
    </w:p>
  </w:endnote>
  <w:endnote w:type="continuationSeparator" w:id="0">
    <w:p w:rsidR="00D521DB" w:rsidRDefault="00D52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521DB" w:rsidRDefault="00D521DB">
      <w:r>
        <w:separator/>
      </w:r>
    </w:p>
  </w:footnote>
  <w:footnote w:type="continuationSeparator" w:id="0">
    <w:p w:rsidR="00D521DB" w:rsidRDefault="00D521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5793" w:rsidRDefault="003D2101">
    <w:r>
      <w:rPr>
        <w:i/>
        <w:iCs/>
        <w:color w:val="6B7280"/>
        <w:sz w:val="18"/>
        <w:szCs w:val="18"/>
      </w:rPr>
      <w:t>Blue Team SOC Analyst Internship — Cyberster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260ABA"/>
    <w:multiLevelType w:val="hybridMultilevel"/>
    <w:tmpl w:val="5DCA7C28"/>
    <w:lvl w:ilvl="0" w:tplc="693EDFAA">
      <w:start w:val="1"/>
      <w:numFmt w:val="bullet"/>
      <w:lvlText w:val="●"/>
      <w:lvlJc w:val="left"/>
      <w:pPr>
        <w:ind w:left="720" w:hanging="360"/>
      </w:pPr>
    </w:lvl>
    <w:lvl w:ilvl="1" w:tplc="35EE478C">
      <w:start w:val="1"/>
      <w:numFmt w:val="bullet"/>
      <w:lvlText w:val="○"/>
      <w:lvlJc w:val="left"/>
      <w:pPr>
        <w:ind w:left="1440" w:hanging="360"/>
      </w:pPr>
    </w:lvl>
    <w:lvl w:ilvl="2" w:tplc="2AC07900">
      <w:start w:val="1"/>
      <w:numFmt w:val="bullet"/>
      <w:lvlText w:val="■"/>
      <w:lvlJc w:val="left"/>
      <w:pPr>
        <w:ind w:left="2160" w:hanging="360"/>
      </w:pPr>
    </w:lvl>
    <w:lvl w:ilvl="3" w:tplc="71C64FE2">
      <w:start w:val="1"/>
      <w:numFmt w:val="bullet"/>
      <w:lvlText w:val="●"/>
      <w:lvlJc w:val="left"/>
      <w:pPr>
        <w:ind w:left="2880" w:hanging="360"/>
      </w:pPr>
    </w:lvl>
    <w:lvl w:ilvl="4" w:tplc="EA24F664">
      <w:start w:val="1"/>
      <w:numFmt w:val="bullet"/>
      <w:lvlText w:val="○"/>
      <w:lvlJc w:val="left"/>
      <w:pPr>
        <w:ind w:left="3600" w:hanging="360"/>
      </w:pPr>
    </w:lvl>
    <w:lvl w:ilvl="5" w:tplc="E3446C6E">
      <w:start w:val="1"/>
      <w:numFmt w:val="bullet"/>
      <w:lvlText w:val="■"/>
      <w:lvlJc w:val="left"/>
      <w:pPr>
        <w:ind w:left="4320" w:hanging="360"/>
      </w:pPr>
    </w:lvl>
    <w:lvl w:ilvl="6" w:tplc="0EC61366">
      <w:start w:val="1"/>
      <w:numFmt w:val="bullet"/>
      <w:lvlText w:val="●"/>
      <w:lvlJc w:val="left"/>
      <w:pPr>
        <w:ind w:left="5040" w:hanging="360"/>
      </w:pPr>
    </w:lvl>
    <w:lvl w:ilvl="7" w:tplc="B33C8EB2">
      <w:start w:val="1"/>
      <w:numFmt w:val="bullet"/>
      <w:lvlText w:val="●"/>
      <w:lvlJc w:val="left"/>
      <w:pPr>
        <w:ind w:left="5760" w:hanging="360"/>
      </w:pPr>
    </w:lvl>
    <w:lvl w:ilvl="8" w:tplc="A392879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793"/>
    <w:rsid w:val="000B4460"/>
    <w:rsid w:val="002B5793"/>
    <w:rsid w:val="003D2101"/>
    <w:rsid w:val="00584AD3"/>
    <w:rsid w:val="008F20BE"/>
    <w:rsid w:val="00CE252D"/>
    <w:rsid w:val="00D521DB"/>
    <w:rsid w:val="00E60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2FBA7"/>
  <w15:docId w15:val="{3D3C7EDC-6EC0-4797-A0AB-66855CBAF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Hanzallah</cp:lastModifiedBy>
  <cp:revision>3</cp:revision>
  <dcterms:created xsi:type="dcterms:W3CDTF">2026-09-15T02:46:00Z</dcterms:created>
  <dcterms:modified xsi:type="dcterms:W3CDTF">2026-09-15T03:34:00Z</dcterms:modified>
</cp:coreProperties>
</file>