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95BFD">
      <w:pPr>
        <w:jc w:val="center"/>
      </w:pPr>
      <w:r>
        <w:rPr>
          <w:rFonts w:ascii="Arial" w:hAnsi="Arial"/>
          <w:b/>
          <w:color w:val="1F4E79"/>
          <w:sz w:val="34"/>
        </w:rPr>
        <w:t xml:space="preserve">Bottom-up </w:t>
      </w:r>
      <w:bookmarkStart w:id="0" w:name="_GoBack"/>
      <w:bookmarkEnd w:id="0"/>
      <w:r>
        <w:rPr>
          <w:rFonts w:ascii="Arial" w:hAnsi="Arial"/>
          <w:b/>
          <w:color w:val="1F4E79"/>
          <w:sz w:val="34"/>
        </w:rPr>
        <w:t>Virtue Ethics Benchmark: Source Scan</w:t>
      </w:r>
    </w:p>
    <w:p w14:paraId="774B5F73">
      <w:pPr>
        <w:spacing w:after="120"/>
        <w:jc w:val="center"/>
        <w:rPr>
          <w:rFonts w:hint="default" w:eastAsia="SimSun"/>
          <w:lang w:val="en-US" w:eastAsia="zh-CN"/>
        </w:rPr>
      </w:pPr>
      <w:r>
        <w:rPr>
          <w:rFonts w:hint="eastAsia" w:eastAsia="SimSun"/>
          <w:i/>
          <w:sz w:val="20"/>
          <w:lang w:val="en-US" w:eastAsia="zh-CN"/>
        </w:rPr>
        <w:t xml:space="preserve">Bottom-up </w:t>
      </w:r>
      <w:r>
        <w:rPr>
          <w:rFonts w:ascii="Arial" w:hAnsi="Arial"/>
          <w:i/>
          <w:sz w:val="20"/>
        </w:rPr>
        <w:t>lived situation</w:t>
      </w:r>
      <w:r>
        <w:rPr>
          <w:rFonts w:hint="eastAsia" w:eastAsia="SimSun"/>
          <w:i/>
          <w:sz w:val="20"/>
          <w:lang w:val="en-US" w:eastAsia="zh-CN"/>
        </w:rPr>
        <w:t>al judgement</w:t>
      </w:r>
      <w:r>
        <w:rPr>
          <w:rFonts w:ascii="Arial" w:hAnsi="Arial"/>
          <w:i/>
          <w:sz w:val="20"/>
        </w:rPr>
        <w:t xml:space="preserve"> </w:t>
      </w:r>
      <w:r>
        <w:rPr>
          <w:rFonts w:hint="eastAsia" w:eastAsia="SimSun"/>
          <w:i/>
          <w:sz w:val="20"/>
          <w:lang w:val="en-US" w:eastAsia="zh-CN"/>
        </w:rPr>
        <w:t>(</w:t>
      </w:r>
      <w:r>
        <w:rPr>
          <w:rFonts w:ascii="Arial" w:hAnsi="Arial"/>
          <w:i/>
          <w:sz w:val="20"/>
        </w:rPr>
        <w:t>not</w:t>
      </w:r>
      <w:r>
        <w:rPr>
          <w:rFonts w:hint="eastAsia" w:eastAsia="SimSun"/>
          <w:i/>
          <w:sz w:val="20"/>
          <w:lang w:val="en-US" w:eastAsia="zh-CN"/>
        </w:rPr>
        <w:t xml:space="preserve"> top-down knowledge QA)</w:t>
      </w:r>
    </w:p>
    <w:tbl>
      <w:tblPr>
        <w:tblStyle w:val="12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4"/>
      </w:tblGrid>
      <w:tr w14:paraId="083D75AB">
        <w:trPr>
          <w:jc w:val="center"/>
        </w:trPr>
        <w:tc>
          <w:tcPr>
            <w:tcW w:w="14544" w:type="dxa"/>
            <w:shd w:val="clear" w:color="auto" w:fill="FFF2CC"/>
            <w:vAlign w:val="top"/>
          </w:tcPr>
          <w:p w14:paraId="0705FDD4">
            <w:pPr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 xml:space="preserve">Main point for the group: </w:t>
            </w:r>
            <w:r>
              <w:rPr>
                <w:rFonts w:ascii="Arial" w:hAnsi="Arial"/>
                <w:sz w:val="20"/>
              </w:rPr>
              <w:t>Table 1 is the build target. It contains the best raw material for a new bottom-up Aristotelian virtue ethics benchmark. Tables 2–4 are supporting references only: comparators, topic seeds, and rubric sources.</w:t>
            </w:r>
          </w:p>
        </w:tc>
      </w:tr>
    </w:tbl>
    <w:p w14:paraId="1F017425"/>
    <w:p w14:paraId="43A835CD">
      <w:pPr>
        <w:spacing w:after="120"/>
      </w:pPr>
      <w:r>
        <w:rPr>
          <w:rFonts w:ascii="Arial" w:hAnsi="Arial"/>
          <w:b/>
          <w:sz w:val="20"/>
        </w:rPr>
        <w:t xml:space="preserve">Core take-away: </w:t>
      </w:r>
      <w:r>
        <w:rPr>
          <w:rFonts w:ascii="Arial" w:hAnsi="Arial"/>
          <w:sz w:val="20"/>
        </w:rPr>
        <w:t>The strongest publishable direction is to relabel existing life-ethics datasets or case libraries into an Aristotelian virtue ethics benchmark. Aristotle’s primary texts should support the rubric and annotation guideline, not serve as the main data source.</w:t>
      </w:r>
    </w:p>
    <w:p w14:paraId="0EB91948">
      <w:pPr>
        <w:pStyle w:val="2"/>
      </w:pPr>
      <w:r>
        <w:t>1. Primary build candidates — most important</w:t>
      </w:r>
    </w:p>
    <w:p w14:paraId="080C98EB">
      <w:pPr>
        <w:spacing w:after="100"/>
      </w:pPr>
      <w:r>
        <w:t>Use these as the benchmark backbone. They contain concrete situations or action choices that can be converted into virtue judgment and phronesis tasks.</w:t>
      </w:r>
    </w:p>
    <w:tbl>
      <w:tblPr>
        <w:tblStyle w:val="35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800"/>
        <w:gridCol w:w="1944"/>
        <w:gridCol w:w="4392"/>
        <w:gridCol w:w="4392"/>
      </w:tblGrid>
      <w:tr w14:paraId="2425484F">
        <w:trPr>
          <w:tblHeader/>
          <w:jc w:val="center"/>
        </w:trPr>
        <w:tc>
          <w:tcPr>
            <w:tcW w:w="2232" w:type="dxa"/>
            <w:shd w:val="clear" w:color="auto" w:fill="1F4E79"/>
            <w:vAlign w:val="top"/>
          </w:tcPr>
          <w:p w14:paraId="4FCC2567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w="1800" w:type="dxa"/>
            <w:shd w:val="clear" w:color="auto" w:fill="1F4E79"/>
            <w:vAlign w:val="top"/>
          </w:tcPr>
          <w:p w14:paraId="2BFC6E0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w="1944" w:type="dxa"/>
            <w:shd w:val="clear" w:color="auto" w:fill="1F4E79"/>
            <w:vAlign w:val="top"/>
          </w:tcPr>
          <w:p w14:paraId="3707517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Benchmark status</w:t>
            </w:r>
          </w:p>
        </w:tc>
        <w:tc>
          <w:tcPr>
            <w:tcW w:w="4392" w:type="dxa"/>
            <w:shd w:val="clear" w:color="auto" w:fill="1F4E79"/>
            <w:vAlign w:val="top"/>
          </w:tcPr>
          <w:p w14:paraId="050083EC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Why useful</w:t>
            </w:r>
          </w:p>
        </w:tc>
        <w:tc>
          <w:tcPr>
            <w:tcW w:w="4392" w:type="dxa"/>
            <w:shd w:val="clear" w:color="auto" w:fill="1F4E79"/>
            <w:vAlign w:val="top"/>
          </w:tcPr>
          <w:p w14:paraId="39D12417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How to convert</w:t>
            </w:r>
          </w:p>
        </w:tc>
      </w:tr>
      <w:tr w14:paraId="3A6C908D">
        <w:trPr>
          <w:jc w:val="center"/>
        </w:trPr>
        <w:tc>
          <w:tcPr>
            <w:tcW w:w="2232" w:type="dxa"/>
            <w:shd w:val="clear" w:color="auto" w:fill="F7FBFF"/>
            <w:vAlign w:val="top"/>
          </w:tcPr>
          <w:p w14:paraId="76A1CB08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"https://github.com/allenai/scruples"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Scruples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shd w:val="clear" w:color="auto" w:fill="F7FBFF"/>
            <w:vAlign w:val="top"/>
          </w:tcPr>
          <w:p w14:paraId="40C71B9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Dataset</w:t>
            </w:r>
          </w:p>
        </w:tc>
        <w:tc>
          <w:tcPr>
            <w:tcW w:w="1944" w:type="dxa"/>
            <w:shd w:val="clear" w:color="auto" w:fill="F7FBFF"/>
            <w:vAlign w:val="top"/>
          </w:tcPr>
          <w:p w14:paraId="5EFD081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virtue benchmark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1BF5042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32k real-life anecdotes + 625k community ethical judgments. Strong bottom-up fit; useful for disagreement, character judgment, and practical wisdom.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10170CB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Relabel virtues/vices: honesty, courage, justice, temperance, generosity, compassion, humility, phronesis.</w:t>
            </w:r>
          </w:p>
        </w:tc>
      </w:tr>
      <w:tr w14:paraId="4489BCDA">
        <w:trPr>
          <w:jc w:val="center"/>
        </w:trPr>
        <w:tc>
          <w:tcPr>
            <w:tcW w:w="2232" w:type="dxa"/>
            <w:shd w:val="clear" w:color="auto" w:fill="F7FBFF"/>
            <w:vAlign w:val="top"/>
          </w:tcPr>
          <w:p w14:paraId="17A5F1F9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"https://nhseb.org/case-library"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NHSEB Ethics Bowl Case Library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shd w:val="clear" w:color="auto" w:fill="F7FBFF"/>
            <w:vAlign w:val="top"/>
          </w:tcPr>
          <w:p w14:paraId="49AB052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Case library</w:t>
            </w:r>
          </w:p>
        </w:tc>
        <w:tc>
          <w:tcPr>
            <w:tcW w:w="1944" w:type="dxa"/>
            <w:shd w:val="clear" w:color="auto" w:fill="F7FBFF"/>
            <w:vAlign w:val="top"/>
          </w:tcPr>
          <w:p w14:paraId="6CD20D8E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an ML benchmark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33BE7BE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300+ moral, political, and social cases. Creative Commons. The cases already include discussion questions.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5550362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Extract case text + questions. Convert into open-ended advice, pairwise ranking, and rubric scoring tasks.</w:t>
            </w:r>
          </w:p>
        </w:tc>
      </w:tr>
      <w:tr w14:paraId="6D00949A">
        <w:trPr>
          <w:jc w:val="center"/>
        </w:trPr>
        <w:tc>
          <w:tcPr>
            <w:tcW w:w="2232" w:type="dxa"/>
            <w:shd w:val="clear" w:color="auto" w:fill="F7FBFF"/>
            <w:vAlign w:val="top"/>
          </w:tcPr>
          <w:p w14:paraId="572F0BEF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"https://huggingface.co/datasets/demelin/moral_stories"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Moral Stories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shd w:val="clear" w:color="auto" w:fill="F7FBFF"/>
            <w:vAlign w:val="top"/>
          </w:tcPr>
          <w:p w14:paraId="3298942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Dataset</w:t>
            </w:r>
          </w:p>
        </w:tc>
        <w:tc>
          <w:tcPr>
            <w:tcW w:w="1944" w:type="dxa"/>
            <w:shd w:val="clear" w:color="auto" w:fill="F7FBFF"/>
            <w:vAlign w:val="top"/>
          </w:tcPr>
          <w:p w14:paraId="65E11AC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virtue benchmark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363D24C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Structured narratives: situation, intention, norm-following action, norm-violating action, and consequences.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0B85FC8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Reframe norm-following/norm-violating actions as virtue/vice judgments. Good for low-cost MCQ and explanation tasks.</w:t>
            </w:r>
          </w:p>
        </w:tc>
      </w:tr>
      <w:tr w14:paraId="736BE2AF">
        <w:trPr>
          <w:jc w:val="center"/>
        </w:trPr>
        <w:tc>
          <w:tcPr>
            <w:tcW w:w="2232" w:type="dxa"/>
            <w:shd w:val="clear" w:color="auto" w:fill="F7FBFF"/>
            <w:vAlign w:val="top"/>
          </w:tcPr>
          <w:p w14:paraId="59213B9C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"https://github.com/mbforbes/social-chemistry-101"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Social Chemistry 101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shd w:val="clear" w:color="auto" w:fill="F7FBFF"/>
            <w:vAlign w:val="top"/>
          </w:tcPr>
          <w:p w14:paraId="4B61EDA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Dataset</w:t>
            </w:r>
          </w:p>
        </w:tc>
        <w:tc>
          <w:tcPr>
            <w:tcW w:w="1944" w:type="dxa"/>
            <w:shd w:val="clear" w:color="auto" w:fill="F7FBFF"/>
            <w:vAlign w:val="top"/>
          </w:tcPr>
          <w:p w14:paraId="688E51E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virtue benchmark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45042A4C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292k everyday rules-of-thumb + 4.5M annotations. Covers good/bad judgment, moral foundations, and legality.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5C7990E8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micro-norms as seeds, then map them to virtues. Good for a fine-grained virtue taxonomy.</w:t>
            </w:r>
          </w:p>
        </w:tc>
      </w:tr>
      <w:tr w14:paraId="0B2AB403">
        <w:trPr>
          <w:jc w:val="center"/>
        </w:trPr>
        <w:tc>
          <w:tcPr>
            <w:tcW w:w="2232" w:type="dxa"/>
            <w:shd w:val="clear" w:color="auto" w:fill="F7FBFF"/>
            <w:vAlign w:val="top"/>
          </w:tcPr>
          <w:p w14:paraId="518BB946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"https://www.thegoodproject.org/dilemmas-database"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The Good Project Dilemmas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shd w:val="clear" w:color="auto" w:fill="F7FBFF"/>
            <w:vAlign w:val="top"/>
          </w:tcPr>
          <w:p w14:paraId="2DDAFE4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Website / case database</w:t>
            </w:r>
          </w:p>
        </w:tc>
        <w:tc>
          <w:tcPr>
            <w:tcW w:w="1944" w:type="dxa"/>
            <w:shd w:val="clear" w:color="auto" w:fill="F7FBFF"/>
            <w:vAlign w:val="top"/>
          </w:tcPr>
          <w:p w14:paraId="5C7B92B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dataset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0A8B54D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Harvard Project Zero everyday/professional dilemmas. Strong fit for good work and character judgment.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14FBF35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Check license or request permission. Convert into professional virtue ethics cases.</w:t>
            </w:r>
          </w:p>
        </w:tc>
      </w:tr>
      <w:tr w14:paraId="01FB7AAF">
        <w:trPr>
          <w:jc w:val="center"/>
        </w:trPr>
        <w:tc>
          <w:tcPr>
            <w:tcW w:w="2232" w:type="dxa"/>
            <w:shd w:val="clear" w:color="auto" w:fill="F7FBFF"/>
            <w:vAlign w:val="top"/>
          </w:tcPr>
          <w:p w14:paraId="6E9BF020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"https://www.goodcharacter.com/the-daily-dilemma/"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GoodCharacter Daily Dilemma Archive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shd w:val="clear" w:color="auto" w:fill="F7FBFF"/>
            <w:vAlign w:val="top"/>
          </w:tcPr>
          <w:p w14:paraId="598AE4AE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Website / education cases</w:t>
            </w:r>
          </w:p>
        </w:tc>
        <w:tc>
          <w:tcPr>
            <w:tcW w:w="1944" w:type="dxa"/>
            <w:shd w:val="clear" w:color="auto" w:fill="F7FBFF"/>
            <w:vAlign w:val="top"/>
          </w:tcPr>
          <w:p w14:paraId="51F0DFB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dataset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2A6BAD8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Realistic moral dilemma discussion starters with full stories and facilitator questions.</w:t>
            </w:r>
          </w:p>
        </w:tc>
        <w:tc>
          <w:tcPr>
            <w:tcW w:w="4392" w:type="dxa"/>
            <w:shd w:val="clear" w:color="auto" w:fill="F7FBFF"/>
            <w:vAlign w:val="top"/>
          </w:tcPr>
          <w:p w14:paraId="24CC4EC0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Useful for youth/everyday-life virtue cases. Check permission before public release.</w:t>
            </w:r>
          </w:p>
        </w:tc>
      </w:tr>
    </w:tbl>
    <w:p w14:paraId="28AB8357"/>
    <w:p w14:paraId="20C4A589">
      <w:pPr>
        <w:pStyle w:val="2"/>
      </w:pPr>
      <w:r>
        <w:t>2. Existing benchmarks — comparator only</w:t>
      </w:r>
    </w:p>
    <w:p w14:paraId="30D39C3A">
      <w:pPr>
        <w:spacing w:after="100"/>
      </w:pPr>
      <w:r>
        <w:t>Use these for baseline comparison, schema inspiration, or stress testing. They should not be the main novelty claim.</w:t>
      </w:r>
    </w:p>
    <w:tbl>
      <w:tblPr>
        <w:tblStyle w:val="35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800"/>
        <w:gridCol w:w="1944"/>
        <w:gridCol w:w="4392"/>
        <w:gridCol w:w="4392"/>
      </w:tblGrid>
      <w:tr w14:paraId="7149784E">
        <w:trPr>
          <w:tblHeader/>
          <w:jc w:val="center"/>
        </w:trPr>
        <w:tc>
          <w:tcPr>
            <w:tcW w:w="2232" w:type="dxa"/>
            <w:shd w:val="clear" w:color="auto" w:fill="404040"/>
            <w:vAlign w:val="top"/>
          </w:tcPr>
          <w:p w14:paraId="7A3433C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w="1800" w:type="dxa"/>
            <w:shd w:val="clear" w:color="auto" w:fill="404040"/>
            <w:vAlign w:val="top"/>
          </w:tcPr>
          <w:p w14:paraId="03D6BF27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w="1944" w:type="dxa"/>
            <w:shd w:val="clear" w:color="auto" w:fill="404040"/>
            <w:vAlign w:val="top"/>
          </w:tcPr>
          <w:p w14:paraId="369417D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Benchmark status</w:t>
            </w:r>
          </w:p>
        </w:tc>
        <w:tc>
          <w:tcPr>
            <w:tcW w:w="4392" w:type="dxa"/>
            <w:shd w:val="clear" w:color="auto" w:fill="404040"/>
            <w:vAlign w:val="top"/>
          </w:tcPr>
          <w:p w14:paraId="17C0990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Why useful</w:t>
            </w:r>
          </w:p>
        </w:tc>
        <w:tc>
          <w:tcPr>
            <w:tcW w:w="4392" w:type="dxa"/>
            <w:shd w:val="clear" w:color="auto" w:fill="404040"/>
            <w:vAlign w:val="top"/>
          </w:tcPr>
          <w:p w14:paraId="3735A81C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How to convert</w:t>
            </w:r>
          </w:p>
        </w:tc>
      </w:tr>
      <w:tr w14:paraId="1DF0F331">
        <w:trPr>
          <w:jc w:val="center"/>
        </w:trPr>
        <w:tc>
          <w:tcPr>
            <w:tcW w:w="2232" w:type="dxa"/>
            <w:vAlign w:val="top"/>
          </w:tcPr>
          <w:p w14:paraId="2208E3C2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"https://huggingface.co/datasets/kellycyy/daily_dilemmas"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DailyDilemmas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7D7026B8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Dataset + evaluation setup</w:t>
            </w:r>
          </w:p>
        </w:tc>
        <w:tc>
          <w:tcPr>
            <w:tcW w:w="1944" w:type="dxa"/>
            <w:vAlign w:val="top"/>
          </w:tcPr>
          <w:p w14:paraId="2297448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Partial benchmark</w:t>
            </w:r>
          </w:p>
        </w:tc>
        <w:tc>
          <w:tcPr>
            <w:tcW w:w="4392" w:type="dxa"/>
            <w:vAlign w:val="top"/>
          </w:tcPr>
          <w:p w14:paraId="5414769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1,360 everyday dilemmas. Each item includes two actions, affected parties, and values. The paper already uses Aristotle’s Virtues as one lens.</w:t>
            </w:r>
          </w:p>
        </w:tc>
        <w:tc>
          <w:tcPr>
            <w:tcW w:w="4392" w:type="dxa"/>
            <w:vAlign w:val="top"/>
          </w:tcPr>
          <w:p w14:paraId="0891EF3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Can be extended, but it is not the cleanest new contribution. Best as a comparator or schema inspiration.</w:t>
            </w:r>
          </w:p>
        </w:tc>
      </w:tr>
      <w:tr w14:paraId="6C8F11DE">
        <w:trPr>
          <w:jc w:val="center"/>
        </w:trPr>
        <w:tc>
          <w:tcPr>
            <w:tcW w:w="2232" w:type="dxa"/>
            <w:vAlign w:val="top"/>
          </w:tcPr>
          <w:p w14:paraId="37FAE51E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"https://github.com/hendrycks/ethics"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ETHICS — Virtue split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1546570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Benchmark dataset</w:t>
            </w:r>
          </w:p>
        </w:tc>
        <w:tc>
          <w:tcPr>
            <w:tcW w:w="1944" w:type="dxa"/>
            <w:vAlign w:val="top"/>
          </w:tcPr>
          <w:p w14:paraId="635C6CF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Already a benchmark</w:t>
            </w:r>
          </w:p>
        </w:tc>
        <w:tc>
          <w:tcPr>
            <w:tcW w:w="4392" w:type="dxa"/>
            <w:vAlign w:val="top"/>
          </w:tcPr>
          <w:p w14:paraId="482ACB6E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Covers virtues, justice, deontology, utilitarianism, and commonsense morality.</w:t>
            </w:r>
          </w:p>
        </w:tc>
        <w:tc>
          <w:tcPr>
            <w:tcW w:w="4392" w:type="dxa"/>
            <w:vAlign w:val="top"/>
          </w:tcPr>
          <w:p w14:paraId="4BA7043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as a baseline. Limited novelty if used as the main dataset.</w:t>
            </w:r>
          </w:p>
        </w:tc>
      </w:tr>
      <w:tr w14:paraId="465A3D73">
        <w:trPr>
          <w:jc w:val="center"/>
        </w:trPr>
        <w:tc>
          <w:tcPr>
            <w:tcW w:w="2232" w:type="dxa"/>
            <w:vAlign w:val="top"/>
          </w:tcPr>
          <w:p w14:paraId="38CE542C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"https://morebench.github.io/"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MoReBench / MoReBench-Theory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7C6B08D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Benchmark dataset</w:t>
            </w:r>
          </w:p>
        </w:tc>
        <w:tc>
          <w:tcPr>
            <w:tcW w:w="1944" w:type="dxa"/>
            <w:vAlign w:val="top"/>
          </w:tcPr>
          <w:p w14:paraId="16D5958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Already a benchmark</w:t>
            </w:r>
          </w:p>
        </w:tc>
        <w:tc>
          <w:tcPr>
            <w:tcW w:w="4392" w:type="dxa"/>
            <w:vAlign w:val="top"/>
          </w:tcPr>
          <w:p w14:paraId="3E6B40B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Includes an Aristotelian Virtue Ethics rubric. Focuses on moral considerations, trade-offs, and actionable recommendations.</w:t>
            </w:r>
          </w:p>
        </w:tc>
        <w:tc>
          <w:tcPr>
            <w:tcW w:w="4392" w:type="dxa"/>
            <w:vAlign w:val="top"/>
          </w:tcPr>
          <w:p w14:paraId="14894E67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for rubric design. Not ideal as the main innovation.</w:t>
            </w:r>
          </w:p>
        </w:tc>
      </w:tr>
      <w:tr w14:paraId="65B46EAB">
        <w:trPr>
          <w:jc w:val="center"/>
        </w:trPr>
        <w:tc>
          <w:tcPr>
            <w:tcW w:w="2232" w:type="dxa"/>
            <w:vAlign w:val="top"/>
          </w:tcPr>
          <w:p w14:paraId="5FC64C8E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"https://github.com/LLM-Ethics/EthicsSuite"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EthicsSuite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2D56907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test suite</w:t>
            </w:r>
          </w:p>
        </w:tc>
        <w:tc>
          <w:tcPr>
            <w:tcW w:w="1944" w:type="dxa"/>
            <w:vAlign w:val="top"/>
          </w:tcPr>
          <w:p w14:paraId="5392156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Already benchmark-like</w:t>
            </w:r>
          </w:p>
        </w:tc>
        <w:tc>
          <w:tcPr>
            <w:tcW w:w="4392" w:type="dxa"/>
            <w:vAlign w:val="top"/>
          </w:tcPr>
          <w:p w14:paraId="3A2C105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Covers five ethical categories including virtue ethics. Built by expanding ETHICS seed cases into contextualized situations.</w:t>
            </w:r>
          </w:p>
        </w:tc>
        <w:tc>
          <w:tcPr>
            <w:tcW w:w="4392" w:type="dxa"/>
            <w:vAlign w:val="top"/>
          </w:tcPr>
          <w:p w14:paraId="25E9C158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Useful as a stress-test baseline. Not recommended as the main data source.</w:t>
            </w:r>
          </w:p>
        </w:tc>
      </w:tr>
    </w:tbl>
    <w:p w14:paraId="5FFA1BFD"/>
    <w:p w14:paraId="4D90D95C">
      <w:pPr>
        <w:pStyle w:val="2"/>
      </w:pPr>
      <w:r>
        <w:t>3. Aristotle / virtue Q&amp;A sources — topic seed only</w:t>
      </w:r>
    </w:p>
    <w:p w14:paraId="1F32D68C">
      <w:pPr>
        <w:spacing w:after="100"/>
      </w:pPr>
      <w:r>
        <w:t>These are useful for conceptual edge cases. They are weaker for a bottom-up benchmark because most items are theory questions, not lived moral decisions.</w:t>
      </w:r>
    </w:p>
    <w:tbl>
      <w:tblPr>
        <w:tblStyle w:val="35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800"/>
        <w:gridCol w:w="1944"/>
        <w:gridCol w:w="4392"/>
        <w:gridCol w:w="4392"/>
      </w:tblGrid>
      <w:tr w14:paraId="511CB90D">
        <w:trPr>
          <w:tblHeader/>
          <w:jc w:val="center"/>
        </w:trPr>
        <w:tc>
          <w:tcPr>
            <w:tcW w:w="2232" w:type="dxa"/>
            <w:shd w:val="clear" w:color="auto" w:fill="404040"/>
            <w:vAlign w:val="top"/>
          </w:tcPr>
          <w:p w14:paraId="14EE08C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w="1800" w:type="dxa"/>
            <w:shd w:val="clear" w:color="auto" w:fill="404040"/>
            <w:vAlign w:val="top"/>
          </w:tcPr>
          <w:p w14:paraId="3177AF3A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w="1944" w:type="dxa"/>
            <w:shd w:val="clear" w:color="auto" w:fill="404040"/>
            <w:vAlign w:val="top"/>
          </w:tcPr>
          <w:p w14:paraId="7503EB2A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Benchmark status</w:t>
            </w:r>
          </w:p>
        </w:tc>
        <w:tc>
          <w:tcPr>
            <w:tcW w:w="4392" w:type="dxa"/>
            <w:shd w:val="clear" w:color="auto" w:fill="404040"/>
            <w:vAlign w:val="top"/>
          </w:tcPr>
          <w:p w14:paraId="14C9055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Why useful</w:t>
            </w:r>
          </w:p>
        </w:tc>
        <w:tc>
          <w:tcPr>
            <w:tcW w:w="4392" w:type="dxa"/>
            <w:shd w:val="clear" w:color="auto" w:fill="404040"/>
            <w:vAlign w:val="top"/>
          </w:tcPr>
          <w:p w14:paraId="740D567F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How to convert</w:t>
            </w:r>
          </w:p>
        </w:tc>
      </w:tr>
      <w:tr w14:paraId="65B6C503">
        <w:trPr>
          <w:jc w:val="center"/>
        </w:trPr>
        <w:tc>
          <w:tcPr>
            <w:tcW w:w="2232" w:type="dxa"/>
            <w:vAlign w:val="top"/>
          </w:tcPr>
          <w:p w14:paraId="3E6183E2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"https://philosophy.stackexchange.com/questions/tagged/virtue-ethics"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Philosophy StackExchange — virtue-ethics tag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61721B7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Q&amp;A site</w:t>
            </w:r>
          </w:p>
        </w:tc>
        <w:tc>
          <w:tcPr>
            <w:tcW w:w="1944" w:type="dxa"/>
            <w:vAlign w:val="top"/>
          </w:tcPr>
          <w:p w14:paraId="75947928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CC BY-SA / data dump available; current dump access has restrictions</w:t>
            </w:r>
          </w:p>
        </w:tc>
        <w:tc>
          <w:tcPr>
            <w:tcW w:w="4392" w:type="dxa"/>
            <w:vAlign w:val="top"/>
          </w:tcPr>
          <w:p w14:paraId="7C9CE0C8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Mostly theory questions, not life advice. Useful for edge cases around conflicting virtues, doctrine of the mean, phronesis, and responsibility.</w:t>
            </w:r>
          </w:p>
        </w:tc>
        <w:tc>
          <w:tcPr>
            <w:tcW w:w="4392" w:type="dxa"/>
            <w:vAlign w:val="top"/>
          </w:tcPr>
          <w:p w14:paraId="4B779DD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only for topic discovery or hard conceptual probes. Do not make it the main bottom-up corpus.</w:t>
            </w:r>
          </w:p>
        </w:tc>
      </w:tr>
      <w:tr w14:paraId="2E1E37EE">
        <w:trPr>
          <w:jc w:val="center"/>
        </w:trPr>
        <w:tc>
          <w:tcPr>
            <w:tcW w:w="2232" w:type="dxa"/>
            <w:vAlign w:val="top"/>
          </w:tcPr>
          <w:p w14:paraId="0EBD81DE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"https://philosophy.stackexchange.com/questions/tagged/aristotle"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Philosophy StackExchange — aristotle tag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04B8359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Q&amp;A site</w:t>
            </w:r>
          </w:p>
        </w:tc>
        <w:tc>
          <w:tcPr>
            <w:tcW w:w="1944" w:type="dxa"/>
            <w:vAlign w:val="top"/>
          </w:tcPr>
          <w:p w14:paraId="4E5D855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CC BY-SA / data dump available; current dump access has restrictions</w:t>
            </w:r>
          </w:p>
        </w:tc>
        <w:tc>
          <w:tcPr>
            <w:tcW w:w="4392" w:type="dxa"/>
            <w:vAlign w:val="top"/>
          </w:tcPr>
          <w:p w14:paraId="1B56D50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Large Aristotle Q&amp;A pool. Mostly interpretive or theoretical.</w:t>
            </w:r>
          </w:p>
        </w:tc>
        <w:tc>
          <w:tcPr>
            <w:tcW w:w="4392" w:type="dxa"/>
            <w:vAlign w:val="top"/>
          </w:tcPr>
          <w:p w14:paraId="043E4CD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to identify common confusion patterns. It does not contain enough lived moral situations.</w:t>
            </w:r>
          </w:p>
        </w:tc>
      </w:tr>
      <w:tr w14:paraId="6AE608E7">
        <w:trPr>
          <w:jc w:val="center"/>
        </w:trPr>
        <w:tc>
          <w:tcPr>
            <w:tcW w:w="2232" w:type="dxa"/>
            <w:vAlign w:val="top"/>
          </w:tcPr>
          <w:p w14:paraId="52951EE8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"https://askaphilosopher.org/index/"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Ask A Philosopher / AskPhilosophers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5788637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Q&amp;A sites</w:t>
            </w:r>
          </w:p>
        </w:tc>
        <w:tc>
          <w:tcPr>
            <w:tcW w:w="1944" w:type="dxa"/>
            <w:vAlign w:val="top"/>
          </w:tcPr>
          <w:p w14:paraId="1B2134C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License unclear</w:t>
            </w:r>
          </w:p>
        </w:tc>
        <w:tc>
          <w:tcPr>
            <w:tcW w:w="4392" w:type="dxa"/>
            <w:vAlign w:val="top"/>
          </w:tcPr>
          <w:p w14:paraId="5144E73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Some ethics questions, but most content is explanatory philosophy Q&amp;A.</w:t>
            </w:r>
          </w:p>
        </w:tc>
        <w:tc>
          <w:tcPr>
            <w:tcW w:w="4392" w:type="dxa"/>
            <w:vAlign w:val="top"/>
          </w:tcPr>
          <w:p w14:paraId="290C996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 not scrape for public release without permission. Useful for topic discovery only.</w:t>
            </w:r>
          </w:p>
        </w:tc>
      </w:tr>
    </w:tbl>
    <w:p w14:paraId="3F8D6A37"/>
    <w:p w14:paraId="3845E06B">
      <w:pPr>
        <w:pStyle w:val="2"/>
      </w:pPr>
      <w:r>
        <w:t>4. Rubric and annotation sources — not main data</w:t>
      </w:r>
    </w:p>
    <w:p w14:paraId="49924FF5">
      <w:pPr>
        <w:spacing w:after="100"/>
      </w:pPr>
      <w:r>
        <w:t>Use these to define virtues, phronesis, and judge rubrics. They should guide annotation, not become the benchmark corpus.</w:t>
      </w:r>
    </w:p>
    <w:tbl>
      <w:tblPr>
        <w:tblStyle w:val="35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800"/>
        <w:gridCol w:w="1944"/>
        <w:gridCol w:w="4392"/>
        <w:gridCol w:w="4392"/>
      </w:tblGrid>
      <w:tr w14:paraId="2EB22176">
        <w:trPr>
          <w:tblHeader/>
          <w:jc w:val="center"/>
        </w:trPr>
        <w:tc>
          <w:tcPr>
            <w:tcW w:w="2232" w:type="dxa"/>
            <w:shd w:val="clear" w:color="auto" w:fill="404040"/>
            <w:vAlign w:val="top"/>
          </w:tcPr>
          <w:p w14:paraId="2642B89A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w="1800" w:type="dxa"/>
            <w:shd w:val="clear" w:color="auto" w:fill="404040"/>
            <w:vAlign w:val="top"/>
          </w:tcPr>
          <w:p w14:paraId="45564154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w="1944" w:type="dxa"/>
            <w:shd w:val="clear" w:color="auto" w:fill="404040"/>
            <w:vAlign w:val="top"/>
          </w:tcPr>
          <w:p w14:paraId="4E40FE24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Benchmark status</w:t>
            </w:r>
          </w:p>
        </w:tc>
        <w:tc>
          <w:tcPr>
            <w:tcW w:w="4392" w:type="dxa"/>
            <w:shd w:val="clear" w:color="auto" w:fill="404040"/>
            <w:vAlign w:val="top"/>
          </w:tcPr>
          <w:p w14:paraId="33F041C4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Why useful</w:t>
            </w:r>
          </w:p>
        </w:tc>
        <w:tc>
          <w:tcPr>
            <w:tcW w:w="4392" w:type="dxa"/>
            <w:shd w:val="clear" w:color="auto" w:fill="404040"/>
            <w:vAlign w:val="top"/>
          </w:tcPr>
          <w:p w14:paraId="5E5236C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How to convert</w:t>
            </w:r>
          </w:p>
        </w:tc>
      </w:tr>
      <w:tr w14:paraId="62019ABB">
        <w:trPr>
          <w:jc w:val="center"/>
        </w:trPr>
        <w:tc>
          <w:tcPr>
            <w:tcW w:w="2232" w:type="dxa"/>
            <w:vAlign w:val="top"/>
          </w:tcPr>
          <w:p w14:paraId="7C3F0B30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"https://www.jubileecentre.ac.uk/online-course/2-5-ethical-dilemmas/"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Jubilee Centre — Ethical Dilemmas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6529513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Teaching / rubric material</w:t>
            </w:r>
          </w:p>
        </w:tc>
        <w:tc>
          <w:tcPr>
            <w:tcW w:w="1944" w:type="dxa"/>
            <w:vAlign w:val="top"/>
          </w:tcPr>
          <w:p w14:paraId="1FAAD50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dataset</w:t>
            </w:r>
          </w:p>
        </w:tc>
        <w:tc>
          <w:tcPr>
            <w:tcW w:w="4392" w:type="dxa"/>
            <w:vAlign w:val="top"/>
          </w:tcPr>
          <w:p w14:paraId="173AC3F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Uses virtue ethics and practical wisdom to analyze dilemmas.</w:t>
            </w:r>
          </w:p>
        </w:tc>
        <w:tc>
          <w:tcPr>
            <w:tcW w:w="4392" w:type="dxa"/>
            <w:vAlign w:val="top"/>
          </w:tcPr>
          <w:p w14:paraId="5D44FB2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Useful for annotation guidelines: conflicting virtues, priority, and phronesis.</w:t>
            </w:r>
          </w:p>
        </w:tc>
      </w:tr>
      <w:tr w14:paraId="0A479392">
        <w:trPr>
          <w:jc w:val="center"/>
        </w:trPr>
        <w:tc>
          <w:tcPr>
            <w:tcW w:w="2232" w:type="dxa"/>
            <w:vAlign w:val="top"/>
          </w:tcPr>
          <w:p w14:paraId="0328DAB9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"https://journals.plos.org/plosone/article?id=10.1371%2Fjournal.pone.0317842"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Short Phronesis Measure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060ABC7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Measurement scale</w:t>
            </w:r>
          </w:p>
        </w:tc>
        <w:tc>
          <w:tcPr>
            <w:tcW w:w="1944" w:type="dxa"/>
            <w:vAlign w:val="top"/>
          </w:tcPr>
          <w:p w14:paraId="54C2AAD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dataset</w:t>
            </w:r>
          </w:p>
        </w:tc>
        <w:tc>
          <w:tcPr>
            <w:tcW w:w="4392" w:type="dxa"/>
            <w:vAlign w:val="top"/>
          </w:tcPr>
          <w:p w14:paraId="31B58510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Operationalizes Aristotelian practical wisdom as measurable dimensions.</w:t>
            </w:r>
          </w:p>
        </w:tc>
        <w:tc>
          <w:tcPr>
            <w:tcW w:w="4392" w:type="dxa"/>
            <w:vAlign w:val="top"/>
          </w:tcPr>
          <w:p w14:paraId="76BB6E4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Convert into judge-rubric dimensions: perspective-taking, emotion regulation, intellectual humility, and contextual judgment.</w:t>
            </w:r>
          </w:p>
        </w:tc>
      </w:tr>
      <w:tr w14:paraId="23236FCD">
        <w:trPr>
          <w:jc w:val="center"/>
        </w:trPr>
        <w:tc>
          <w:tcPr>
            <w:tcW w:w="2232" w:type="dxa"/>
            <w:vAlign w:val="top"/>
          </w:tcPr>
          <w:p w14:paraId="6969F8E9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"https://www.virtuesmatter.org/"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The Virtues Project / Virtues Matter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5FD72B3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Virtue taxonomy / reflection prompts</w:t>
            </w:r>
          </w:p>
        </w:tc>
        <w:tc>
          <w:tcPr>
            <w:tcW w:w="1944" w:type="dxa"/>
            <w:vAlign w:val="top"/>
          </w:tcPr>
          <w:p w14:paraId="62D9179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a dataset</w:t>
            </w:r>
          </w:p>
        </w:tc>
        <w:tc>
          <w:tcPr>
            <w:tcW w:w="4392" w:type="dxa"/>
            <w:vAlign w:val="top"/>
          </w:tcPr>
          <w:p w14:paraId="203FA0B7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Provides everyday language for virtue practice. It is not Aristotle-specific.</w:t>
            </w:r>
          </w:p>
        </w:tc>
        <w:tc>
          <w:tcPr>
            <w:tcW w:w="4392" w:type="dxa"/>
            <w:vAlign w:val="top"/>
          </w:tcPr>
          <w:p w14:paraId="08E42FF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only to expand the virtue label set. Do not treat it as a gold source.</w:t>
            </w:r>
          </w:p>
        </w:tc>
      </w:tr>
      <w:tr w14:paraId="5F6B2EA3">
        <w:trPr>
          <w:jc w:val="center"/>
        </w:trPr>
        <w:tc>
          <w:tcPr>
            <w:tcW w:w="2232" w:type="dxa"/>
            <w:vAlign w:val="top"/>
          </w:tcPr>
          <w:p w14:paraId="06D4C4BC">
            <w:pPr>
              <w:spacing w:after="0" w:line="240" w:lineRule="auto"/>
              <w:jc w:val="left"/>
            </w:pPr>
            <w:r>
              <w:fldChar w:fldCharType="begin"/>
            </w:r>
            <w:r>
              <w:instrText xml:space="preserve"> HYPERLINK "https://www.gutenberg.org/ebooks/8438"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Nicomachean Ethics public-domain texts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1800" w:type="dxa"/>
            <w:vAlign w:val="top"/>
          </w:tcPr>
          <w:p w14:paraId="25C3CFE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Primary text</w:t>
            </w:r>
          </w:p>
        </w:tc>
        <w:tc>
          <w:tcPr>
            <w:tcW w:w="1944" w:type="dxa"/>
            <w:vAlign w:val="top"/>
          </w:tcPr>
          <w:p w14:paraId="631FB97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Not bottom-up data</w:t>
            </w:r>
          </w:p>
        </w:tc>
        <w:tc>
          <w:tcPr>
            <w:tcW w:w="4392" w:type="dxa"/>
            <w:vAlign w:val="top"/>
          </w:tcPr>
          <w:p w14:paraId="694A0AC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The theoretical base for virtue, mean, character, friendship, phronesis, and eudaimonia.</w:t>
            </w:r>
          </w:p>
        </w:tc>
        <w:tc>
          <w:tcPr>
            <w:tcW w:w="4392" w:type="dxa"/>
            <w:vAlign w:val="top"/>
          </w:tcPr>
          <w:p w14:paraId="268F7C2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Use only to define the rubric. Do not use it as the main dataset.</w:t>
            </w:r>
          </w:p>
        </w:tc>
      </w:tr>
    </w:tbl>
    <w:p w14:paraId="109CA249"/>
    <w:p w14:paraId="14859069">
      <w:pPr>
        <w:pStyle w:val="2"/>
      </w:pPr>
      <w:r>
        <w:t>5. Recommended first build</w:t>
      </w:r>
    </w:p>
    <w:tbl>
      <w:tblPr>
        <w:tblStyle w:val="35"/>
        <w:tblW w:w="0" w:type="auto"/>
        <w:jc w:val="center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5"/>
        <w:gridCol w:w="9225"/>
      </w:tblGrid>
      <w:tr w14:paraId="07509E0B">
        <w:trPr>
          <w:jc w:val="center"/>
        </w:trPr>
        <w:tc>
          <w:tcPr>
            <w:tcW w:w="7272" w:type="dxa"/>
            <w:shd w:val="clear" w:color="auto" w:fill="1F4E79"/>
            <w:vAlign w:val="top"/>
          </w:tcPr>
          <w:p w14:paraId="70B66B8A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w="7272" w:type="dxa"/>
            <w:shd w:val="clear" w:color="auto" w:fill="1F4E79"/>
            <w:vAlign w:val="top"/>
          </w:tcPr>
          <w:p w14:paraId="2307965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Recommendation</w:t>
            </w:r>
          </w:p>
        </w:tc>
      </w:tr>
      <w:tr w14:paraId="5FDAE211">
        <w:trPr>
          <w:jc w:val="center"/>
        </w:trPr>
        <w:tc>
          <w:tcPr>
            <w:tcW w:w="2880" w:type="dxa"/>
            <w:vAlign w:val="top"/>
          </w:tcPr>
          <w:p w14:paraId="7A1DE248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Dataset backbone</w:t>
            </w:r>
          </w:p>
        </w:tc>
        <w:tc>
          <w:tcPr>
            <w:tcW w:w="12240" w:type="dxa"/>
            <w:vAlign w:val="top"/>
          </w:tcPr>
          <w:p w14:paraId="6840A91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Scruples + Moral Stories + NHSEB cases.</w:t>
            </w:r>
          </w:p>
        </w:tc>
      </w:tr>
      <w:tr w14:paraId="1E5B6C42">
        <w:trPr>
          <w:jc w:val="center"/>
        </w:trPr>
        <w:tc>
          <w:tcPr>
            <w:tcW w:w="2880" w:type="dxa"/>
            <w:vAlign w:val="top"/>
          </w:tcPr>
          <w:p w14:paraId="72A5BE43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Novelty claim</w:t>
            </w:r>
          </w:p>
        </w:tc>
        <w:tc>
          <w:tcPr>
            <w:tcW w:w="12240" w:type="dxa"/>
            <w:vAlign w:val="top"/>
          </w:tcPr>
          <w:p w14:paraId="238A8C1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 not claim a generic new ethics benchmark. Claim a bottom-up Aristotelian virtue ethics benchmark focused on phronesis and character judgment.</w:t>
            </w:r>
          </w:p>
        </w:tc>
      </w:tr>
      <w:tr w14:paraId="3E6613C9">
        <w:trPr>
          <w:jc w:val="center"/>
        </w:trPr>
        <w:tc>
          <w:tcPr>
            <w:tcW w:w="2880" w:type="dxa"/>
            <w:vAlign w:val="top"/>
          </w:tcPr>
          <w:p w14:paraId="6D91FAFB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Task formats</w:t>
            </w:r>
          </w:p>
        </w:tc>
        <w:tc>
          <w:tcPr>
            <w:tcW w:w="12240" w:type="dxa"/>
            <w:vAlign w:val="top"/>
          </w:tcPr>
          <w:p w14:paraId="5948DFA0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MCQ action choice; pairwise response preference; open-ended advice scored by virtue rubric; conflict-of-virtues explanation.</w:t>
            </w:r>
          </w:p>
        </w:tc>
      </w:tr>
      <w:tr w14:paraId="22024EF0">
        <w:trPr>
          <w:jc w:val="center"/>
        </w:trPr>
        <w:tc>
          <w:tcPr>
            <w:tcW w:w="2880" w:type="dxa"/>
            <w:vAlign w:val="top"/>
          </w:tcPr>
          <w:p w14:paraId="5BBF34B6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Core labels</w:t>
            </w:r>
          </w:p>
        </w:tc>
        <w:tc>
          <w:tcPr>
            <w:tcW w:w="12240" w:type="dxa"/>
            <w:vAlign w:val="top"/>
          </w:tcPr>
          <w:p w14:paraId="3E82314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Virtue shown; vice shown; missing virtue; excessive/deficient response; phronesis quality; affected parties; harm sensitivity.</w:t>
            </w:r>
          </w:p>
        </w:tc>
      </w:tr>
      <w:tr w14:paraId="0C883A03">
        <w:trPr>
          <w:jc w:val="center"/>
        </w:trPr>
        <w:tc>
          <w:tcPr>
            <w:tcW w:w="2880" w:type="dxa"/>
            <w:vAlign w:val="top"/>
          </w:tcPr>
          <w:p w14:paraId="2F437351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Baseline comparison</w:t>
            </w:r>
          </w:p>
        </w:tc>
        <w:tc>
          <w:tcPr>
            <w:tcW w:w="12240" w:type="dxa"/>
            <w:vAlign w:val="top"/>
          </w:tcPr>
          <w:p w14:paraId="0D96C38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ETHICS virtue split; DailyDilemmas; MoReBench-Theory Aristotelian rubric.</w:t>
            </w:r>
          </w:p>
        </w:tc>
      </w:tr>
    </w:tbl>
    <w:p w14:paraId="21219416">
      <w:pPr>
        <w:spacing w:before="160" w:after="40"/>
      </w:pPr>
      <w:r>
        <w:rPr>
          <w:rFonts w:ascii="Arial" w:hAnsi="Arial"/>
          <w:b/>
          <w:sz w:val="20"/>
        </w:rPr>
        <w:t xml:space="preserve">Bottom line: </w:t>
      </w:r>
      <w:r>
        <w:rPr>
          <w:rFonts w:ascii="Arial" w:hAnsi="Arial"/>
          <w:sz w:val="20"/>
        </w:rPr>
        <w:t>The most valuable direction is to reorganize practical moral cases into a virtue judgment / practical wisdom benchmark. There are many usable sources, but there is still room for a benchmark centered on Aristotelian virtue ethics and built from bottom-up life situations.</w:t>
      </w:r>
    </w:p>
    <w:p w14:paraId="022AEEEE">
      <w:pPr>
        <w:jc w:val="right"/>
      </w:pPr>
      <w:r>
        <w:rPr>
          <w:rFonts w:ascii="Arial" w:hAnsi="Arial"/>
          <w:i/>
          <w:color w:val="646464"/>
          <w:sz w:val="16"/>
        </w:rPr>
        <w:t>Prepared May 14, 2026 | Bottom-up Virtue Ethics Source Scan</w:t>
      </w:r>
    </w:p>
    <w:sectPr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DDEF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04040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Hanzhen Zhu</cp:lastModifiedBy>
  <dcterms:modified xsi:type="dcterms:W3CDTF">2026-05-14T20:03:20Z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6B7CF76F02C3B951C862066A0CA1CC94_42</vt:lpwstr>
  </property>
</Properties>
</file>