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VALUE 模型方法学</w:t>
      </w:r>
    </w:p>
    <w:p>
      <w:pPr>
        <w:pStyle w:val="Subtitle"/>
      </w:pPr>
      <w:r>
        <w:t>数学设定  计算方法  输入数据</w:t>
      </w:r>
    </w:p>
    <w:p>
      <w:r>
        <w:t>修订版 0.4.1   2026年10月9日</w:t>
        <w:br/>
        <w:t>VALUE 0.7.0-alpha.1 · 模型实现与数据依据 2026年10月9日</w:t>
      </w:r>
    </w:p>
    <w:p>
      <w:pPr>
        <w:pStyle w:val="Heading2"/>
      </w:pPr>
      <w:r>
        <w:t>目录</w:t>
      </w:r>
    </w:p>
    <w:p>
      <w:r>
        <w:t>1 模型框架</w:t>
      </w:r>
    </w:p>
    <w:p>
      <w:r>
        <w:t>2 初始数据与输入处理</w:t>
      </w:r>
    </w:p>
    <w:p>
      <w:r>
        <w:t>3 天气与可用出力</w:t>
      </w:r>
    </w:p>
    <w:p>
      <w:r>
        <w:t>4 运行与年度反馈</w:t>
      </w:r>
    </w:p>
    <w:p>
      <w:r>
        <w:t>5 全国调度算法</w:t>
      </w:r>
    </w:p>
    <w:p>
      <w:r>
        <w:t>6 实验性年度账户与投资</w:t>
      </w:r>
    </w:p>
    <w:p>
      <w:r>
        <w:t>7 传输与网络约束</w:t>
      </w:r>
    </w:p>
    <w:p>
      <w:r>
        <w:t>8 完全预见调度与天然水文</w:t>
      </w:r>
    </w:p>
    <w:p>
      <w:r>
        <w:t>9 碳排放核算参数</w:t>
      </w:r>
    </w:p>
    <w:p>
      <w:r>
        <w:br w:type="page"/>
      </w:r>
    </w:p>
    <w:p>
      <w:pPr>
        <w:pStyle w:val="Heading1"/>
      </w:pPr>
      <w:r>
        <w:rPr>
          <w:b w:val="0"/>
          <w:i w:val="0"/>
        </w:rPr>
        <w:t>1 模型框架</w:t>
      </w:r>
    </w:p>
    <w:p>
      <w:r>
        <w:rPr>
          <w:b w:val="0"/>
          <w:i w:val="0"/>
        </w:rPr>
        <w:t>VALUE 将电力系统的逐期运行与年度资产演化连接起来。发电、储能和外部电力交换在给定需求与天气下参与市场出清，年度运行收入、成本及扩容余量随后进入投资与退役规则。模型输出包括发电与储能运行、未供电量、系统资源成本、碳排放、在役容量和建设项目。</w:t>
      </w:r>
    </w:p>
    <w:p>
      <w:pPr>
        <w:pStyle w:val="Heading2"/>
      </w:pPr>
      <w:r>
        <w:rPr>
          <w:b w:val="0"/>
          <w:i w:val="0"/>
        </w:rPr>
        <w:t>时间与空间表示</w:t>
      </w:r>
    </w:p>
    <w:p>
      <w:r>
        <w:rPr>
          <w:b w:val="0"/>
          <w:i w:val="0"/>
        </w:rPr>
        <w:t>VALUE 以 0.5 小时为运行步长，每个模型年固定为 365 天、17,520 期。时钟采用 UTC，2 月按 28 天排列。功率以 MW 表示，期间电量以 MWh 表示；期间电量等于功率乘以时段长度。投资决策在完整运行年之后更新。</w:t>
      </w:r>
    </w:p>
    <w:p>
      <w:r>
        <w:rPr>
          <w:b w:val="0"/>
          <w:i w:val="0"/>
        </w:rPr>
        <w:t>全国模型将大不列颠电力系统表示为一个供需节点，互联线以外部边界报价参与交换。分区模型进一步给定资源与需求的位置、区间通道容量及边界约束。网络数据中的区域映射、需求分配和容量共同确定所求解的空间系统，第 7 章给出约束与求解方法。</w:t>
      </w:r>
    </w:p>
    <w:p>
      <w:pPr>
        <w:pStyle w:val="Heading2"/>
      </w:pPr>
      <w:r>
        <w:rPr>
          <w:b w:val="0"/>
          <w:i w:val="0"/>
        </w:rPr>
        <w:t>方法学口径</w:t>
      </w:r>
    </w:p>
    <w:p>
      <w:r>
        <w:rPr>
          <w:b w:val="0"/>
          <w:i w:val="0"/>
        </w:rPr>
        <w:t xml:space="preserve">修正口径 </w:t>
      </w:r>
      <w:r>
        <w:rPr>
          <w:rFonts w:ascii="DejaVu Sans Mono" w:hAnsi="DejaVu Sans Mono"/>
          <w:b w:val="0"/>
          <w:i w:val="0"/>
          <w:sz w:val="17"/>
        </w:rPr>
        <w:t>value-corrected</w:t>
      </w:r>
      <w:r>
        <w:rPr>
          <w:b w:val="0"/>
          <w:i w:val="0"/>
        </w:rPr>
        <w:t xml:space="preserve"> 是 VALUE 的默认设定，也是本文各章的主要描述对象。默认全国调度模块 </w:t>
      </w:r>
      <w:r>
        <w:rPr>
          <w:rFonts w:ascii="DejaVu Sans Mono" w:hAnsi="DejaVu Sans Mono"/>
          <w:b w:val="0"/>
          <w:i w:val="0"/>
          <w:sz w:val="17"/>
        </w:rPr>
        <w:t>value-bid-at-cost-psm</w:t>
      </w:r>
      <w:r>
        <w:rPr>
          <w:b w:val="0"/>
          <w:i w:val="0"/>
        </w:rPr>
        <w:t xml:space="preserve"> 使用 </w:t>
      </w:r>
      <w:r>
        <w:rPr>
          <w:rFonts w:ascii="DejaVu Sans Mono" w:hAnsi="DejaVu Sans Mono"/>
          <w:b w:val="0"/>
          <w:i w:val="0"/>
          <w:sz w:val="17"/>
        </w:rPr>
        <w:t>native-corrected-v1</w:t>
      </w:r>
      <w:r>
        <w:rPr>
          <w:b w:val="0"/>
          <w:i w:val="0"/>
        </w:rPr>
        <w:t xml:space="preserve"> 规则集；分阶段调度模块 </w:t>
      </w:r>
      <w:r>
        <w:rPr>
          <w:rFonts w:ascii="DejaVu Sans Mono" w:hAnsi="DejaVu Sans Mono"/>
          <w:b w:val="0"/>
          <w:i w:val="0"/>
          <w:sz w:val="17"/>
        </w:rPr>
        <w:t>value-staged-bid-at-cost-psm</w:t>
      </w:r>
      <w:r>
        <w:rPr>
          <w:b w:val="0"/>
          <w:i w:val="0"/>
        </w:rPr>
        <w:t xml:space="preserve"> 将全国计划与随后发生的平衡或分区再调度连接起来。两条运行路径的报价、结算和储能计算分别在第 4、5、7 章展开。</w:t>
      </w:r>
    </w:p>
    <w:p>
      <w:r>
        <w:rPr>
          <w:b w:val="0"/>
          <w:i w:val="0"/>
        </w:rPr>
        <w:t xml:space="preserve">论文复现口径 </w:t>
      </w:r>
      <w:r>
        <w:rPr>
          <w:rFonts w:ascii="DejaVu Sans Mono" w:hAnsi="DejaVu Sans Mono"/>
          <w:b w:val="0"/>
          <w:i w:val="0"/>
          <w:sz w:val="17"/>
        </w:rPr>
        <w:t>doctoral-lineage-0.6.0a2</w:t>
      </w:r>
      <w:r>
        <w:rPr>
          <w:b w:val="0"/>
          <w:i w:val="0"/>
        </w:rPr>
        <w:t xml:space="preserve"> 是保留 VALUE 0.6.0-alpha.2 所实现论文时期设定的兼容配置。它使用 </w:t>
      </w:r>
      <w:r>
        <w:rPr>
          <w:rFonts w:ascii="DejaVu Sans Mono" w:hAnsi="DejaVu Sans Mono"/>
          <w:b w:val="0"/>
          <w:i w:val="0"/>
          <w:sz w:val="17"/>
        </w:rPr>
        <w:t>native-doctoral-thesis-v1</w:t>
      </w:r>
      <w:r>
        <w:rPr>
          <w:b w:val="0"/>
          <w:i w:val="0"/>
        </w:rPr>
        <w:t xml:space="preserve"> 规则集，保留原有天气转换、下调顺序和储能定价。两个口径共同采用 UTC 需求与互联线对齐、声明列读取、火电净收入、每期单一储能净头寸、下调与必发盈余的单次记账，17,000 £/MWh 的已记录切负荷价值、包含物理运行成本的成本账 v2、验证报告，以及相同的缺口和已供电量定义。两个口径的内生提案均采用从数据包冻结的建设周期和地区成功率。各章在相关方程之后说明兼容口径的具体取值。</w:t>
      </w:r>
    </w:p>
    <w:p>
      <w:r>
        <w:rPr>
          <w:b w:val="0"/>
          <w:i w:val="0"/>
        </w:rPr>
        <w:t xml:space="preserve">实验性全国路径 </w:t>
      </w:r>
      <w:r>
        <w:rPr>
          <w:rFonts w:ascii="DejaVu Sans Mono" w:hAnsi="DejaVu Sans Mono"/>
          <w:b w:val="0"/>
          <w:i w:val="0"/>
          <w:sz w:val="17"/>
        </w:rPr>
        <w:t>value-doctoral-national-psm</w:t>
      </w:r>
      <w:r>
        <w:rPr>
          <w:b w:val="0"/>
          <w:i w:val="0"/>
        </w:rPr>
        <w:t xml:space="preserve"> 另行定义全国出清与年度核算接口。它提供固定年度调度与实验现金记录，整合年度 CEM 的就绪标记为 false。第 5、6 章分别给出其运行算法和独立年度辅助函数，口径选择与调度模块选择共同构成一次计算的方法身份。</w:t>
      </w:r>
    </w:p>
    <w:p>
      <w:r>
        <w:rPr>
          <w:b w:val="0"/>
          <w:i w:val="0"/>
        </w:rPr>
        <w:t>界面分别选择方法学口径与调度模块。下表将本文使用的名称对应到 Study 编辑器。</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5"/>
        <w:gridCol w:w="2668"/>
        <w:gridCol w:w="2668"/>
        <w:gridCol w:w="2771"/>
      </w:tblGrid>
      <w:tr>
        <w:trPr>
          <w:cantSplit/>
          <w:tblHeader w:val="true"/>
        </w:trPr>
        <w:tc>
          <w:tcPr>
            <w:tcW w:type="dxa" w:w="1685"/>
            <w:vAlign w:val="center"/>
            <w:tcMar>
              <w:top w:w="90" w:type="dxa"/>
              <w:left w:w="90" w:type="dxa"/>
              <w:bottom w:w="90" w:type="dxa"/>
              <w:right w:w="90" w:type="dxa"/>
            </w:tcMar>
            <w:shd w:fill="EEEEEE"/>
          </w:tcPr>
          <w:p>
            <w:pPr>
              <w:spacing w:after="40" w:line="276" w:lineRule="auto"/>
            </w:pPr>
            <w:r>
              <w:rPr>
                <w:b/>
                <w:i w:val="0"/>
                <w:sz w:val="18"/>
              </w:rPr>
              <w:t>正文名称</w:t>
            </w:r>
          </w:p>
        </w:tc>
        <w:tc>
          <w:tcPr>
            <w:tcW w:type="dxa" w:w="2668"/>
            <w:vAlign w:val="center"/>
            <w:tcMar>
              <w:top w:w="90" w:type="dxa"/>
              <w:left w:w="90" w:type="dxa"/>
              <w:bottom w:w="90" w:type="dxa"/>
              <w:right w:w="90" w:type="dxa"/>
            </w:tcMar>
            <w:shd w:fill="EEEEEE"/>
          </w:tcPr>
          <w:p>
            <w:pPr>
              <w:spacing w:after="40" w:line="276" w:lineRule="auto"/>
            </w:pPr>
            <w:r>
              <w:rPr>
                <w:b/>
                <w:i w:val="0"/>
                <w:sz w:val="18"/>
              </w:rPr>
              <w:t>英文界面标签</w:t>
            </w:r>
          </w:p>
        </w:tc>
        <w:tc>
          <w:tcPr>
            <w:tcW w:type="dxa" w:w="2668"/>
            <w:vAlign w:val="center"/>
            <w:tcMar>
              <w:top w:w="90" w:type="dxa"/>
              <w:left w:w="90" w:type="dxa"/>
              <w:bottom w:w="90" w:type="dxa"/>
              <w:right w:w="90" w:type="dxa"/>
            </w:tcMar>
            <w:shd w:fill="EEEEEE"/>
          </w:tcPr>
          <w:p>
            <w:pPr>
              <w:spacing w:after="40" w:line="276" w:lineRule="auto"/>
            </w:pPr>
            <w:r>
              <w:rPr>
                <w:b/>
                <w:i w:val="0"/>
                <w:sz w:val="18"/>
              </w:rPr>
              <w:t>中文界面标签</w:t>
            </w:r>
          </w:p>
        </w:tc>
        <w:tc>
          <w:tcPr>
            <w:tcW w:type="dxa" w:w="2771"/>
            <w:vAlign w:val="center"/>
            <w:tcMar>
              <w:top w:w="90" w:type="dxa"/>
              <w:left w:w="90" w:type="dxa"/>
              <w:bottom w:w="90" w:type="dxa"/>
              <w:right w:w="90" w:type="dxa"/>
            </w:tcMar>
            <w:shd w:fill="EEEEEE"/>
          </w:tcPr>
          <w:p>
            <w:pPr>
              <w:spacing w:after="40" w:line="276" w:lineRule="auto"/>
            </w:pPr>
            <w:r>
              <w:rPr>
                <w:b/>
                <w:i w:val="0"/>
                <w:sz w:val="18"/>
              </w:rPr>
              <w:t>模块或口径</w:t>
            </w:r>
          </w:p>
        </w:tc>
      </w:tr>
      <w:tr>
        <w:trPr>
          <w:cantSplit/>
        </w:trPr>
        <w:tc>
          <w:tcPr>
            <w:tcW w:type="dxa" w:w="1685"/>
            <w:vAlign w:val="center"/>
            <w:tcMar>
              <w:top w:w="90" w:type="dxa"/>
              <w:left w:w="90" w:type="dxa"/>
              <w:bottom w:w="90" w:type="dxa"/>
              <w:right w:w="90" w:type="dxa"/>
            </w:tcMar>
          </w:tcPr>
          <w:p>
            <w:pPr>
              <w:spacing w:after="40" w:line="276" w:lineRule="auto"/>
            </w:pPr>
            <w:r>
              <w:rPr>
                <w:b w:val="0"/>
                <w:i w:val="0"/>
                <w:sz w:val="18"/>
              </w:rPr>
              <w:t>修正口径</w:t>
            </w:r>
          </w:p>
        </w:tc>
        <w:tc>
          <w:tcPr>
            <w:tcW w:type="dxa" w:w="2668"/>
            <w:vAlign w:val="center"/>
            <w:tcMar>
              <w:top w:w="90" w:type="dxa"/>
              <w:left w:w="90" w:type="dxa"/>
              <w:bottom w:w="90" w:type="dxa"/>
              <w:right w:w="90" w:type="dxa"/>
            </w:tcMar>
          </w:tcPr>
          <w:p>
            <w:pPr>
              <w:spacing w:after="40" w:line="276" w:lineRule="auto"/>
            </w:pPr>
            <w:r>
              <w:rPr>
                <w:b w:val="0"/>
                <w:i w:val="0"/>
                <w:sz w:val="18"/>
              </w:rPr>
              <w:t>Corrected methodology (default)</w:t>
            </w:r>
          </w:p>
        </w:tc>
        <w:tc>
          <w:tcPr>
            <w:tcW w:type="dxa" w:w="2668"/>
            <w:vAlign w:val="center"/>
            <w:tcMar>
              <w:top w:w="90" w:type="dxa"/>
              <w:left w:w="90" w:type="dxa"/>
              <w:bottom w:w="90" w:type="dxa"/>
              <w:right w:w="90" w:type="dxa"/>
            </w:tcMar>
          </w:tcPr>
          <w:p>
            <w:pPr>
              <w:spacing w:after="40" w:line="276" w:lineRule="auto"/>
            </w:pPr>
            <w:r>
              <w:rPr>
                <w:b w:val="0"/>
                <w:i w:val="0"/>
                <w:sz w:val="18"/>
              </w:rPr>
              <w:t>修正口径（默认）</w:t>
            </w:r>
          </w:p>
        </w:tc>
        <w:tc>
          <w:tcPr>
            <w:tcW w:type="dxa" w:w="2771"/>
            <w:vAlign w:val="center"/>
            <w:tcMar>
              <w:top w:w="90" w:type="dxa"/>
              <w:left w:w="90" w:type="dxa"/>
              <w:bottom w:w="90" w:type="dxa"/>
              <w:right w:w="90" w:type="dxa"/>
            </w:tcMar>
          </w:tcPr>
          <w:p>
            <w:pPr>
              <w:spacing w:after="40" w:line="276" w:lineRule="auto"/>
            </w:pPr>
            <w:r>
              <w:rPr>
                <w:rFonts w:ascii="DejaVu Sans Mono" w:hAnsi="DejaVu Sans Mono"/>
                <w:b w:val="0"/>
                <w:i w:val="0"/>
                <w:sz w:val="18"/>
              </w:rPr>
              <w:t>value-corrected</w:t>
            </w:r>
          </w:p>
        </w:tc>
      </w:tr>
      <w:tr>
        <w:trPr>
          <w:cantSplit/>
        </w:trPr>
        <w:tc>
          <w:tcPr>
            <w:tcW w:type="dxa" w:w="1685"/>
            <w:vAlign w:val="center"/>
            <w:tcMar>
              <w:top w:w="90" w:type="dxa"/>
              <w:left w:w="90" w:type="dxa"/>
              <w:bottom w:w="90" w:type="dxa"/>
              <w:right w:w="90" w:type="dxa"/>
            </w:tcMar>
          </w:tcPr>
          <w:p>
            <w:pPr>
              <w:spacing w:after="40" w:line="276" w:lineRule="auto"/>
            </w:pPr>
            <w:r>
              <w:rPr>
                <w:b w:val="0"/>
                <w:i w:val="0"/>
                <w:sz w:val="18"/>
              </w:rPr>
              <w:t>兼容口径</w:t>
            </w:r>
          </w:p>
        </w:tc>
        <w:tc>
          <w:tcPr>
            <w:tcW w:type="dxa" w:w="2668"/>
            <w:vAlign w:val="center"/>
            <w:tcMar>
              <w:top w:w="90" w:type="dxa"/>
              <w:left w:w="90" w:type="dxa"/>
              <w:bottom w:w="90" w:type="dxa"/>
              <w:right w:w="90" w:type="dxa"/>
            </w:tcMar>
          </w:tcPr>
          <w:p>
            <w:pPr>
              <w:spacing w:after="40" w:line="276" w:lineRule="auto"/>
            </w:pPr>
            <w:r>
              <w:rPr>
                <w:b w:val="0"/>
                <w:i w:val="0"/>
                <w:sz w:val="18"/>
              </w:rPr>
              <w:t>Doctoral reproduction</w:t>
            </w:r>
          </w:p>
        </w:tc>
        <w:tc>
          <w:tcPr>
            <w:tcW w:type="dxa" w:w="2668"/>
            <w:vAlign w:val="center"/>
            <w:tcMar>
              <w:top w:w="90" w:type="dxa"/>
              <w:left w:w="90" w:type="dxa"/>
              <w:bottom w:w="90" w:type="dxa"/>
              <w:right w:w="90" w:type="dxa"/>
            </w:tcMar>
          </w:tcPr>
          <w:p>
            <w:pPr>
              <w:spacing w:after="40" w:line="276" w:lineRule="auto"/>
            </w:pPr>
            <w:r>
              <w:rPr>
                <w:b w:val="0"/>
                <w:i w:val="0"/>
                <w:sz w:val="18"/>
              </w:rPr>
              <w:t>论文复现口径</w:t>
            </w:r>
          </w:p>
        </w:tc>
        <w:tc>
          <w:tcPr>
            <w:tcW w:type="dxa" w:w="2771"/>
            <w:vAlign w:val="center"/>
            <w:tcMar>
              <w:top w:w="90" w:type="dxa"/>
              <w:left w:w="90" w:type="dxa"/>
              <w:bottom w:w="90" w:type="dxa"/>
              <w:right w:w="90" w:type="dxa"/>
            </w:tcMar>
          </w:tcPr>
          <w:p>
            <w:pPr>
              <w:spacing w:after="40" w:line="276" w:lineRule="auto"/>
            </w:pPr>
            <w:r>
              <w:rPr>
                <w:rFonts w:ascii="DejaVu Sans Mono" w:hAnsi="DejaVu Sans Mono"/>
                <w:b w:val="0"/>
                <w:i w:val="0"/>
                <w:sz w:val="18"/>
              </w:rPr>
              <w:t>doctoral-lineage-0.6.0a2</w:t>
            </w:r>
          </w:p>
        </w:tc>
      </w:tr>
      <w:tr>
        <w:trPr>
          <w:cantSplit/>
        </w:trPr>
        <w:tc>
          <w:tcPr>
            <w:tcW w:type="dxa" w:w="1685"/>
            <w:vAlign w:val="center"/>
            <w:tcMar>
              <w:top w:w="90" w:type="dxa"/>
              <w:left w:w="90" w:type="dxa"/>
              <w:bottom w:w="90" w:type="dxa"/>
              <w:right w:w="90" w:type="dxa"/>
            </w:tcMar>
          </w:tcPr>
          <w:p>
            <w:pPr>
              <w:spacing w:after="40" w:line="276" w:lineRule="auto"/>
            </w:pPr>
            <w:r>
              <w:rPr>
                <w:b w:val="0"/>
                <w:i w:val="0"/>
                <w:sz w:val="18"/>
              </w:rPr>
              <w:t>Native 全国调度</w:t>
            </w:r>
          </w:p>
        </w:tc>
        <w:tc>
          <w:tcPr>
            <w:tcW w:type="dxa" w:w="2668"/>
            <w:vAlign w:val="center"/>
            <w:tcMar>
              <w:top w:w="90" w:type="dxa"/>
              <w:left w:w="90" w:type="dxa"/>
              <w:bottom w:w="90" w:type="dxa"/>
              <w:right w:w="90" w:type="dxa"/>
            </w:tcMar>
          </w:tcPr>
          <w:p>
            <w:pPr>
              <w:spacing w:after="40" w:line="276" w:lineRule="auto"/>
            </w:pPr>
            <w:r>
              <w:rPr>
                <w:b w:val="0"/>
                <w:i w:val="0"/>
                <w:sz w:val="18"/>
              </w:rPr>
              <w:t>National single node</w:t>
            </w:r>
          </w:p>
        </w:tc>
        <w:tc>
          <w:tcPr>
            <w:tcW w:type="dxa" w:w="2668"/>
            <w:vAlign w:val="center"/>
            <w:tcMar>
              <w:top w:w="90" w:type="dxa"/>
              <w:left w:w="90" w:type="dxa"/>
              <w:bottom w:w="90" w:type="dxa"/>
              <w:right w:w="90" w:type="dxa"/>
            </w:tcMar>
          </w:tcPr>
          <w:p>
            <w:pPr>
              <w:spacing w:after="40" w:line="276" w:lineRule="auto"/>
            </w:pPr>
            <w:r>
              <w:rPr>
                <w:b w:val="0"/>
                <w:i w:val="0"/>
                <w:sz w:val="18"/>
              </w:rPr>
              <w:t>全国单节点</w:t>
            </w:r>
          </w:p>
        </w:tc>
        <w:tc>
          <w:tcPr>
            <w:tcW w:type="dxa" w:w="2771"/>
            <w:vAlign w:val="center"/>
            <w:tcMar>
              <w:top w:w="90" w:type="dxa"/>
              <w:left w:w="90" w:type="dxa"/>
              <w:bottom w:w="90" w:type="dxa"/>
              <w:right w:w="90" w:type="dxa"/>
            </w:tcMar>
          </w:tcPr>
          <w:p>
            <w:pPr>
              <w:spacing w:after="40" w:line="276" w:lineRule="auto"/>
            </w:pPr>
            <w:r>
              <w:rPr>
                <w:b w:val="0"/>
                <w:i w:val="0"/>
                <w:sz w:val="18"/>
              </w:rPr>
              <w:t xml:space="preserve">VALUE live bid-at-cost PSM; </w:t>
            </w:r>
            <w:r>
              <w:rPr>
                <w:rFonts w:ascii="DejaVu Sans Mono" w:hAnsi="DejaVu Sans Mono"/>
                <w:b w:val="0"/>
                <w:i w:val="0"/>
                <w:sz w:val="18"/>
              </w:rPr>
              <w:t>value-bid-at-cost-psm</w:t>
            </w:r>
          </w:p>
        </w:tc>
      </w:tr>
      <w:tr>
        <w:trPr>
          <w:cantSplit/>
        </w:trPr>
        <w:tc>
          <w:tcPr>
            <w:tcW w:type="dxa" w:w="1685"/>
            <w:vAlign w:val="center"/>
            <w:tcMar>
              <w:top w:w="90" w:type="dxa"/>
              <w:left w:w="90" w:type="dxa"/>
              <w:bottom w:w="90" w:type="dxa"/>
              <w:right w:w="90" w:type="dxa"/>
            </w:tcMar>
          </w:tcPr>
          <w:p>
            <w:pPr>
              <w:spacing w:after="40" w:line="276" w:lineRule="auto"/>
            </w:pPr>
            <w:r>
              <w:rPr>
                <w:b w:val="0"/>
                <w:i w:val="0"/>
                <w:sz w:val="18"/>
              </w:rPr>
              <w:t>实验性全国路径</w:t>
            </w:r>
          </w:p>
        </w:tc>
        <w:tc>
          <w:tcPr>
            <w:tcW w:type="dxa" w:w="2668"/>
            <w:vAlign w:val="center"/>
            <w:tcMar>
              <w:top w:w="90" w:type="dxa"/>
              <w:left w:w="90" w:type="dxa"/>
              <w:bottom w:w="90" w:type="dxa"/>
              <w:right w:w="90" w:type="dxa"/>
            </w:tcMar>
          </w:tcPr>
          <w:p>
            <w:pPr>
              <w:spacing w:after="40" w:line="276" w:lineRule="auto"/>
            </w:pPr>
            <w:r>
              <w:rPr>
                <w:b w:val="0"/>
                <w:i w:val="0"/>
                <w:sz w:val="18"/>
              </w:rPr>
              <w:t>Doctoral national physical PSM (experimental)</w:t>
            </w:r>
          </w:p>
        </w:tc>
        <w:tc>
          <w:tcPr>
            <w:tcW w:type="dxa" w:w="2668"/>
            <w:vAlign w:val="center"/>
            <w:tcMar>
              <w:top w:w="90" w:type="dxa"/>
              <w:left w:w="90" w:type="dxa"/>
              <w:bottom w:w="90" w:type="dxa"/>
              <w:right w:w="90" w:type="dxa"/>
            </w:tcMar>
          </w:tcPr>
          <w:p>
            <w:pPr>
              <w:spacing w:after="40" w:line="276" w:lineRule="auto"/>
            </w:pPr>
            <w:r>
              <w:rPr>
                <w:b w:val="0"/>
                <w:i w:val="0"/>
                <w:sz w:val="18"/>
              </w:rPr>
              <w:t>Doctoral national physical PSM (experimental)</w:t>
            </w:r>
          </w:p>
        </w:tc>
        <w:tc>
          <w:tcPr>
            <w:tcW w:type="dxa" w:w="2771"/>
            <w:vAlign w:val="center"/>
            <w:tcMar>
              <w:top w:w="90" w:type="dxa"/>
              <w:left w:w="90" w:type="dxa"/>
              <w:bottom w:w="90" w:type="dxa"/>
              <w:right w:w="90" w:type="dxa"/>
            </w:tcMar>
          </w:tcPr>
          <w:p>
            <w:pPr>
              <w:spacing w:after="40" w:line="276" w:lineRule="auto"/>
            </w:pPr>
            <w:r>
              <w:rPr>
                <w:rFonts w:ascii="DejaVu Sans Mono" w:hAnsi="DejaVu Sans Mono"/>
                <w:b w:val="0"/>
                <w:i w:val="0"/>
                <w:sz w:val="18"/>
              </w:rPr>
              <w:t>value-doctoral-national-psm</w:t>
            </w:r>
          </w:p>
        </w:tc>
      </w:tr>
    </w:tbl>
    <w:p>
      <w:pPr>
        <w:spacing w:after="20"/>
      </w:pPr>
    </w:p>
    <w:p>
      <w:pPr>
        <w:pStyle w:val="Heading2"/>
      </w:pPr>
      <w:r>
        <w:rPr>
          <w:b w:val="0"/>
          <w:i w:val="0"/>
        </w:rPr>
        <w:t>年度计算流程</w:t>
      </w:r>
    </w:p>
    <w:p>
      <w:r>
        <w:rPr>
          <w:b w:val="0"/>
          <w:i w:val="0"/>
        </w:rPr>
        <w:t>默认年度路径根据初始资产、建设项目、需求和天气决定当年运行。年初推进已有建设项目，并形成可用发电与外部交换输入；调度模块计算全年运行；年末根据运行结果、投资规则和建设周期更新下一年的资产与项目状态。</w:t>
      </w:r>
    </w:p>
    <w:p>
      <w:pPr>
        <w:keepLines/>
        <w:spacing w:line="276" w:lineRule="auto" w:after="160"/>
      </w:pPr>
      <w:r>
        <w:rPr>
          <w:rFonts w:ascii="DejaVu Sans Mono" w:hAnsi="DejaVu Sans Mono"/>
          <w:b w:val="0"/>
          <w:i w:val="0"/>
          <w:sz w:val="17"/>
        </w:rPr>
        <w:t>state = initial_state</w:t>
        <w:br/>
        <w:t>for year in range(initial_​state.year, run.end_year + 1):</w:t>
        <w:br/>
        <w:t xml:space="preserve">    advanced = self.planning.advance_​year(run, state)</w:t>
        <w:br/>
        <w:t xml:space="preserve">    model_input = self.psm_​input_​factory(run, advanced.operating_​state)</w:t>
        <w:br/>
        <w:t xml:space="preserve">    market = self.psm.run(model_​input)</w:t>
        <w:br/>
        <w:t xml:space="preserve">    headroom = []</w:t>
        <w:br/>
        <w:t xml:space="preserve">    for slot in sorted(self.expansion_​policies):</w:t>
        <w:br/>
        <w:t xml:space="preserve">        policy = self.expansion_​policies[slot]</w:t>
        <w:br/>
        <w:t xml:space="preserve">        value = policy.evaluate(run, advanced.operating_​state, market)</w:t>
        <w:br/>
        <w:t xml:space="preserve">        headroom.append(value)</w:t>
        <w:br/>
        <w:t xml:space="preserve">    investment_market = adapt_​market_​for_​investment(</w:t>
        <w:br/>
        <w:t xml:space="preserve">        market, advanced.operating_​state)</w:t>
        <w:br/>
        <w:t xml:space="preserve">    decision = self.investment.decide(</w:t>
        <w:br/>
        <w:t xml:space="preserve">        run, advanced.operating_​state, investment_market, tuple(headroom))</w:t>
        <w:br/>
        <w:t xml:space="preserve">    decision = inherit_​frozen_​zone_​shares(decision, advanced.operating_​state)</w:t>
        <w:br/>
        <w:t xml:space="preserve">    admission = self.planning.admit_​projects(</w:t>
        <w:br/>
        <w:t xml:space="preserve">        run, advanced.operating_​state, decision.proposals)</w:t>
        <w:br/>
        <w:t xml:space="preserve">    transition_state = YearState(</w:t>
        <w:br/>
        <w:t xml:space="preserve">        year, advanced.operating_​state.assets, advanced.active_​projects,</w:t>
        <w:br/>
        <w:t xml:space="preserve">        cumulative_​metrics=state.cumulative_​metrics,</w:t>
        <w:br/>
        <w:t xml:space="preserve">        extensions=transition_​extensions)</w:t>
        <w:br/>
        <w:t xml:space="preserve">    next_state = self.transition.apply(</w:t>
        <w:br/>
        <w:t xml:space="preserve">        run, transition_state, admission, decision)</w:t>
        <w:br/>
        <w:t xml:space="preserve">    state = next_state</w:t>
        <w:br/>
      </w:r>
    </w:p>
    <w:p>
      <w:r>
        <w:rPr>
          <w:rFonts w:ascii="DejaVu Sans Mono" w:hAnsi="DejaVu Sans Mono"/>
          <w:b w:val="0"/>
          <w:i w:val="0"/>
          <w:sz w:val="17"/>
        </w:rPr>
        <w:t>run</w:t>
      </w:r>
      <w:r>
        <w:rPr>
          <w:b w:val="0"/>
          <w:i w:val="0"/>
        </w:rPr>
        <w:t xml:space="preserve"> 保存选定模块、参数和模型年份。</w:t>
      </w:r>
      <w:r>
        <w:rPr>
          <w:rFonts w:ascii="DejaVu Sans Mono" w:hAnsi="DejaVu Sans Mono"/>
          <w:b w:val="0"/>
          <w:i w:val="0"/>
          <w:sz w:val="17"/>
        </w:rPr>
        <w:t>state</w:t>
      </w:r>
      <w:r>
        <w:rPr>
          <w:b w:val="0"/>
          <w:i w:val="0"/>
        </w:rPr>
        <w:t xml:space="preserve"> 保存在役资产与建设项目，</w:t>
      </w:r>
      <w:r>
        <w:rPr>
          <w:rFonts w:ascii="DejaVu Sans Mono" w:hAnsi="DejaVu Sans Mono"/>
          <w:b w:val="0"/>
          <w:i w:val="0"/>
          <w:sz w:val="17"/>
        </w:rPr>
        <w:t>advanced.operating_​state</w:t>
      </w:r>
      <w:r>
        <w:rPr>
          <w:b w:val="0"/>
          <w:i w:val="0"/>
        </w:rPr>
        <w:t xml:space="preserve"> 是年初规划更新后的资产状态。</w:t>
      </w:r>
      <w:r>
        <w:rPr>
          <w:rFonts w:ascii="DejaVu Sans Mono" w:hAnsi="DejaVu Sans Mono"/>
          <w:b w:val="0"/>
          <w:i w:val="0"/>
          <w:sz w:val="17"/>
        </w:rPr>
        <w:t>market</w:t>
      </w:r>
      <w:r>
        <w:rPr>
          <w:b w:val="0"/>
          <w:i w:val="0"/>
        </w:rPr>
        <w:t xml:space="preserve"> 包含调度和年度账户，</w:t>
      </w:r>
      <w:r>
        <w:rPr>
          <w:rFonts w:ascii="DejaVu Sans Mono" w:hAnsi="DejaVu Sans Mono"/>
          <w:b w:val="0"/>
          <w:i w:val="0"/>
          <w:sz w:val="17"/>
        </w:rPr>
        <w:t>headroom</w:t>
      </w:r>
      <w:r>
        <w:rPr>
          <w:b w:val="0"/>
          <w:i w:val="0"/>
        </w:rPr>
        <w:t xml:space="preserve"> 包含各技术的扩容上限，</w:t>
      </w:r>
      <w:r>
        <w:rPr>
          <w:rFonts w:ascii="DejaVu Sans Mono" w:hAnsi="DejaVu Sans Mono"/>
          <w:b w:val="0"/>
          <w:i w:val="0"/>
          <w:sz w:val="17"/>
        </w:rPr>
        <w:t>decision.proposals</w:t>
      </w:r>
      <w:r>
        <w:rPr>
          <w:b w:val="0"/>
          <w:i w:val="0"/>
        </w:rPr>
        <w:t xml:space="preserve"> 包含新投资提案。</w:t>
      </w:r>
      <w:r>
        <w:rPr>
          <w:rFonts w:ascii="DejaVu Sans Mono" w:hAnsi="DejaVu Sans Mono"/>
          <w:b w:val="0"/>
          <w:i w:val="0"/>
          <w:sz w:val="17"/>
        </w:rPr>
        <w:t>transition_extensions</w:t>
      </w:r>
      <w:r>
        <w:rPr>
          <w:b w:val="0"/>
          <w:i w:val="0"/>
        </w:rPr>
        <w:t xml:space="preserve"> 将年度储能成本观察值和求解验证状态带入 </w:t>
      </w:r>
      <w:r>
        <w:rPr>
          <w:rFonts w:ascii="DejaVu Sans Mono" w:hAnsi="DejaVu Sans Mono"/>
          <w:b w:val="0"/>
          <w:i w:val="0"/>
          <w:sz w:val="17"/>
        </w:rPr>
        <w:t>next_state</w:t>
      </w:r>
      <w:r>
        <w:rPr>
          <w:b w:val="0"/>
          <w:i w:val="0"/>
        </w:rPr>
        <w:t xml:space="preserve">。这些名称和调用对应 </w:t>
      </w:r>
      <w:r>
        <w:rPr>
          <w:rFonts w:ascii="DejaVu Sans Mono" w:hAnsi="DejaVu Sans Mono"/>
          <w:b w:val="0"/>
          <w:i w:val="0"/>
          <w:sz w:val="17"/>
        </w:rPr>
        <w:t>gridform_​core/​v2/​orchestrator.py</w:t>
      </w:r>
      <w:r>
        <w:rPr>
          <w:b w:val="0"/>
          <w:i w:val="0"/>
        </w:rPr>
        <w:t xml:space="preserve"> 的默认年度流程；选定的网络扩建模块另行执行其年度步骤。</w:t>
      </w:r>
    </w:p>
    <w:p>
      <w:r>
        <w:rPr>
          <w:b w:val="0"/>
          <w:i w:val="0"/>
        </w:rPr>
        <w:t>默认投资采用年度收入形成的收益率与回收期判据，资本年化核算使用资本回收因子。燃气和生物质的投资净收入扣除发电、燃料、碳与单位时间运行成本；风电、光伏和储能的设定将毛收入作为投资利润，其固定运维费用并入资本成本口径。第 4 章定义这些默认计算，第 6 章给出独立的实验账户与投资接口。</w:t>
      </w:r>
    </w:p>
    <w:p>
      <w:r>
        <w:rPr>
          <w:b w:val="0"/>
          <w:i w:val="0"/>
        </w:rPr>
        <w:t>模型金额采用起始年不变币值的情景约定，默认起始年为 2025 年。输入表同时保留各自的原始价格年份，包括技术成本、进口电价与政策参数。第 2 章列出价格来源与换算，第 5 章列出重启成本的 2025 年英镑取值。</w:t>
      </w:r>
    </w:p>
    <w:p>
      <w:pPr>
        <w:pStyle w:val="Heading2"/>
      </w:pPr>
      <w:r>
        <w:rPr>
          <w:b w:val="0"/>
          <w:i w:val="0"/>
        </w:rPr>
        <w:t>数据与结果</w:t>
      </w:r>
    </w:p>
    <w:p>
      <w:r>
        <w:rPr>
          <w:b w:val="0"/>
          <w:i w:val="0"/>
        </w:rPr>
        <w:t>模型输入包括需求、天气、初始资产、技术经济参数、建设项目和外部电力交换。第 2 章给出输入文件、时间覆盖、单位及适用口径，第 3 章给出天气到可用出力的转换。数据文件与函数名紧接对应计算，便于读者从设定定位到实现。</w:t>
      </w:r>
    </w:p>
    <w:p>
      <w:r>
        <w:rPr>
          <w:b w:val="0"/>
          <w:i w:val="0"/>
        </w:rPr>
        <w:t>年度经济结果在物理与核算检查通过后进入结果页。修正口径检查所选路径的验证门，论文复现口径检查全部原始不变量；逐期账本保留出力、储能、缺口和成本记录。第 4 章说明这些检查与年度结果的关系，第 9 章给出碳核算参数。</w:t>
      </w:r>
    </w:p>
    <w:p>
      <w:pPr>
        <w:pStyle w:val="Heading1"/>
      </w:pPr>
      <w:r>
        <w:rPr>
          <w:b w:val="0"/>
          <w:i w:val="0"/>
        </w:rPr>
        <w:t>2 初始数据与输入处理</w:t>
      </w:r>
    </w:p>
    <w:p>
      <w:r>
        <w:rPr>
          <w:b w:val="0"/>
          <w:i w:val="0"/>
        </w:rPr>
        <w:t>VALUE 将需求、天气、资产、规划数据和外部市场输入组织到同一模型时钟上。来源年份决定需求或天气样本，模型年份决定资产运行与投资。数据包和方法学口径共同规定读取规则。</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05"/>
        <w:gridCol w:w="3559"/>
        <w:gridCol w:w="4128"/>
      </w:tblGrid>
      <w:tr>
        <w:trPr>
          <w:cantSplit/>
          <w:tblHeader w:val="true"/>
        </w:trPr>
        <w:tc>
          <w:tcPr>
            <w:tcW w:type="dxa" w:w="2105"/>
            <w:vAlign w:val="center"/>
            <w:tcMar>
              <w:top w:w="90" w:type="dxa"/>
              <w:left w:w="90" w:type="dxa"/>
              <w:bottom w:w="90" w:type="dxa"/>
              <w:right w:w="90" w:type="dxa"/>
            </w:tcMar>
            <w:shd w:fill="EEEEEE"/>
          </w:tcPr>
          <w:p>
            <w:pPr>
              <w:spacing w:after="40" w:line="276" w:lineRule="auto"/>
            </w:pPr>
            <w:r>
              <w:rPr>
                <w:b/>
                <w:i w:val="0"/>
                <w:sz w:val="18"/>
              </w:rPr>
              <w:t>数据配置</w:t>
            </w:r>
          </w:p>
        </w:tc>
        <w:tc>
          <w:tcPr>
            <w:tcW w:type="dxa" w:w="3559"/>
            <w:vAlign w:val="center"/>
            <w:tcMar>
              <w:top w:w="90" w:type="dxa"/>
              <w:left w:w="90" w:type="dxa"/>
              <w:bottom w:w="90" w:type="dxa"/>
              <w:right w:w="90" w:type="dxa"/>
            </w:tcMar>
            <w:shd w:fill="EEEEEE"/>
          </w:tcPr>
          <w:p>
            <w:pPr>
              <w:spacing w:after="40" w:line="276" w:lineRule="auto"/>
            </w:pPr>
            <w:r>
              <w:rPr>
                <w:b/>
                <w:i w:val="0"/>
                <w:sz w:val="18"/>
              </w:rPr>
              <w:t>数据包</w:t>
            </w:r>
          </w:p>
        </w:tc>
        <w:tc>
          <w:tcPr>
            <w:tcW w:type="dxa" w:w="4128"/>
            <w:vAlign w:val="center"/>
            <w:tcMar>
              <w:top w:w="90" w:type="dxa"/>
              <w:left w:w="90" w:type="dxa"/>
              <w:bottom w:w="90" w:type="dxa"/>
              <w:right w:w="90" w:type="dxa"/>
            </w:tcMar>
            <w:shd w:fill="EEEEEE"/>
          </w:tcPr>
          <w:p>
            <w:pPr>
              <w:spacing w:after="40" w:line="276" w:lineRule="auto"/>
            </w:pPr>
            <w:r>
              <w:rPr>
                <w:b/>
                <w:i w:val="0"/>
                <w:sz w:val="18"/>
              </w:rPr>
              <w:t>范围与可用性</w:t>
            </w:r>
          </w:p>
        </w:tc>
      </w:tr>
      <w:tr>
        <w:trPr>
          <w:cantSplit/>
        </w:trPr>
        <w:tc>
          <w:tcPr>
            <w:tcW w:type="dxa" w:w="2105"/>
            <w:vAlign w:val="center"/>
            <w:tcMar>
              <w:top w:w="90" w:type="dxa"/>
              <w:left w:w="90" w:type="dxa"/>
              <w:bottom w:w="90" w:type="dxa"/>
              <w:right w:w="90" w:type="dxa"/>
            </w:tcMar>
          </w:tcPr>
          <w:p>
            <w:pPr>
              <w:spacing w:after="40" w:line="276" w:lineRule="auto"/>
            </w:pPr>
            <w:r>
              <w:rPr>
                <w:b w:val="0"/>
                <w:i w:val="0"/>
                <w:sz w:val="18"/>
              </w:rPr>
              <w:t>VALUE 101</w:t>
            </w:r>
          </w:p>
        </w:tc>
        <w:tc>
          <w:tcPr>
            <w:tcW w:type="dxa" w:w="3559"/>
            <w:vAlign w:val="center"/>
            <w:tcMar>
              <w:top w:w="90" w:type="dxa"/>
              <w:left w:w="90" w:type="dxa"/>
              <w:bottom w:w="90" w:type="dxa"/>
              <w:right w:w="90" w:type="dxa"/>
            </w:tcMar>
          </w:tcPr>
          <w:p>
            <w:pPr>
              <w:spacing w:after="40" w:line="276" w:lineRule="auto"/>
            </w:pPr>
            <w:r>
              <w:rPr>
                <w:rFonts w:ascii="DejaVu Sans Mono" w:hAnsi="DejaVu Sans Mono"/>
                <w:b w:val="0"/>
                <w:i w:val="0"/>
                <w:sz w:val="18"/>
              </w:rPr>
              <w:t>value-101-baseline-v1</w:t>
            </w:r>
          </w:p>
        </w:tc>
        <w:tc>
          <w:tcPr>
            <w:tcW w:type="dxa" w:w="4128"/>
            <w:vAlign w:val="center"/>
            <w:tcMar>
              <w:top w:w="90" w:type="dxa"/>
              <w:left w:w="90" w:type="dxa"/>
              <w:bottom w:w="90" w:type="dxa"/>
              <w:right w:w="90" w:type="dxa"/>
            </w:tcMar>
          </w:tcPr>
          <w:p>
            <w:pPr>
              <w:spacing w:after="40" w:line="276" w:lineRule="auto"/>
            </w:pPr>
            <w:r>
              <w:rPr>
                <w:b w:val="0"/>
                <w:i w:val="0"/>
                <w:sz w:val="18"/>
              </w:rPr>
              <w:t>随安装提供的 2025–2026 年合成教学数据，每年 17,520 个半小时，另设 48 时段练习</w:t>
            </w:r>
          </w:p>
        </w:tc>
      </w:tr>
      <w:tr>
        <w:trPr>
          <w:cantSplit/>
        </w:trPr>
        <w:tc>
          <w:tcPr>
            <w:tcW w:type="dxa" w:w="2105"/>
            <w:vAlign w:val="center"/>
            <w:tcMar>
              <w:top w:w="90" w:type="dxa"/>
              <w:left w:w="90" w:type="dxa"/>
              <w:bottom w:w="90" w:type="dxa"/>
              <w:right w:w="90" w:type="dxa"/>
            </w:tcMar>
          </w:tcPr>
          <w:p>
            <w:pPr>
              <w:spacing w:after="40" w:line="276" w:lineRule="auto"/>
            </w:pPr>
            <w:r>
              <w:rPr>
                <w:b w:val="0"/>
                <w:i w:val="0"/>
                <w:sz w:val="18"/>
              </w:rPr>
              <w:t>GBP1 public1</w:t>
            </w:r>
          </w:p>
        </w:tc>
        <w:tc>
          <w:tcPr>
            <w:tcW w:type="dxa" w:w="3559"/>
            <w:vAlign w:val="center"/>
            <w:tcMar>
              <w:top w:w="90" w:type="dxa"/>
              <w:left w:w="90" w:type="dxa"/>
              <w:bottom w:w="90" w:type="dxa"/>
              <w:right w:w="90" w:type="dxa"/>
            </w:tcMar>
          </w:tcPr>
          <w:p>
            <w:pPr>
              <w:spacing w:after="40" w:line="276" w:lineRule="auto"/>
            </w:pPr>
            <w:r>
              <w:rPr>
                <w:rFonts w:ascii="DejaVu Sans Mono" w:hAnsi="DejaVu Sans Mono"/>
                <w:b w:val="0"/>
                <w:i w:val="0"/>
                <w:sz w:val="18"/>
              </w:rPr>
              <w:t>value-uk-open-data-pack-v1</w:t>
            </w:r>
          </w:p>
        </w:tc>
        <w:tc>
          <w:tcPr>
            <w:tcW w:type="dxa" w:w="4128"/>
            <w:vAlign w:val="center"/>
            <w:tcMar>
              <w:top w:w="90" w:type="dxa"/>
              <w:left w:w="90" w:type="dxa"/>
              <w:bottom w:w="90" w:type="dxa"/>
              <w:right w:w="90" w:type="dxa"/>
            </w:tcMar>
          </w:tcPr>
          <w:p>
            <w:pPr>
              <w:spacing w:after="40" w:line="276" w:lineRule="auto"/>
            </w:pPr>
            <w:r>
              <w:rPr>
                <w:b w:val="0"/>
                <w:i w:val="0"/>
                <w:sz w:val="18"/>
              </w:rPr>
              <w:t>已发布的英国输入，适用于论文复现口径</w:t>
            </w:r>
          </w:p>
        </w:tc>
      </w:tr>
      <w:tr>
        <w:trPr>
          <w:cantSplit/>
        </w:trPr>
        <w:tc>
          <w:tcPr>
            <w:tcW w:type="dxa" w:w="2105"/>
            <w:vAlign w:val="center"/>
            <w:tcMar>
              <w:top w:w="90" w:type="dxa"/>
              <w:left w:w="90" w:type="dxa"/>
              <w:bottom w:w="90" w:type="dxa"/>
              <w:right w:w="90" w:type="dxa"/>
            </w:tcMar>
          </w:tcPr>
          <w:p>
            <w:pPr>
              <w:spacing w:after="40" w:line="276" w:lineRule="auto"/>
            </w:pPr>
            <w:r>
              <w:rPr>
                <w:b w:val="0"/>
                <w:i w:val="0"/>
                <w:sz w:val="18"/>
              </w:rPr>
              <w:t>GBP1 public2</w:t>
            </w:r>
          </w:p>
        </w:tc>
        <w:tc>
          <w:tcPr>
            <w:tcW w:type="dxa" w:w="3559"/>
            <w:vAlign w:val="center"/>
            <w:tcMar>
              <w:top w:w="90" w:type="dxa"/>
              <w:left w:w="90" w:type="dxa"/>
              <w:bottom w:w="90" w:type="dxa"/>
              <w:right w:w="90" w:type="dxa"/>
            </w:tcMar>
          </w:tcPr>
          <w:p>
            <w:pPr>
              <w:spacing w:after="40" w:line="276" w:lineRule="auto"/>
            </w:pPr>
            <w:r>
              <w:rPr>
                <w:rFonts w:ascii="DejaVu Sans Mono" w:hAnsi="DejaVu Sans Mono"/>
                <w:b w:val="0"/>
                <w:i w:val="0"/>
                <w:sz w:val="18"/>
              </w:rPr>
              <w:t>value-uk-open-data-pack-public2</w:t>
            </w:r>
          </w:p>
        </w:tc>
        <w:tc>
          <w:tcPr>
            <w:tcW w:type="dxa" w:w="4128"/>
            <w:vAlign w:val="center"/>
            <w:tcMar>
              <w:top w:w="90" w:type="dxa"/>
              <w:left w:w="90" w:type="dxa"/>
              <w:bottom w:w="90" w:type="dxa"/>
              <w:right w:w="90" w:type="dxa"/>
            </w:tcMar>
          </w:tcPr>
          <w:p>
            <w:pPr>
              <w:spacing w:after="40" w:line="276" w:lineRule="auto"/>
            </w:pPr>
            <w:r>
              <w:rPr>
                <w:b w:val="0"/>
                <w:i w:val="0"/>
                <w:sz w:val="18"/>
              </w:rPr>
              <w:t>适用于修正口径的修订包，已随 VALUE 0.7.0-alpha.1 发布（</w:t>
            </w:r>
            <w:r>
              <w:rPr>
                <w:b w:val="0"/>
                <w:i w:val="0"/>
                <w:sz w:val="18"/>
              </w:rPr>
              <w:t>下载</w:t>
            </w:r>
            <w:r>
              <w:rPr>
                <w:b w:val="0"/>
                <w:i w:val="0"/>
                <w:sz w:val="18"/>
              </w:rPr>
              <w:t>）</w:t>
            </w:r>
          </w:p>
        </w:tc>
      </w:tr>
      <w:tr>
        <w:trPr>
          <w:cantSplit/>
        </w:trPr>
        <w:tc>
          <w:tcPr>
            <w:tcW w:type="dxa" w:w="2105"/>
            <w:vAlign w:val="center"/>
            <w:tcMar>
              <w:top w:w="90" w:type="dxa"/>
              <w:left w:w="90" w:type="dxa"/>
              <w:bottom w:w="90" w:type="dxa"/>
              <w:right w:w="90" w:type="dxa"/>
            </w:tcMar>
          </w:tcPr>
          <w:p>
            <w:pPr>
              <w:spacing w:after="40" w:line="276" w:lineRule="auto"/>
            </w:pPr>
            <w:r>
              <w:rPr>
                <w:b w:val="0"/>
                <w:i w:val="0"/>
                <w:sz w:val="18"/>
              </w:rPr>
              <w:t>R029 public2</w:t>
            </w:r>
          </w:p>
        </w:tc>
        <w:tc>
          <w:tcPr>
            <w:tcW w:type="dxa" w:w="3559"/>
            <w:vAlign w:val="center"/>
            <w:tcMar>
              <w:top w:w="90" w:type="dxa"/>
              <w:left w:w="90" w:type="dxa"/>
              <w:bottom w:w="90" w:type="dxa"/>
              <w:right w:w="90" w:type="dxa"/>
            </w:tcMar>
          </w:tcPr>
          <w:p>
            <w:pPr>
              <w:spacing w:after="40" w:line="276" w:lineRule="auto"/>
            </w:pPr>
            <w:r>
              <w:rPr>
                <w:rFonts w:ascii="DejaVu Sans Mono" w:hAnsi="DejaVu Sans Mono"/>
                <w:b w:val="0"/>
                <w:i w:val="0"/>
                <w:sz w:val="18"/>
              </w:rPr>
              <w:t>value-uk-calendar-vx-trade001-public2</w:t>
            </w:r>
          </w:p>
        </w:tc>
        <w:tc>
          <w:tcPr>
            <w:tcW w:type="dxa" w:w="4128"/>
            <w:vAlign w:val="center"/>
            <w:tcMar>
              <w:top w:w="90" w:type="dxa"/>
              <w:left w:w="90" w:type="dxa"/>
              <w:bottom w:w="90" w:type="dxa"/>
              <w:right w:w="90" w:type="dxa"/>
            </w:tcMar>
          </w:tcPr>
          <w:p>
            <w:pPr>
              <w:spacing w:after="40" w:line="276" w:lineRule="auto"/>
            </w:pPr>
            <w:r>
              <w:rPr>
                <w:b w:val="0"/>
                <w:i w:val="0"/>
                <w:sz w:val="18"/>
              </w:rPr>
              <w:t>适用于修正口径的修订包，已随 VALUE 0.7.0-alpha.1 发布（</w:t>
            </w:r>
            <w:r>
              <w:rPr>
                <w:b w:val="0"/>
                <w:i w:val="0"/>
                <w:sz w:val="18"/>
              </w:rPr>
              <w:t>下载</w:t>
            </w:r>
            <w:r>
              <w:rPr>
                <w:b w:val="0"/>
                <w:i w:val="0"/>
                <w:sz w:val="18"/>
              </w:rPr>
              <w:t>）；研究期为 2025–2034 年，需求取自 2022 年，天气取自 2020–2024 年</w:t>
            </w:r>
          </w:p>
        </w:tc>
      </w:tr>
    </w:tbl>
    <w:p>
      <w:pPr>
        <w:spacing w:after="20"/>
      </w:pPr>
    </w:p>
    <w:p>
      <w:r>
        <w:rPr>
          <w:b w:val="0"/>
          <w:i w:val="0"/>
        </w:rPr>
        <w:t>修正口径的英国研究要求明确声明列名、源单位和时间分辨率，可由 public2 修订包或合格的用户工作区数据包提供。R029 public1（</w:t>
      </w:r>
      <w:r>
        <w:rPr>
          <w:rFonts w:ascii="DejaVu Sans Mono" w:hAnsi="DejaVu Sans Mono"/>
          <w:b w:val="0"/>
          <w:i w:val="0"/>
          <w:sz w:val="17"/>
        </w:rPr>
        <w:t>value-uk-calendar-vx-trade001</w:t>
      </w:r>
      <w:r>
        <w:rPr>
          <w:b w:val="0"/>
          <w:i w:val="0"/>
        </w:rPr>
        <w:t xml:space="preserve">）位于论文复现口径的白名单之外，其含 8,761 个数值的光伏投资曲线也未满足修正读取器的全年长度要求。第 3 章说明修订后的曲线。英国 23 区网络研究采用 GBP1 public2 研究套件 </w:t>
      </w:r>
      <w:r>
        <w:rPr>
          <w:rFonts w:ascii="DejaVu Sans Mono" w:hAnsi="DejaVu Sans Mono"/>
          <w:b w:val="0"/>
          <w:i w:val="0"/>
          <w:sz w:val="17"/>
        </w:rPr>
        <w:t>value-uk-research-suite-v1-public2</w:t>
      </w:r>
      <w:r>
        <w:rPr>
          <w:b w:val="0"/>
          <w:i w:val="0"/>
        </w:rPr>
        <w:t>，从</w:t>
      </w:r>
      <w:r>
        <w:rPr>
          <w:b w:val="0"/>
          <w:i w:val="0"/>
        </w:rPr>
        <w:t>数据页</w:t>
      </w:r>
      <w:r>
        <w:rPr>
          <w:b w:val="0"/>
          <w:i w:val="0"/>
        </w:rPr>
        <w:t>下载。该套件提供修正口径所需的相容国家级与空间输入。</w:t>
      </w:r>
    </w:p>
    <w:p>
      <w:pPr>
        <w:pStyle w:val="Heading2"/>
      </w:pPr>
      <w:r>
        <w:rPr>
          <w:b w:val="0"/>
          <w:i w:val="0"/>
        </w:rPr>
        <w:t>时间分辨率与输入角色</w:t>
      </w:r>
    </w:p>
    <w:p>
      <w:pPr>
        <w:keepNext/>
      </w:pPr>
      <w:r>
        <w:rPr>
          <w:b w:val="0"/>
          <w:i w:val="0"/>
        </w:rPr>
        <w:t>全国模型按半小时电量完成供需平衡。</w:t>
      </w:r>
      <w:r>
        <w:rPr>
          <w:rFonts w:ascii="DejaVu Sans Mono" w:hAnsi="DejaVu Sans Mono"/>
          <w:b w:val="0"/>
          <w:i w:val="0"/>
          <w:sz w:val="17"/>
        </w:rPr>
        <w:t>canonical_psm_data</w:t>
      </w:r>
      <w:r>
        <w:rPr>
          <w:b w:val="0"/>
          <w:i w:val="0"/>
        </w:rPr>
        <w:t xml:space="preserve"> 的 </w:t>
      </w:r>
      <w:r>
        <w:rPr>
          <w:rFonts w:ascii="DejaVu Sans Mono" w:hAnsi="DejaVu Sans Mono"/>
          <w:b w:val="0"/>
          <w:i w:val="0"/>
          <w:sz w:val="17"/>
        </w:rPr>
        <w:t>series</w:t>
      </w:r>
      <w:r>
        <w:rPr>
          <w:b w:val="0"/>
          <w:i w:val="0"/>
        </w:rPr>
        <w:t xml:space="preserve"> 数组存储以 MW 表示的需求功率；乘以 </w:t>
      </w:r>
      <w:r>
        <w:rPr>
          <w:rFonts w:ascii="DejaVu Sans Mono" w:hAnsi="DejaVu Sans Mono"/>
          <w:b w:val="0"/>
          <w:i w:val="0"/>
          <w:sz w:val="17"/>
        </w:rPr>
        <w:t>period_hours</w:t>
      </w:r>
      <w:r>
        <w:rPr>
          <w:b w:val="0"/>
          <w:i w:val="0"/>
        </w:rPr>
        <w:t xml:space="preserve"> 后，得到以 MWh/时段表示的实际需求 </w:t>
      </w:r>
      <w:r>
        <w:rPr>
          <w:rFonts w:ascii="DejaVu Sans Mono" w:hAnsi="DejaVu Sans Mono"/>
          <w:b w:val="0"/>
          <w:i w:val="0"/>
          <w:sz w:val="17"/>
        </w:rPr>
        <w:t>demand</w:t>
      </w:r>
      <w:r>
        <w:rPr>
          <w:b w:val="0"/>
          <w:i w:val="0"/>
        </w:rPr>
        <w:t xml:space="preserve"> 和预测需求 </w:t>
      </w:r>
      <w:r>
        <w:rPr>
          <w:rFonts w:ascii="DejaVu Sans Mono" w:hAnsi="DejaVu Sans Mono"/>
          <w:b w:val="0"/>
          <w:i w:val="0"/>
          <w:sz w:val="17"/>
        </w:rPr>
        <w:t>forecast_demand</w:t>
      </w:r>
      <w:r>
        <w:rPr>
          <w:b w:val="0"/>
          <w:i w:val="0"/>
        </w:rPr>
        <w:t>。全年电量为各时段电量之和：</w:t>
      </w:r>
    </w:p>
    <w:p>
      <w:pPr>
        <w:spacing w:after="160"/>
        <w:jc w:val="center"/>
      </w:pPr>
      <w:r>
        <w:drawing>
          <wp:inline xmlns:a="http://schemas.openxmlformats.org/drawingml/2006/main" xmlns:pic="http://schemas.openxmlformats.org/drawingml/2006/picture">
            <wp:extent cx="5729782" cy="621908"/>
            <wp:docPr id="1" name="Picture 1"/>
            <wp:cNvGraphicFramePr>
              <a:graphicFrameLocks noChangeAspect="1"/>
            </wp:cNvGraphicFramePr>
            <a:graphic>
              <a:graphicData uri="http://schemas.openxmlformats.org/drawingml/2006/picture">
                <pic:pic>
                  <pic:nvPicPr>
                    <pic:cNvPr id="0" name="eq-001.png"/>
                    <pic:cNvPicPr/>
                  </pic:nvPicPr>
                  <pic:blipFill>
                    <a:blip r:embed="rId11"/>
                    <a:stretch>
                      <a:fillRect/>
                    </a:stretch>
                  </pic:blipFill>
                  <pic:spPr>
                    <a:xfrm>
                      <a:off x="0" y="0"/>
                      <a:ext cx="5729782" cy="621908"/>
                    </a:xfrm>
                    <a:prstGeom prst="rect"/>
                  </pic:spPr>
                </pic:pic>
              </a:graphicData>
            </a:graphic>
          </wp:inline>
        </w:drawing>
      </w:r>
    </w:p>
    <w:p>
      <w:r>
        <w:rPr>
          <w:b w:val="0"/>
          <w:i w:val="0"/>
        </w:rPr>
        <w:t>模型年由 365 日组成，采用固定 UTC 时钟，2 月包含 28 日。声明为闰年的需求序列按下文和第 4 章的规则保留全年电量。容量以 MW 表示，库存以 MWh 表示，金额以 GBP 表示，电价以 GBP/MWh 表示。</w:t>
      </w:r>
    </w:p>
    <w:p>
      <w:r>
        <w:rPr>
          <w:b w:val="0"/>
          <w:i w:val="0"/>
        </w:rPr>
        <w:t xml:space="preserve">需求按 MW 进入模型，调度时再乘以时段长度。VALUE 101 保留了 </w:t>
      </w:r>
      <w:r>
        <w:rPr>
          <w:rFonts w:ascii="DejaVu Sans Mono" w:hAnsi="DejaVu Sans Mono"/>
          <w:b w:val="0"/>
          <w:i w:val="0"/>
          <w:sz w:val="17"/>
        </w:rPr>
        <w:t>mwh</w:t>
      </w:r>
      <w:r>
        <w:rPr>
          <w:b w:val="0"/>
          <w:i w:val="0"/>
        </w:rPr>
        <w:t xml:space="preserve"> 列名和 MWh/period 数据包标签，其中数值在两个口径下均按 MW 读取。用户映射的需求则按声明的源单位处理：MWh/​period 除以用小时表示的源时段长度，得到 MW。</w:t>
      </w:r>
    </w:p>
    <w:p>
      <w:r>
        <w:rPr>
          <w:b w:val="0"/>
          <w:i w:val="0"/>
        </w:rPr>
        <w:t>数据绑定将物理文件分配给确定的计算角色。需求文件提供实际需求与日前预测，机组表提供技术、容量和代表位置，规划表提供项目状态与日期；天气和技术平均曲线分别用于空间化可用出力与相应投资规则。</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9"/>
        <w:gridCol w:w="4151"/>
        <w:gridCol w:w="3243"/>
      </w:tblGrid>
      <w:tr>
        <w:trPr>
          <w:cantSplit/>
          <w:tblHeader w:val="true"/>
        </w:trPr>
        <w:tc>
          <w:tcPr>
            <w:tcW w:type="dxa" w:w="2399"/>
            <w:vAlign w:val="center"/>
            <w:tcMar>
              <w:top w:w="90" w:type="dxa"/>
              <w:left w:w="90" w:type="dxa"/>
              <w:bottom w:w="90" w:type="dxa"/>
              <w:right w:w="90" w:type="dxa"/>
            </w:tcMar>
            <w:shd w:fill="EEEEEE"/>
          </w:tcPr>
          <w:p>
            <w:pPr>
              <w:spacing w:after="40" w:line="276" w:lineRule="auto"/>
            </w:pPr>
            <w:r>
              <w:rPr>
                <w:b/>
                <w:i w:val="0"/>
                <w:sz w:val="18"/>
              </w:rPr>
              <w:t>输入角色</w:t>
            </w:r>
          </w:p>
        </w:tc>
        <w:tc>
          <w:tcPr>
            <w:tcW w:type="dxa" w:w="4151"/>
            <w:vAlign w:val="center"/>
            <w:tcMar>
              <w:top w:w="90" w:type="dxa"/>
              <w:left w:w="90" w:type="dxa"/>
              <w:bottom w:w="90" w:type="dxa"/>
              <w:right w:w="90" w:type="dxa"/>
            </w:tcMar>
            <w:shd w:fill="EEEEEE"/>
          </w:tcPr>
          <w:p>
            <w:pPr>
              <w:spacing w:after="40" w:line="276" w:lineRule="auto"/>
            </w:pPr>
            <w:r>
              <w:rPr>
                <w:b/>
                <w:i w:val="0"/>
                <w:sz w:val="18"/>
              </w:rPr>
              <w:t>主要数据或字段</w:t>
            </w:r>
          </w:p>
        </w:tc>
        <w:tc>
          <w:tcPr>
            <w:tcW w:type="dxa" w:w="3243"/>
            <w:vAlign w:val="center"/>
            <w:tcMar>
              <w:top w:w="90" w:type="dxa"/>
              <w:left w:w="90" w:type="dxa"/>
              <w:bottom w:w="90" w:type="dxa"/>
              <w:right w:w="90" w:type="dxa"/>
            </w:tcMar>
            <w:shd w:fill="EEEEEE"/>
          </w:tcPr>
          <w:p>
            <w:pPr>
              <w:spacing w:after="40" w:line="276" w:lineRule="auto"/>
            </w:pPr>
            <w:r>
              <w:rPr>
                <w:b/>
                <w:i w:val="0"/>
                <w:sz w:val="18"/>
              </w:rPr>
              <w:t>计算用途</w:t>
            </w:r>
          </w:p>
        </w:tc>
      </w:tr>
      <w:tr>
        <w:trPr>
          <w:cantSplit/>
        </w:trPr>
        <w:tc>
          <w:tcPr>
            <w:tcW w:type="dxa" w:w="2399"/>
            <w:vAlign w:val="center"/>
            <w:tcMar>
              <w:top w:w="90" w:type="dxa"/>
              <w:left w:w="90" w:type="dxa"/>
              <w:bottom w:w="90" w:type="dxa"/>
              <w:right w:w="90" w:type="dxa"/>
            </w:tcMar>
          </w:tcPr>
          <w:p>
            <w:pPr>
              <w:spacing w:after="40" w:line="276" w:lineRule="auto"/>
            </w:pPr>
            <w:r>
              <w:rPr>
                <w:b w:val="0"/>
                <w:i w:val="0"/>
                <w:sz w:val="18"/>
              </w:rPr>
              <w:t>实际需求、需求预测</w:t>
            </w:r>
          </w:p>
        </w:tc>
        <w:tc>
          <w:tcPr>
            <w:tcW w:type="dxa" w:w="4151"/>
            <w:vAlign w:val="center"/>
            <w:tcMar>
              <w:top w:w="90" w:type="dxa"/>
              <w:left w:w="90" w:type="dxa"/>
              <w:bottom w:w="90" w:type="dxa"/>
              <w:right w:w="90" w:type="dxa"/>
            </w:tcMar>
          </w:tcPr>
          <w:p>
            <w:pPr>
              <w:spacing w:after="40" w:line="276" w:lineRule="auto"/>
            </w:pPr>
            <w:r>
              <w:rPr>
                <w:rFonts w:ascii="DejaVu Sans Mono" w:hAnsi="DejaVu Sans Mono"/>
                <w:b w:val="0"/>
                <w:i w:val="0"/>
                <w:sz w:val="18"/>
              </w:rPr>
              <w:t>actual_mw.csv</w:t>
            </w:r>
            <w:r>
              <w:rPr>
                <w:b w:val="0"/>
                <w:i w:val="0"/>
                <w:sz w:val="18"/>
              </w:rPr>
              <w:t xml:space="preserve"> 的 </w:t>
            </w:r>
            <w:r>
              <w:rPr>
                <w:rFonts w:ascii="DejaVu Sans Mono" w:hAnsi="DejaVu Sans Mono"/>
                <w:b w:val="0"/>
                <w:i w:val="0"/>
                <w:sz w:val="18"/>
              </w:rPr>
              <w:t>demand_mw</w:t>
            </w:r>
            <w:r>
              <w:rPr>
                <w:b w:val="0"/>
                <w:i w:val="0"/>
                <w:sz w:val="18"/>
              </w:rPr>
              <w:t>；</w:t>
            </w:r>
            <w:r>
              <w:rPr>
                <w:rFonts w:ascii="DejaVu Sans Mono" w:hAnsi="DejaVu Sans Mono"/>
                <w:b w:val="0"/>
                <w:i w:val="0"/>
                <w:sz w:val="18"/>
              </w:rPr>
              <w:t>forecast_mw.csv</w:t>
            </w:r>
            <w:r>
              <w:rPr>
                <w:b w:val="0"/>
                <w:i w:val="0"/>
                <w:sz w:val="18"/>
              </w:rPr>
              <w:t xml:space="preserve"> 的 </w:t>
            </w:r>
            <w:r>
              <w:rPr>
                <w:rFonts w:ascii="DejaVu Sans Mono" w:hAnsi="DejaVu Sans Mono"/>
                <w:b w:val="0"/>
                <w:i w:val="0"/>
                <w:sz w:val="18"/>
              </w:rPr>
              <w:t>forecast_mw</w:t>
            </w:r>
          </w:p>
        </w:tc>
        <w:tc>
          <w:tcPr>
            <w:tcW w:type="dxa" w:w="3243"/>
            <w:vAlign w:val="center"/>
            <w:tcMar>
              <w:top w:w="90" w:type="dxa"/>
              <w:left w:w="90" w:type="dxa"/>
              <w:bottom w:w="90" w:type="dxa"/>
              <w:right w:w="90" w:type="dxa"/>
            </w:tcMar>
          </w:tcPr>
          <w:p>
            <w:pPr>
              <w:spacing w:after="40" w:line="276" w:lineRule="auto"/>
            </w:pPr>
            <w:r>
              <w:rPr>
                <w:b w:val="0"/>
                <w:i w:val="0"/>
                <w:sz w:val="18"/>
              </w:rPr>
              <w:t>实时平衡、日前出清及需求误差</w:t>
            </w:r>
          </w:p>
        </w:tc>
      </w:tr>
      <w:tr>
        <w:trPr>
          <w:cantSplit/>
        </w:trPr>
        <w:tc>
          <w:tcPr>
            <w:tcW w:type="dxa" w:w="2399"/>
            <w:vAlign w:val="center"/>
            <w:tcMar>
              <w:top w:w="90" w:type="dxa"/>
              <w:left w:w="90" w:type="dxa"/>
              <w:bottom w:w="90" w:type="dxa"/>
              <w:right w:w="90" w:type="dxa"/>
            </w:tcMar>
          </w:tcPr>
          <w:p>
            <w:pPr>
              <w:spacing w:after="40" w:line="276" w:lineRule="auto"/>
            </w:pPr>
            <w:r>
              <w:rPr>
                <w:b w:val="0"/>
                <w:i w:val="0"/>
                <w:sz w:val="18"/>
              </w:rPr>
              <w:t>机组与初始资产</w:t>
            </w:r>
          </w:p>
        </w:tc>
        <w:tc>
          <w:tcPr>
            <w:tcW w:type="dxa" w:w="4151"/>
            <w:vAlign w:val="center"/>
            <w:tcMar>
              <w:top w:w="90" w:type="dxa"/>
              <w:left w:w="90" w:type="dxa"/>
              <w:bottom w:w="90" w:type="dxa"/>
              <w:right w:w="90" w:type="dxa"/>
            </w:tcMar>
          </w:tcPr>
          <w:p>
            <w:pPr>
              <w:spacing w:after="40" w:line="276" w:lineRule="auto"/>
            </w:pPr>
            <w:r>
              <w:rPr>
                <w:rFonts w:ascii="DejaVu Sans Mono" w:hAnsi="DejaVu Sans Mono"/>
                <w:b w:val="0"/>
                <w:i w:val="0"/>
                <w:sz w:val="18"/>
              </w:rPr>
              <w:t>fleet.json</w:t>
            </w:r>
            <w:r>
              <w:rPr>
                <w:b w:val="0"/>
                <w:i w:val="0"/>
                <w:sz w:val="18"/>
              </w:rPr>
              <w:t xml:space="preserve">、年度 </w:t>
            </w:r>
            <w:r>
              <w:rPr>
                <w:rFonts w:ascii="DejaVu Sans Mono" w:hAnsi="DejaVu Sans Mono"/>
                <w:b w:val="0"/>
                <w:i w:val="0"/>
                <w:sz w:val="18"/>
              </w:rPr>
              <w:t>operating_state</w:t>
            </w:r>
          </w:p>
        </w:tc>
        <w:tc>
          <w:tcPr>
            <w:tcW w:type="dxa" w:w="3243"/>
            <w:vAlign w:val="center"/>
            <w:tcMar>
              <w:top w:w="90" w:type="dxa"/>
              <w:left w:w="90" w:type="dxa"/>
              <w:bottom w:w="90" w:type="dxa"/>
              <w:right w:w="90" w:type="dxa"/>
            </w:tcMar>
          </w:tcPr>
          <w:p>
            <w:pPr>
              <w:spacing w:after="40" w:line="276" w:lineRule="auto"/>
            </w:pPr>
            <w:r>
              <w:rPr>
                <w:b w:val="0"/>
                <w:i w:val="0"/>
                <w:sz w:val="18"/>
              </w:rPr>
              <w:t>技术参数、代表位置和进入调度的容量</w:t>
            </w:r>
          </w:p>
        </w:tc>
      </w:tr>
      <w:tr>
        <w:trPr>
          <w:cantSplit/>
        </w:trPr>
        <w:tc>
          <w:tcPr>
            <w:tcW w:type="dxa" w:w="2399"/>
            <w:vAlign w:val="center"/>
            <w:tcMar>
              <w:top w:w="90" w:type="dxa"/>
              <w:left w:w="90" w:type="dxa"/>
              <w:bottom w:w="90" w:type="dxa"/>
              <w:right w:w="90" w:type="dxa"/>
            </w:tcMar>
          </w:tcPr>
          <w:p>
            <w:pPr>
              <w:spacing w:after="40" w:line="276" w:lineRule="auto"/>
            </w:pPr>
            <w:r>
              <w:rPr>
                <w:b w:val="0"/>
                <w:i w:val="0"/>
                <w:sz w:val="18"/>
              </w:rPr>
              <w:t>项目及规划</w:t>
            </w:r>
          </w:p>
        </w:tc>
        <w:tc>
          <w:tcPr>
            <w:tcW w:type="dxa" w:w="4151"/>
            <w:vAlign w:val="center"/>
            <w:tcMar>
              <w:top w:w="90" w:type="dxa"/>
              <w:left w:w="90" w:type="dxa"/>
              <w:bottom w:w="90" w:type="dxa"/>
              <w:right w:w="90" w:type="dxa"/>
            </w:tcMar>
          </w:tcPr>
          <w:p>
            <w:pPr>
              <w:spacing w:after="40" w:line="276" w:lineRule="auto"/>
            </w:pPr>
            <w:r>
              <w:rPr>
                <w:rFonts w:ascii="DejaVu Sans Mono" w:hAnsi="DejaVu Sans Mono"/>
                <w:b w:val="0"/>
                <w:i w:val="0"/>
                <w:sz w:val="18"/>
              </w:rPr>
              <w:t>repd_​projects_​normalized.csv</w:t>
            </w:r>
            <w:r>
              <w:rPr>
                <w:b w:val="0"/>
                <w:i w:val="0"/>
                <w:sz w:val="18"/>
              </w:rPr>
              <w:t>、</w:t>
            </w:r>
            <w:r>
              <w:rPr>
                <w:rFonts w:ascii="DejaVu Sans Mono" w:hAnsi="DejaVu Sans Mono"/>
                <w:b w:val="0"/>
                <w:i w:val="0"/>
                <w:sz w:val="18"/>
              </w:rPr>
              <w:t>regional_​technology_​success_​rates.csv</w:t>
            </w:r>
            <w:r>
              <w:rPr>
                <w:b w:val="0"/>
                <w:i w:val="0"/>
                <w:sz w:val="18"/>
              </w:rPr>
              <w:t>、</w:t>
            </w:r>
            <w:r>
              <w:rPr>
                <w:rFonts w:ascii="DejaVu Sans Mono" w:hAnsi="DejaVu Sans Mono"/>
                <w:b w:val="0"/>
                <w:i w:val="0"/>
                <w:sz w:val="18"/>
              </w:rPr>
              <w:t>planning_timelines.json</w:t>
            </w:r>
          </w:p>
        </w:tc>
        <w:tc>
          <w:tcPr>
            <w:tcW w:type="dxa" w:w="3243"/>
            <w:vAlign w:val="center"/>
            <w:tcMar>
              <w:top w:w="90" w:type="dxa"/>
              <w:left w:w="90" w:type="dxa"/>
              <w:bottom w:w="90" w:type="dxa"/>
              <w:right w:w="90" w:type="dxa"/>
            </w:tcMar>
          </w:tcPr>
          <w:p>
            <w:pPr>
              <w:spacing w:after="40" w:line="276" w:lineRule="auto"/>
            </w:pPr>
            <w:r>
              <w:rPr>
                <w:b w:val="0"/>
                <w:i w:val="0"/>
                <w:sz w:val="18"/>
              </w:rPr>
              <w:t>初始投运资产、项目成功率与阶段时间</w:t>
            </w:r>
          </w:p>
        </w:tc>
      </w:tr>
      <w:tr>
        <w:trPr>
          <w:cantSplit/>
        </w:trPr>
        <w:tc>
          <w:tcPr>
            <w:tcW w:type="dxa" w:w="2399"/>
            <w:vAlign w:val="center"/>
            <w:tcMar>
              <w:top w:w="90" w:type="dxa"/>
              <w:left w:w="90" w:type="dxa"/>
              <w:bottom w:w="90" w:type="dxa"/>
              <w:right w:w="90" w:type="dxa"/>
            </w:tcMar>
          </w:tcPr>
          <w:p>
            <w:pPr>
              <w:spacing w:after="40" w:line="276" w:lineRule="auto"/>
            </w:pPr>
            <w:r>
              <w:rPr>
                <w:b w:val="0"/>
                <w:i w:val="0"/>
                <w:sz w:val="18"/>
              </w:rPr>
              <w:t>天气</w:t>
            </w:r>
          </w:p>
        </w:tc>
        <w:tc>
          <w:tcPr>
            <w:tcW w:type="dxa" w:w="4151"/>
            <w:vAlign w:val="center"/>
            <w:tcMar>
              <w:top w:w="90" w:type="dxa"/>
              <w:left w:w="90" w:type="dxa"/>
              <w:bottom w:w="90" w:type="dxa"/>
              <w:right w:w="90" w:type="dxa"/>
            </w:tcMar>
          </w:tcPr>
          <w:p>
            <w:pPr>
              <w:spacing w:after="40" w:line="276" w:lineRule="auto"/>
            </w:pPr>
            <w:r>
              <w:rPr>
                <w:rFonts w:ascii="DejaVu Sans Mono" w:hAnsi="DejaVu Sans Mono"/>
                <w:b w:val="0"/>
                <w:i w:val="0"/>
                <w:sz w:val="18"/>
              </w:rPr>
              <w:t>calendar_​mean_​solar_​2020_​2024.nc</w:t>
            </w:r>
            <w:r>
              <w:rPr>
                <w:b w:val="0"/>
                <w:i w:val="0"/>
                <w:sz w:val="18"/>
              </w:rPr>
              <w:t>、</w:t>
            </w:r>
            <w:r>
              <w:rPr>
                <w:rFonts w:ascii="DejaVu Sans Mono" w:hAnsi="DejaVu Sans Mono"/>
                <w:b w:val="0"/>
                <w:i w:val="0"/>
                <w:sz w:val="18"/>
              </w:rPr>
              <w:t>calendar_​mean_​wind_​2020_​2024.nc</w:t>
            </w:r>
          </w:p>
        </w:tc>
        <w:tc>
          <w:tcPr>
            <w:tcW w:type="dxa" w:w="3243"/>
            <w:vAlign w:val="center"/>
            <w:tcMar>
              <w:top w:w="90" w:type="dxa"/>
              <w:left w:w="90" w:type="dxa"/>
              <w:bottom w:w="90" w:type="dxa"/>
              <w:right w:w="90" w:type="dxa"/>
            </w:tcMar>
          </w:tcPr>
          <w:p>
            <w:pPr>
              <w:spacing w:after="40" w:line="276" w:lineRule="auto"/>
            </w:pPr>
            <w:r>
              <w:rPr>
                <w:b w:val="0"/>
                <w:i w:val="0"/>
                <w:sz w:val="18"/>
              </w:rPr>
              <w:t>代表点风光可用出力</w:t>
            </w:r>
          </w:p>
        </w:tc>
      </w:tr>
      <w:tr>
        <w:trPr>
          <w:cantSplit/>
        </w:trPr>
        <w:tc>
          <w:tcPr>
            <w:tcW w:type="dxa" w:w="2399"/>
            <w:vAlign w:val="center"/>
            <w:tcMar>
              <w:top w:w="90" w:type="dxa"/>
              <w:left w:w="90" w:type="dxa"/>
              <w:bottom w:w="90" w:type="dxa"/>
              <w:right w:w="90" w:type="dxa"/>
            </w:tcMar>
          </w:tcPr>
          <w:p>
            <w:pPr>
              <w:spacing w:after="40" w:line="276" w:lineRule="auto"/>
            </w:pPr>
            <w:r>
              <w:rPr>
                <w:b w:val="0"/>
                <w:i w:val="0"/>
                <w:sz w:val="18"/>
              </w:rPr>
              <w:t>技术平均曲线</w:t>
            </w:r>
          </w:p>
        </w:tc>
        <w:tc>
          <w:tcPr>
            <w:tcW w:type="dxa" w:w="4151"/>
            <w:vAlign w:val="center"/>
            <w:tcMar>
              <w:top w:w="90" w:type="dxa"/>
              <w:left w:w="90" w:type="dxa"/>
              <w:bottom w:w="90" w:type="dxa"/>
              <w:right w:w="90" w:type="dxa"/>
            </w:tcMar>
          </w:tcPr>
          <w:p>
            <w:pPr>
              <w:spacing w:after="40" w:line="276" w:lineRule="auto"/>
            </w:pPr>
            <w:r>
              <w:rPr>
                <w:rFonts w:ascii="DejaVu Sans Mono" w:hAnsi="DejaVu Sans Mono"/>
                <w:b w:val="0"/>
                <w:i w:val="0"/>
                <w:sz w:val="18"/>
              </w:rPr>
              <w:t>sa.csv</w:t>
            </w:r>
            <w:r>
              <w:rPr>
                <w:b w:val="0"/>
                <w:i w:val="0"/>
                <w:sz w:val="18"/>
              </w:rPr>
              <w:t>、</w:t>
            </w:r>
            <w:r>
              <w:rPr>
                <w:rFonts w:ascii="DejaVu Sans Mono" w:hAnsi="DejaVu Sans Mono"/>
                <w:b w:val="0"/>
                <w:i w:val="0"/>
                <w:sz w:val="18"/>
              </w:rPr>
              <w:t>wa.csv</w:t>
            </w:r>
            <w:r>
              <w:rPr>
                <w:b w:val="0"/>
                <w:i w:val="0"/>
                <w:sz w:val="18"/>
              </w:rPr>
              <w:t>、</w:t>
            </w:r>
            <w:r>
              <w:rPr>
                <w:rFonts w:ascii="DejaVu Sans Mono" w:hAnsi="DejaVu Sans Mono"/>
                <w:b w:val="0"/>
                <w:i w:val="0"/>
                <w:sz w:val="18"/>
              </w:rPr>
              <w:t>we.csv</w:t>
            </w:r>
          </w:p>
        </w:tc>
        <w:tc>
          <w:tcPr>
            <w:tcW w:type="dxa" w:w="3243"/>
            <w:vAlign w:val="center"/>
            <w:tcMar>
              <w:top w:w="90" w:type="dxa"/>
              <w:left w:w="90" w:type="dxa"/>
              <w:bottom w:w="90" w:type="dxa"/>
              <w:right w:w="90" w:type="dxa"/>
            </w:tcMar>
          </w:tcPr>
          <w:p>
            <w:pPr>
              <w:spacing w:after="40" w:line="276" w:lineRule="auto"/>
            </w:pPr>
            <w:r>
              <w:rPr>
                <w:b w:val="0"/>
                <w:i w:val="0"/>
                <w:sz w:val="18"/>
              </w:rPr>
              <w:t>光伏、陆风、海风的技术平均投资输入</w:t>
            </w:r>
          </w:p>
        </w:tc>
      </w:tr>
      <w:tr>
        <w:trPr>
          <w:cantSplit/>
        </w:trPr>
        <w:tc>
          <w:tcPr>
            <w:tcW w:type="dxa" w:w="2399"/>
            <w:vAlign w:val="center"/>
            <w:tcMar>
              <w:top w:w="90" w:type="dxa"/>
              <w:left w:w="90" w:type="dxa"/>
              <w:bottom w:w="90" w:type="dxa"/>
              <w:right w:w="90" w:type="dxa"/>
            </w:tcMar>
          </w:tcPr>
          <w:p>
            <w:pPr>
              <w:spacing w:after="40" w:line="276" w:lineRule="auto"/>
            </w:pPr>
            <w:r>
              <w:rPr>
                <w:b w:val="0"/>
                <w:i w:val="0"/>
                <w:sz w:val="18"/>
              </w:rPr>
              <w:t>资本与政策</w:t>
            </w:r>
          </w:p>
        </w:tc>
        <w:tc>
          <w:tcPr>
            <w:tcW w:type="dxa" w:w="4151"/>
            <w:vAlign w:val="center"/>
            <w:tcMar>
              <w:top w:w="90" w:type="dxa"/>
              <w:left w:w="90" w:type="dxa"/>
              <w:bottom w:w="90" w:type="dxa"/>
              <w:right w:w="90" w:type="dxa"/>
            </w:tcMar>
          </w:tcPr>
          <w:p>
            <w:pPr>
              <w:spacing w:after="40" w:line="276" w:lineRule="auto"/>
            </w:pPr>
            <w:r>
              <w:rPr>
                <w:rFonts w:ascii="DejaVu Sans Mono" w:hAnsi="DejaVu Sans Mono"/>
                <w:b w:val="0"/>
                <w:i w:val="0"/>
                <w:sz w:val="18"/>
              </w:rPr>
              <w:t>capital_costs.json</w:t>
            </w:r>
            <w:r>
              <w:rPr>
                <w:b w:val="0"/>
                <w:i w:val="0"/>
                <w:sz w:val="18"/>
              </w:rPr>
              <w:t>、</w:t>
            </w:r>
            <w:r>
              <w:rPr>
                <w:rFonts w:ascii="DejaVu Sans Mono" w:hAnsi="DejaVu Sans Mono"/>
                <w:b w:val="0"/>
                <w:i w:val="0"/>
                <w:sz w:val="18"/>
              </w:rPr>
              <w:t>model_parameters.json</w:t>
            </w:r>
            <w:r>
              <w:rPr>
                <w:b w:val="0"/>
                <w:i w:val="0"/>
                <w:sz w:val="18"/>
              </w:rPr>
              <w:t>、</w:t>
            </w:r>
            <w:r>
              <w:rPr>
                <w:rFonts w:ascii="DejaVu Sans Mono" w:hAnsi="DejaVu Sans Mono"/>
                <w:b w:val="0"/>
                <w:i w:val="0"/>
                <w:sz w:val="18"/>
              </w:rPr>
              <w:t>mechansim cost.xlsx</w:t>
            </w:r>
          </w:p>
        </w:tc>
        <w:tc>
          <w:tcPr>
            <w:tcW w:type="dxa" w:w="3243"/>
            <w:vAlign w:val="center"/>
            <w:tcMar>
              <w:top w:w="90" w:type="dxa"/>
              <w:left w:w="90" w:type="dxa"/>
              <w:bottom w:w="90" w:type="dxa"/>
              <w:right w:w="90" w:type="dxa"/>
            </w:tcMar>
          </w:tcPr>
          <w:p>
            <w:pPr>
              <w:spacing w:after="40" w:line="276" w:lineRule="auto"/>
            </w:pPr>
            <w:r>
              <w:rPr>
                <w:b w:val="0"/>
                <w:i w:val="0"/>
                <w:sz w:val="18"/>
              </w:rPr>
              <w:t>投资成本、财务参数及政策支出</w:t>
            </w:r>
          </w:p>
        </w:tc>
      </w:tr>
      <w:tr>
        <w:trPr>
          <w:cantSplit/>
        </w:trPr>
        <w:tc>
          <w:tcPr>
            <w:tcW w:type="dxa" w:w="2399"/>
            <w:vAlign w:val="center"/>
            <w:tcMar>
              <w:top w:w="90" w:type="dxa"/>
              <w:left w:w="90" w:type="dxa"/>
              <w:bottom w:w="90" w:type="dxa"/>
              <w:right w:w="90" w:type="dxa"/>
            </w:tcMar>
          </w:tcPr>
          <w:p>
            <w:pPr>
              <w:spacing w:after="40" w:line="276" w:lineRule="auto"/>
            </w:pPr>
            <w:r>
              <w:rPr>
                <w:b w:val="0"/>
                <w:i w:val="0"/>
                <w:sz w:val="18"/>
              </w:rPr>
              <w:t>外部市场</w:t>
            </w:r>
          </w:p>
        </w:tc>
        <w:tc>
          <w:tcPr>
            <w:tcW w:type="dxa" w:w="4151"/>
            <w:vAlign w:val="center"/>
            <w:tcMar>
              <w:top w:w="90" w:type="dxa"/>
              <w:left w:w="90" w:type="dxa"/>
              <w:bottom w:w="90" w:type="dxa"/>
              <w:right w:w="90" w:type="dxa"/>
            </w:tcMar>
          </w:tcPr>
          <w:p>
            <w:pPr>
              <w:spacing w:after="40" w:line="276" w:lineRule="auto"/>
            </w:pPr>
            <w:r>
              <w:rPr>
                <w:b w:val="0"/>
                <w:i w:val="0"/>
                <w:sz w:val="18"/>
              </w:rPr>
              <w:t xml:space="preserve">各国 </w:t>
            </w:r>
            <w:r>
              <w:rPr>
                <w:rFonts w:ascii="DejaVu Sans Mono" w:hAnsi="DejaVu Sans Mono"/>
                <w:b w:val="0"/>
                <w:i w:val="0"/>
                <w:sz w:val="18"/>
              </w:rPr>
              <w:t>flow_mw</w:t>
            </w:r>
            <w:r>
              <w:rPr>
                <w:b w:val="0"/>
                <w:i w:val="0"/>
                <w:sz w:val="18"/>
              </w:rPr>
              <w:t>、</w:t>
            </w:r>
            <w:r>
              <w:rPr>
                <w:rFonts w:ascii="DejaVu Sans Mono" w:hAnsi="DejaVu Sans Mono"/>
                <w:b w:val="0"/>
                <w:i w:val="0"/>
                <w:sz w:val="18"/>
              </w:rPr>
              <w:t>price_gbp_per_mwh</w:t>
            </w:r>
          </w:p>
        </w:tc>
        <w:tc>
          <w:tcPr>
            <w:tcW w:type="dxa" w:w="3243"/>
            <w:vAlign w:val="center"/>
            <w:tcMar>
              <w:top w:w="90" w:type="dxa"/>
              <w:left w:w="90" w:type="dxa"/>
              <w:bottom w:w="90" w:type="dxa"/>
              <w:right w:w="90" w:type="dxa"/>
            </w:tcMar>
          </w:tcPr>
          <w:p>
            <w:pPr>
              <w:spacing w:after="40" w:line="276" w:lineRule="auto"/>
            </w:pPr>
            <w:r>
              <w:rPr>
                <w:b w:val="0"/>
                <w:i w:val="0"/>
                <w:sz w:val="18"/>
              </w:rPr>
              <w:t>互联线可用交换量与外部报价</w:t>
            </w:r>
          </w:p>
        </w:tc>
      </w:tr>
      <w:tr>
        <w:trPr>
          <w:cantSplit/>
        </w:trPr>
        <w:tc>
          <w:tcPr>
            <w:tcW w:type="dxa" w:w="2399"/>
            <w:vAlign w:val="center"/>
            <w:tcMar>
              <w:top w:w="90" w:type="dxa"/>
              <w:left w:w="90" w:type="dxa"/>
              <w:bottom w:w="90" w:type="dxa"/>
              <w:right w:w="90" w:type="dxa"/>
            </w:tcMar>
          </w:tcPr>
          <w:p>
            <w:pPr>
              <w:spacing w:after="40" w:line="276" w:lineRule="auto"/>
            </w:pPr>
            <w:r>
              <w:rPr>
                <w:b w:val="0"/>
                <w:i w:val="0"/>
                <w:sz w:val="18"/>
              </w:rPr>
              <w:t>分区网络</w:t>
            </w:r>
          </w:p>
        </w:tc>
        <w:tc>
          <w:tcPr>
            <w:tcW w:type="dxa" w:w="4151"/>
            <w:vAlign w:val="center"/>
            <w:tcMar>
              <w:top w:w="90" w:type="dxa"/>
              <w:left w:w="90" w:type="dxa"/>
              <w:bottom w:w="90" w:type="dxa"/>
              <w:right w:w="90" w:type="dxa"/>
            </w:tcMar>
          </w:tcPr>
          <w:p>
            <w:pPr>
              <w:spacing w:after="40" w:line="276" w:lineRule="auto"/>
            </w:pPr>
            <w:r>
              <w:rPr>
                <w:b w:val="0"/>
                <w:i w:val="0"/>
                <w:sz w:val="18"/>
              </w:rPr>
              <w:t>区域、走廊、边界、资产映射、分区需求</w:t>
            </w:r>
          </w:p>
        </w:tc>
        <w:tc>
          <w:tcPr>
            <w:tcW w:type="dxa" w:w="3243"/>
            <w:vAlign w:val="center"/>
            <w:tcMar>
              <w:top w:w="90" w:type="dxa"/>
              <w:left w:w="90" w:type="dxa"/>
              <w:bottom w:w="90" w:type="dxa"/>
              <w:right w:w="90" w:type="dxa"/>
            </w:tcMar>
          </w:tcPr>
          <w:p>
            <w:pPr>
              <w:spacing w:after="40" w:line="276" w:lineRule="auto"/>
            </w:pPr>
            <w:r>
              <w:rPr>
                <w:b w:val="0"/>
                <w:i w:val="0"/>
                <w:sz w:val="18"/>
              </w:rPr>
              <w:t>空间供需平衡和传输约束</w:t>
            </w:r>
          </w:p>
        </w:tc>
      </w:tr>
    </w:tbl>
    <w:p>
      <w:pPr>
        <w:spacing w:after="20"/>
      </w:pPr>
    </w:p>
    <w:p>
      <w:pPr>
        <w:pStyle w:val="Heading2"/>
      </w:pPr>
      <w:r>
        <w:rPr>
          <w:b w:val="0"/>
          <w:i w:val="0"/>
        </w:rPr>
        <w:t>声明式读取与全年对齐</w:t>
      </w:r>
    </w:p>
    <w:p>
      <w:r>
        <w:rPr>
          <w:b w:val="0"/>
          <w:i w:val="0"/>
        </w:rPr>
        <w:t xml:space="preserve">两个口径均按声明的 </w:t>
      </w:r>
      <w:r>
        <w:rPr>
          <w:rFonts w:ascii="DejaVu Sans Mono" w:hAnsi="DejaVu Sans Mono"/>
          <w:b w:val="0"/>
          <w:i w:val="0"/>
          <w:sz w:val="17"/>
        </w:rPr>
        <w:t>csv_header</w:t>
      </w:r>
      <w:r>
        <w:rPr>
          <w:b w:val="0"/>
          <w:i w:val="0"/>
        </w:rPr>
        <w:t xml:space="preserve"> 表头规则读取 </w:t>
      </w:r>
      <w:r>
        <w:rPr>
          <w:rFonts w:ascii="DejaVu Sans Mono" w:hAnsi="DejaVu Sans Mono"/>
          <w:b w:val="0"/>
          <w:i w:val="0"/>
          <w:sz w:val="17"/>
        </w:rPr>
        <w:t>csv_column</w:t>
      </w:r>
      <w:r>
        <w:rPr>
          <w:b w:val="0"/>
          <w:i w:val="0"/>
        </w:rPr>
        <w:t xml:space="preserve">。隐式选中的整数序号列会终止读取。R029 的需求与边界序列通过 </w:t>
      </w:r>
      <w:r>
        <w:rPr>
          <w:rFonts w:ascii="DejaVu Sans Mono" w:hAnsi="DejaVu Sans Mono"/>
          <w:b w:val="0"/>
          <w:i w:val="0"/>
          <w:sz w:val="17"/>
        </w:rPr>
        <w:t>data_method.read_role</w:t>
      </w:r>
      <w:r>
        <w:rPr>
          <w:b w:val="0"/>
          <w:i w:val="0"/>
        </w:rPr>
        <w:t xml:space="preserve"> 和 </w:t>
      </w:r>
      <w:r>
        <w:rPr>
          <w:rFonts w:ascii="DejaVu Sans Mono" w:hAnsi="DejaVu Sans Mono"/>
          <w:b w:val="0"/>
          <w:i w:val="0"/>
          <w:sz w:val="17"/>
        </w:rPr>
        <w:t>data_​method.read_​boundary</w:t>
      </w:r>
      <w:r>
        <w:rPr>
          <w:b w:val="0"/>
          <w:i w:val="0"/>
        </w:rPr>
        <w:t xml:space="preserve"> 使用这一共享读取器。</w:t>
      </w:r>
    </w:p>
    <w:p>
      <w:r>
        <w:rPr>
          <w:b w:val="0"/>
          <w:i w:val="0"/>
        </w:rPr>
        <w:t xml:space="preserve">修正口径采用 </w:t>
      </w:r>
      <w:r>
        <w:rPr>
          <w:rFonts w:ascii="DejaVu Sans Mono" w:hAnsi="DejaVu Sans Mono"/>
          <w:b w:val="0"/>
          <w:i w:val="0"/>
          <w:sz w:val="17"/>
        </w:rPr>
        <w:t>declared-v2</w:t>
      </w:r>
      <w:r>
        <w:rPr>
          <w:b w:val="0"/>
          <w:i w:val="0"/>
        </w:rPr>
        <w:t xml:space="preserve">。未声明表头时，仅当首行所有单元格均为非数值才将其视为表头。未声明列名时，严格读取要求文件仅有一列全部为数值。源分辨率取自 </w:t>
      </w:r>
      <w:r>
        <w:rPr>
          <w:rFonts w:ascii="DejaVu Sans Mono" w:hAnsi="DejaVu Sans Mono"/>
          <w:b w:val="0"/>
          <w:i w:val="0"/>
          <w:sz w:val="17"/>
        </w:rPr>
        <w:t>interval_minutes</w:t>
      </w:r>
      <w:r>
        <w:rPr>
          <w:b w:val="0"/>
          <w:i w:val="0"/>
        </w:rPr>
        <w:t>，或根据 8,760、8,784 个数值推断为逐时；每个小时值随后用于两个半小时。</w:t>
      </w:r>
    </w:p>
    <w:p>
      <w:pPr>
        <w:keepNext/>
      </w:pPr>
      <w:r>
        <w:rPr>
          <w:b w:val="0"/>
          <w:i w:val="0"/>
        </w:rPr>
        <w:t>含 17,568 期的闰年需求序列删除 2 月 29 日的 48 期，并重新缩放余下数值以保留全年电量。</w:t>
      </w:r>
      <w:r>
        <w:rPr>
          <w:rFonts w:ascii="DejaVu Sans Mono" w:hAnsi="DejaVu Sans Mono"/>
          <w:b w:val="0"/>
          <w:i w:val="0"/>
          <w:sz w:val="17"/>
        </w:rPr>
        <w:t>normalize_​half_​hour_​year</w:t>
      </w:r>
      <w:r>
        <w:rPr>
          <w:b w:val="0"/>
          <w:i w:val="0"/>
        </w:rPr>
        <w:t xml:space="preserve"> 将源序列读为 </w:t>
      </w:r>
      <w:r>
        <w:rPr>
          <w:rFonts w:ascii="DejaVu Sans Mono" w:hAnsi="DejaVu Sans Mono"/>
          <w:b w:val="0"/>
          <w:i w:val="0"/>
          <w:sz w:val="17"/>
        </w:rPr>
        <w:t>numbers</w:t>
      </w:r>
      <w:r>
        <w:rPr>
          <w:b w:val="0"/>
          <w:i w:val="0"/>
        </w:rPr>
        <w:t xml:space="preserve">，保留值记为 </w:t>
      </w:r>
      <w:r>
        <w:rPr>
          <w:rFonts w:ascii="DejaVu Sans Mono" w:hAnsi="DejaVu Sans Mono"/>
          <w:b w:val="0"/>
          <w:i w:val="0"/>
          <w:sz w:val="17"/>
        </w:rPr>
        <w:t>reduced</w:t>
      </w:r>
      <w:r>
        <w:rPr>
          <w:b w:val="0"/>
          <w:i w:val="0"/>
        </w:rPr>
        <w:t>；保留值之和为正时，返回</w:t>
      </w:r>
    </w:p>
    <w:p>
      <w:pPr>
        <w:spacing w:after="160"/>
        <w:jc w:val="center"/>
      </w:pPr>
      <w:r>
        <w:drawing>
          <wp:inline xmlns:a="http://schemas.openxmlformats.org/drawingml/2006/main" xmlns:pic="http://schemas.openxmlformats.org/drawingml/2006/picture">
            <wp:extent cx="6217920" cy="712353"/>
            <wp:docPr id="2" name="Picture 2"/>
            <wp:cNvGraphicFramePr>
              <a:graphicFrameLocks noChangeAspect="1"/>
            </wp:cNvGraphicFramePr>
            <a:graphic>
              <a:graphicData uri="http://schemas.openxmlformats.org/drawingml/2006/picture">
                <pic:pic>
                  <pic:nvPicPr>
                    <pic:cNvPr id="0" name="eq-002.png"/>
                    <pic:cNvPicPr/>
                  </pic:nvPicPr>
                  <pic:blipFill>
                    <a:blip r:embed="rId12"/>
                    <a:stretch>
                      <a:fillRect/>
                    </a:stretch>
                  </pic:blipFill>
                  <pic:spPr>
                    <a:xfrm>
                      <a:off x="0" y="0"/>
                      <a:ext cx="6217920" cy="712353"/>
                    </a:xfrm>
                    <a:prstGeom prst="rect"/>
                  </pic:spPr>
                </pic:pic>
              </a:graphicData>
            </a:graphic>
          </wp:inline>
        </w:drawing>
      </w:r>
    </w:p>
    <w:p>
      <w:r>
        <w:rPr>
          <w:b w:val="0"/>
          <w:i w:val="0"/>
        </w:rPr>
        <w:t xml:space="preserve">保留值之和为零、原值之和非零时终止读取；全零序列保持为零。其他角色仅移除闰日，维持其余数值。绑定可以通过 </w:t>
      </w:r>
      <w:r>
        <w:rPr>
          <w:rFonts w:ascii="DejaVu Sans Mono" w:hAnsi="DejaVu Sans Mono"/>
          <w:b w:val="0"/>
          <w:i w:val="0"/>
          <w:sz w:val="17"/>
        </w:rPr>
        <w:t>leap_policy=keep</w:t>
      </w:r>
      <w:r>
        <w:rPr>
          <w:b w:val="0"/>
          <w:i w:val="0"/>
        </w:rPr>
        <w:t xml:space="preserve"> 显式保留闰日，此时运行取所需的前若干期。</w:t>
      </w:r>
    </w:p>
    <w:p>
      <w:r>
        <w:rPr>
          <w:b w:val="0"/>
          <w:i w:val="0"/>
        </w:rPr>
        <w:t>严格读取将足够长的序列截取至运行长度；短序列仅在声明循环或角色约定循环时从头重复，边界角色采用该循环约定。修正口径下的非工作区数据包采用严格读取，用户工作区数据包采用宽松读取，短序列从开头重复补齐；映射时需确认这一重复方式。</w:t>
      </w:r>
    </w:p>
    <w:p>
      <w:pPr>
        <w:keepLines/>
        <w:spacing w:line="276" w:lineRule="auto" w:after="160"/>
      </w:pPr>
      <w:r>
        <w:rPr>
          <w:rFonts w:ascii="DejaVu Sans Mono" w:hAnsi="DejaVu Sans Mono"/>
          <w:b w:val="0"/>
          <w:i w:val="0"/>
          <w:sz w:val="17"/>
        </w:rPr>
        <w:t>read = read_series(path, spec, mode=policy.reader_​mode,</w:t>
        <w:br/>
        <w:t xml:space="preserve">                   strictness=policy.strictness, legacy_header=header)</w:t>
        <w:br/>
        <w:t>values = align_​clock(read.values, periods, spec, mode=policy.clock_mode,</w:t>
        <w:br/>
        <w:t xml:space="preserve">                     strictness=policy.strictness,</w:t>
        <w:br/>
        <w:t xml:space="preserve">                     hourly_​repeat=hourly_​repeat, cyclic_default=cyclic)</w:t>
        <w:br/>
        <w:t>return values</w:t>
        <w:br/>
      </w:r>
    </w:p>
    <w:p>
      <w:r>
        <w:rPr>
          <w:b w:val="0"/>
          <w:i w:val="0"/>
        </w:rPr>
        <w:t xml:space="preserve">论文复现口径采用 </w:t>
      </w:r>
      <w:r>
        <w:rPr>
          <w:rFonts w:ascii="DejaVu Sans Mono" w:hAnsi="DejaVu Sans Mono"/>
          <w:b w:val="0"/>
          <w:i w:val="0"/>
          <w:sz w:val="17"/>
        </w:rPr>
        <w:t>legacy-v1</w:t>
      </w:r>
      <w:r>
        <w:rPr>
          <w:b w:val="0"/>
          <w:i w:val="0"/>
        </w:rPr>
        <w:t>：按角色设置表头、选择有效数值最多的列和重复短序列的规则与声明列读取共同生效。在 GBP1 public1 中，无表头预测文件的首值 21,560 被作为表头消耗，预测数值因此比实测序列领先一期。修正读取器将该首值保留为数据。</w:t>
      </w:r>
    </w:p>
    <w:p>
      <w:pPr>
        <w:pStyle w:val="Heading2"/>
      </w:pPr>
      <w:r>
        <w:rPr>
          <w:b w:val="0"/>
          <w:i w:val="0"/>
        </w:rPr>
        <w:t>需求序列与日历处理</w:t>
      </w:r>
    </w:p>
    <w:p>
      <w:r>
        <w:rPr>
          <w:b w:val="0"/>
          <w:i w:val="0"/>
        </w:rPr>
        <w:t>R029 采用 NESO 的 2022 年日前半小时需求预测及相应实际需求，作为各模型年的基础需求形状。GBP1 的需求在两个口径下采用相同的 UTC 预处理规则。</w:t>
      </w:r>
      <w:r>
        <w:rPr>
          <w:rFonts w:ascii="DejaVu Sans Mono" w:hAnsi="DejaVu Sans Mono"/>
          <w:b w:val="0"/>
          <w:i w:val="0"/>
          <w:sz w:val="17"/>
        </w:rPr>
        <w:t>actual_mw.csv</w:t>
      </w:r>
      <w:r>
        <w:rPr>
          <w:b w:val="0"/>
          <w:i w:val="0"/>
        </w:rPr>
        <w:t xml:space="preserve"> 与 </w:t>
      </w:r>
      <w:r>
        <w:rPr>
          <w:rFonts w:ascii="DejaVu Sans Mono" w:hAnsi="DejaVu Sans Mono"/>
          <w:b w:val="0"/>
          <w:i w:val="0"/>
          <w:sz w:val="17"/>
        </w:rPr>
        <w:t>forecast_mw.csv</w:t>
      </w:r>
      <w:r>
        <w:rPr>
          <w:b w:val="0"/>
          <w:i w:val="0"/>
        </w:rPr>
        <w:t xml:space="preserve"> 各含 17,520 行，初始序列的统计量如下；后续情景缩放作用于这一基础形状。</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3"/>
        <w:gridCol w:w="1927"/>
        <w:gridCol w:w="1927"/>
        <w:gridCol w:w="2118"/>
        <w:gridCol w:w="2118"/>
      </w:tblGrid>
      <w:tr>
        <w:trPr>
          <w:cantSplit/>
          <w:tblHeader w:val="true"/>
        </w:trPr>
        <w:tc>
          <w:tcPr>
            <w:tcW w:type="dxa" w:w="1703"/>
            <w:vAlign w:val="center"/>
            <w:tcMar>
              <w:top w:w="90" w:type="dxa"/>
              <w:left w:w="90" w:type="dxa"/>
              <w:bottom w:w="90" w:type="dxa"/>
              <w:right w:w="90" w:type="dxa"/>
            </w:tcMar>
            <w:shd w:fill="EEEEEE"/>
          </w:tcPr>
          <w:p>
            <w:pPr>
              <w:spacing w:after="40" w:line="276" w:lineRule="auto"/>
            </w:pPr>
            <w:r>
              <w:rPr>
                <w:b/>
                <w:i w:val="0"/>
                <w:sz w:val="18"/>
              </w:rPr>
              <w:t>序列</w:t>
            </w:r>
          </w:p>
        </w:tc>
        <w:tc>
          <w:tcPr>
            <w:tcW w:type="dxa" w:w="1927"/>
            <w:vAlign w:val="center"/>
            <w:tcMar>
              <w:top w:w="90" w:type="dxa"/>
              <w:left w:w="90" w:type="dxa"/>
              <w:bottom w:w="90" w:type="dxa"/>
              <w:right w:w="90" w:type="dxa"/>
            </w:tcMar>
            <w:shd w:fill="EEEEEE"/>
          </w:tcPr>
          <w:p>
            <w:pPr>
              <w:spacing w:after="40" w:line="276" w:lineRule="auto"/>
            </w:pPr>
            <w:r>
              <w:rPr>
                <w:b/>
                <w:i w:val="0"/>
                <w:sz w:val="18"/>
              </w:rPr>
              <w:t>最小功率 MW</w:t>
            </w:r>
          </w:p>
        </w:tc>
        <w:tc>
          <w:tcPr>
            <w:tcW w:type="dxa" w:w="1927"/>
            <w:vAlign w:val="center"/>
            <w:tcMar>
              <w:top w:w="90" w:type="dxa"/>
              <w:left w:w="90" w:type="dxa"/>
              <w:bottom w:w="90" w:type="dxa"/>
              <w:right w:w="90" w:type="dxa"/>
            </w:tcMar>
            <w:shd w:fill="EEEEEE"/>
          </w:tcPr>
          <w:p>
            <w:pPr>
              <w:spacing w:after="40" w:line="276" w:lineRule="auto"/>
            </w:pPr>
            <w:r>
              <w:rPr>
                <w:b/>
                <w:i w:val="0"/>
                <w:sz w:val="18"/>
              </w:rPr>
              <w:t>最大功率 MW</w:t>
            </w:r>
          </w:p>
        </w:tc>
        <w:tc>
          <w:tcPr>
            <w:tcW w:type="dxa" w:w="2118"/>
            <w:vAlign w:val="center"/>
            <w:tcMar>
              <w:top w:w="90" w:type="dxa"/>
              <w:left w:w="90" w:type="dxa"/>
              <w:bottom w:w="90" w:type="dxa"/>
              <w:right w:w="90" w:type="dxa"/>
            </w:tcMar>
            <w:shd w:fill="EEEEEE"/>
          </w:tcPr>
          <w:p>
            <w:pPr>
              <w:spacing w:after="40" w:line="276" w:lineRule="auto"/>
            </w:pPr>
            <w:r>
              <w:rPr>
                <w:b/>
                <w:i w:val="0"/>
                <w:sz w:val="18"/>
              </w:rPr>
              <w:t>平均功率 MW</w:t>
            </w:r>
          </w:p>
        </w:tc>
        <w:tc>
          <w:tcPr>
            <w:tcW w:type="dxa" w:w="2118"/>
            <w:vAlign w:val="center"/>
            <w:tcMar>
              <w:top w:w="90" w:type="dxa"/>
              <w:left w:w="90" w:type="dxa"/>
              <w:bottom w:w="90" w:type="dxa"/>
              <w:right w:w="90" w:type="dxa"/>
            </w:tcMar>
            <w:shd w:fill="EEEEEE"/>
          </w:tcPr>
          <w:p>
            <w:pPr>
              <w:spacing w:after="40" w:line="276" w:lineRule="auto"/>
            </w:pPr>
            <w:r>
              <w:rPr>
                <w:b/>
                <w:i w:val="0"/>
                <w:sz w:val="18"/>
              </w:rPr>
              <w:t>年电量 MWh</w:t>
            </w:r>
          </w:p>
        </w:tc>
      </w:tr>
      <w:tr>
        <w:trPr>
          <w:cantSplit/>
        </w:trPr>
        <w:tc>
          <w:tcPr>
            <w:tcW w:type="dxa" w:w="1703"/>
            <w:vAlign w:val="center"/>
            <w:tcMar>
              <w:top w:w="90" w:type="dxa"/>
              <w:left w:w="90" w:type="dxa"/>
              <w:bottom w:w="90" w:type="dxa"/>
              <w:right w:w="90" w:type="dxa"/>
            </w:tcMar>
          </w:tcPr>
          <w:p>
            <w:pPr>
              <w:spacing w:after="40" w:line="276" w:lineRule="auto"/>
            </w:pPr>
            <w:r>
              <w:rPr>
                <w:b w:val="0"/>
                <w:i w:val="0"/>
                <w:sz w:val="18"/>
              </w:rPr>
              <w:t>实际需求</w:t>
            </w:r>
          </w:p>
        </w:tc>
        <w:tc>
          <w:tcPr>
            <w:tcW w:type="dxa" w:w="1927"/>
            <w:vAlign w:val="center"/>
            <w:tcMar>
              <w:top w:w="90" w:type="dxa"/>
              <w:left w:w="90" w:type="dxa"/>
              <w:bottom w:w="90" w:type="dxa"/>
              <w:right w:w="90" w:type="dxa"/>
            </w:tcMar>
          </w:tcPr>
          <w:p>
            <w:pPr>
              <w:spacing w:after="40" w:line="276" w:lineRule="auto"/>
            </w:pPr>
            <w:r>
              <w:rPr>
                <w:b w:val="0"/>
                <w:i w:val="0"/>
                <w:sz w:val="18"/>
              </w:rPr>
              <w:t>15,080</w:t>
            </w:r>
          </w:p>
        </w:tc>
        <w:tc>
          <w:tcPr>
            <w:tcW w:type="dxa" w:w="1927"/>
            <w:vAlign w:val="center"/>
            <w:tcMar>
              <w:top w:w="90" w:type="dxa"/>
              <w:left w:w="90" w:type="dxa"/>
              <w:bottom w:w="90" w:type="dxa"/>
              <w:right w:w="90" w:type="dxa"/>
            </w:tcMar>
          </w:tcPr>
          <w:p>
            <w:pPr>
              <w:spacing w:after="40" w:line="276" w:lineRule="auto"/>
            </w:pPr>
            <w:r>
              <w:rPr>
                <w:b w:val="0"/>
                <w:i w:val="0"/>
                <w:sz w:val="18"/>
              </w:rPr>
              <w:t>46,042</w:t>
            </w:r>
          </w:p>
        </w:tc>
        <w:tc>
          <w:tcPr>
            <w:tcW w:type="dxa" w:w="2118"/>
            <w:vAlign w:val="center"/>
            <w:tcMar>
              <w:top w:w="90" w:type="dxa"/>
              <w:left w:w="90" w:type="dxa"/>
              <w:bottom w:w="90" w:type="dxa"/>
              <w:right w:w="90" w:type="dxa"/>
            </w:tcMar>
          </w:tcPr>
          <w:p>
            <w:pPr>
              <w:spacing w:after="40" w:line="276" w:lineRule="auto"/>
            </w:pPr>
            <w:r>
              <w:rPr>
                <w:b w:val="0"/>
                <w:i w:val="0"/>
                <w:sz w:val="18"/>
              </w:rPr>
              <w:t>26,587.967637</w:t>
            </w:r>
          </w:p>
        </w:tc>
        <w:tc>
          <w:tcPr>
            <w:tcW w:type="dxa" w:w="2118"/>
            <w:vAlign w:val="center"/>
            <w:tcMar>
              <w:top w:w="90" w:type="dxa"/>
              <w:left w:w="90" w:type="dxa"/>
              <w:bottom w:w="90" w:type="dxa"/>
              <w:right w:w="90" w:type="dxa"/>
            </w:tcMar>
          </w:tcPr>
          <w:p>
            <w:pPr>
              <w:spacing w:after="40" w:line="276" w:lineRule="auto"/>
            </w:pPr>
            <w:r>
              <w:rPr>
                <w:b w:val="0"/>
                <w:i w:val="0"/>
                <w:sz w:val="18"/>
              </w:rPr>
              <w:t>232,910,596.5</w:t>
            </w:r>
          </w:p>
        </w:tc>
      </w:tr>
      <w:tr>
        <w:trPr>
          <w:cantSplit/>
        </w:trPr>
        <w:tc>
          <w:tcPr>
            <w:tcW w:type="dxa" w:w="1703"/>
            <w:vAlign w:val="center"/>
            <w:tcMar>
              <w:top w:w="90" w:type="dxa"/>
              <w:left w:w="90" w:type="dxa"/>
              <w:bottom w:w="90" w:type="dxa"/>
              <w:right w:w="90" w:type="dxa"/>
            </w:tcMar>
          </w:tcPr>
          <w:p>
            <w:pPr>
              <w:spacing w:after="40" w:line="276" w:lineRule="auto"/>
            </w:pPr>
            <w:r>
              <w:rPr>
                <w:b w:val="0"/>
                <w:i w:val="0"/>
                <w:sz w:val="18"/>
              </w:rPr>
              <w:t>日前预测</w:t>
            </w:r>
          </w:p>
        </w:tc>
        <w:tc>
          <w:tcPr>
            <w:tcW w:type="dxa" w:w="1927"/>
            <w:vAlign w:val="center"/>
            <w:tcMar>
              <w:top w:w="90" w:type="dxa"/>
              <w:left w:w="90" w:type="dxa"/>
              <w:bottom w:w="90" w:type="dxa"/>
              <w:right w:w="90" w:type="dxa"/>
            </w:tcMar>
          </w:tcPr>
          <w:p>
            <w:pPr>
              <w:spacing w:after="40" w:line="276" w:lineRule="auto"/>
            </w:pPr>
            <w:r>
              <w:rPr>
                <w:b w:val="0"/>
                <w:i w:val="0"/>
                <w:sz w:val="18"/>
              </w:rPr>
              <w:t>14,240</w:t>
            </w:r>
          </w:p>
        </w:tc>
        <w:tc>
          <w:tcPr>
            <w:tcW w:type="dxa" w:w="1927"/>
            <w:vAlign w:val="center"/>
            <w:tcMar>
              <w:top w:w="90" w:type="dxa"/>
              <w:left w:w="90" w:type="dxa"/>
              <w:bottom w:w="90" w:type="dxa"/>
              <w:right w:w="90" w:type="dxa"/>
            </w:tcMar>
          </w:tcPr>
          <w:p>
            <w:pPr>
              <w:spacing w:after="40" w:line="276" w:lineRule="auto"/>
            </w:pPr>
            <w:r>
              <w:rPr>
                <w:b w:val="0"/>
                <w:i w:val="0"/>
                <w:sz w:val="18"/>
              </w:rPr>
              <w:t>46,760</w:t>
            </w:r>
          </w:p>
        </w:tc>
        <w:tc>
          <w:tcPr>
            <w:tcW w:type="dxa" w:w="2118"/>
            <w:vAlign w:val="center"/>
            <w:tcMar>
              <w:top w:w="90" w:type="dxa"/>
              <w:left w:w="90" w:type="dxa"/>
              <w:bottom w:w="90" w:type="dxa"/>
              <w:right w:w="90" w:type="dxa"/>
            </w:tcMar>
          </w:tcPr>
          <w:p>
            <w:pPr>
              <w:spacing w:after="40" w:line="276" w:lineRule="auto"/>
            </w:pPr>
            <w:r>
              <w:rPr>
                <w:b w:val="0"/>
                <w:i w:val="0"/>
                <w:sz w:val="18"/>
              </w:rPr>
              <w:t>26,611.131963</w:t>
            </w:r>
          </w:p>
        </w:tc>
        <w:tc>
          <w:tcPr>
            <w:tcW w:type="dxa" w:w="2118"/>
            <w:vAlign w:val="center"/>
            <w:tcMar>
              <w:top w:w="90" w:type="dxa"/>
              <w:left w:w="90" w:type="dxa"/>
              <w:bottom w:w="90" w:type="dxa"/>
              <w:right w:w="90" w:type="dxa"/>
            </w:tcMar>
          </w:tcPr>
          <w:p>
            <w:pPr>
              <w:spacing w:after="40" w:line="276" w:lineRule="auto"/>
            </w:pPr>
            <w:r>
              <w:rPr>
                <w:b w:val="0"/>
                <w:i w:val="0"/>
                <w:sz w:val="18"/>
              </w:rPr>
              <w:t>233,113,516</w:t>
            </w:r>
          </w:p>
        </w:tc>
      </w:tr>
    </w:tbl>
    <w:p>
      <w:pPr>
        <w:spacing w:after="20"/>
      </w:pPr>
    </w:p>
    <w:p>
      <w:r>
        <w:rPr>
          <w:b w:val="0"/>
          <w:i w:val="0"/>
        </w:rPr>
        <w:t>需求预处理以结算日期和结算时段识别重复记录，再将英国本地日期转换为 UTC 时间轴。对于同一结算时段，采用最新发布时间的记录；发布时间相同则取最后一行。原始 17,518 行经过重复项合并后形成 17,516 行，四个缺失半小时时段采用 UTC 线性插值补齐。</w:t>
      </w:r>
    </w:p>
    <w:p>
      <w:r>
        <w:rPr>
          <w:b w:val="0"/>
          <w:i w:val="0"/>
        </w:rPr>
        <w:t>线性插值将缺口两端已知值之差等分。缺一个半小时时，补值为两个端点的均值；缺两个半小时时，补值依次位于前一观测值向后一观测值变化的三分之一和三分之二处。</w:t>
      </w:r>
    </w:p>
    <w:p>
      <w:r>
        <w:rPr>
          <w:b w:val="0"/>
          <w:i w:val="0"/>
        </w:rPr>
        <w:t>2022 年输入的每段缺口至多包含两个连续时段，补值集中在 10 月 30 日。表中数值以 MW 表示，展示到六位小数。</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99"/>
        <w:gridCol w:w="3146"/>
        <w:gridCol w:w="3146"/>
      </w:tblGrid>
      <w:tr>
        <w:trPr>
          <w:cantSplit/>
          <w:tblHeader w:val="true"/>
        </w:trPr>
        <w:tc>
          <w:tcPr>
            <w:tcW w:type="dxa" w:w="3499"/>
            <w:vAlign w:val="center"/>
            <w:tcMar>
              <w:top w:w="90" w:type="dxa"/>
              <w:left w:w="90" w:type="dxa"/>
              <w:bottom w:w="90" w:type="dxa"/>
              <w:right w:w="90" w:type="dxa"/>
            </w:tcMar>
            <w:shd w:fill="EEEEEE"/>
          </w:tcPr>
          <w:p>
            <w:pPr>
              <w:spacing w:after="40" w:line="276" w:lineRule="auto"/>
            </w:pPr>
            <w:r>
              <w:rPr>
                <w:b/>
                <w:i w:val="0"/>
                <w:sz w:val="18"/>
              </w:rPr>
              <w:t>UTC 时刻</w:t>
            </w:r>
          </w:p>
        </w:tc>
        <w:tc>
          <w:tcPr>
            <w:tcW w:type="dxa" w:w="3146"/>
            <w:vAlign w:val="center"/>
            <w:tcMar>
              <w:top w:w="90" w:type="dxa"/>
              <w:left w:w="90" w:type="dxa"/>
              <w:bottom w:w="90" w:type="dxa"/>
              <w:right w:w="90" w:type="dxa"/>
            </w:tcMar>
            <w:shd w:fill="EEEEEE"/>
          </w:tcPr>
          <w:p>
            <w:pPr>
              <w:spacing w:after="40" w:line="276" w:lineRule="auto"/>
            </w:pPr>
            <w:r>
              <w:rPr>
                <w:b/>
                <w:i w:val="0"/>
                <w:sz w:val="18"/>
              </w:rPr>
              <w:t>预测需求 MW</w:t>
            </w:r>
          </w:p>
        </w:tc>
        <w:tc>
          <w:tcPr>
            <w:tcW w:type="dxa" w:w="3146"/>
            <w:vAlign w:val="center"/>
            <w:tcMar>
              <w:top w:w="90" w:type="dxa"/>
              <w:left w:w="90" w:type="dxa"/>
              <w:bottom w:w="90" w:type="dxa"/>
              <w:right w:w="90" w:type="dxa"/>
            </w:tcMar>
            <w:shd w:fill="EEEEEE"/>
          </w:tcPr>
          <w:p>
            <w:pPr>
              <w:spacing w:after="40" w:line="276" w:lineRule="auto"/>
            </w:pPr>
            <w:r>
              <w:rPr>
                <w:b/>
                <w:i w:val="0"/>
                <w:sz w:val="18"/>
              </w:rPr>
              <w:t>实际需求 MW</w:t>
            </w:r>
          </w:p>
        </w:tc>
      </w:tr>
      <w:tr>
        <w:trPr>
          <w:cantSplit/>
        </w:trPr>
        <w:tc>
          <w:tcPr>
            <w:tcW w:type="dxa" w:w="3499"/>
            <w:vAlign w:val="center"/>
            <w:tcMar>
              <w:top w:w="90" w:type="dxa"/>
              <w:left w:w="90" w:type="dxa"/>
              <w:bottom w:w="90" w:type="dxa"/>
              <w:right w:w="90" w:type="dxa"/>
            </w:tcMar>
          </w:tcPr>
          <w:p>
            <w:pPr>
              <w:spacing w:after="40" w:line="276" w:lineRule="auto"/>
            </w:pPr>
            <w:r>
              <w:rPr>
                <w:b w:val="0"/>
                <w:i w:val="0"/>
                <w:sz w:val="18"/>
              </w:rPr>
              <w:t>2022-10-30 09:00</w:t>
            </w:r>
          </w:p>
        </w:tc>
        <w:tc>
          <w:tcPr>
            <w:tcW w:type="dxa" w:w="3146"/>
            <w:vAlign w:val="center"/>
            <w:tcMar>
              <w:top w:w="90" w:type="dxa"/>
              <w:left w:w="90" w:type="dxa"/>
              <w:bottom w:w="90" w:type="dxa"/>
              <w:right w:w="90" w:type="dxa"/>
            </w:tcMar>
          </w:tcPr>
          <w:p>
            <w:pPr>
              <w:spacing w:after="40" w:line="276" w:lineRule="auto"/>
            </w:pPr>
            <w:r>
              <w:rPr>
                <w:b w:val="0"/>
                <w:i w:val="0"/>
                <w:sz w:val="18"/>
              </w:rPr>
              <w:t>22,638.666667</w:t>
            </w:r>
          </w:p>
        </w:tc>
        <w:tc>
          <w:tcPr>
            <w:tcW w:type="dxa" w:w="3146"/>
            <w:vAlign w:val="center"/>
            <w:tcMar>
              <w:top w:w="90" w:type="dxa"/>
              <w:left w:w="90" w:type="dxa"/>
              <w:bottom w:w="90" w:type="dxa"/>
              <w:right w:w="90" w:type="dxa"/>
            </w:tcMar>
          </w:tcPr>
          <w:p>
            <w:pPr>
              <w:spacing w:after="40" w:line="276" w:lineRule="auto"/>
            </w:pPr>
            <w:r>
              <w:rPr>
                <w:b w:val="0"/>
                <w:i w:val="0"/>
                <w:sz w:val="18"/>
              </w:rPr>
              <w:t>24,649</w:t>
            </w:r>
          </w:p>
        </w:tc>
      </w:tr>
      <w:tr>
        <w:trPr>
          <w:cantSplit/>
        </w:trPr>
        <w:tc>
          <w:tcPr>
            <w:tcW w:type="dxa" w:w="3499"/>
            <w:vAlign w:val="center"/>
            <w:tcMar>
              <w:top w:w="90" w:type="dxa"/>
              <w:left w:w="90" w:type="dxa"/>
              <w:bottom w:w="90" w:type="dxa"/>
              <w:right w:w="90" w:type="dxa"/>
            </w:tcMar>
          </w:tcPr>
          <w:p>
            <w:pPr>
              <w:spacing w:after="40" w:line="276" w:lineRule="auto"/>
            </w:pPr>
            <w:r>
              <w:rPr>
                <w:b w:val="0"/>
                <w:i w:val="0"/>
                <w:sz w:val="18"/>
              </w:rPr>
              <w:t>2022-10-30 09:30</w:t>
            </w:r>
          </w:p>
        </w:tc>
        <w:tc>
          <w:tcPr>
            <w:tcW w:type="dxa" w:w="3146"/>
            <w:vAlign w:val="center"/>
            <w:tcMar>
              <w:top w:w="90" w:type="dxa"/>
              <w:left w:w="90" w:type="dxa"/>
              <w:bottom w:w="90" w:type="dxa"/>
              <w:right w:w="90" w:type="dxa"/>
            </w:tcMar>
          </w:tcPr>
          <w:p>
            <w:pPr>
              <w:spacing w:after="40" w:line="276" w:lineRule="auto"/>
            </w:pPr>
            <w:r>
              <w:rPr>
                <w:b w:val="0"/>
                <w:i w:val="0"/>
                <w:sz w:val="18"/>
              </w:rPr>
              <w:t>22,899.333333</w:t>
            </w:r>
          </w:p>
        </w:tc>
        <w:tc>
          <w:tcPr>
            <w:tcW w:type="dxa" w:w="3146"/>
            <w:vAlign w:val="center"/>
            <w:tcMar>
              <w:top w:w="90" w:type="dxa"/>
              <w:left w:w="90" w:type="dxa"/>
              <w:bottom w:w="90" w:type="dxa"/>
              <w:right w:w="90" w:type="dxa"/>
            </w:tcMar>
          </w:tcPr>
          <w:p>
            <w:pPr>
              <w:spacing w:after="40" w:line="276" w:lineRule="auto"/>
            </w:pPr>
            <w:r>
              <w:rPr>
                <w:b w:val="0"/>
                <w:i w:val="0"/>
                <w:sz w:val="18"/>
              </w:rPr>
              <w:t>24,727</w:t>
            </w:r>
          </w:p>
        </w:tc>
      </w:tr>
      <w:tr>
        <w:trPr>
          <w:cantSplit/>
        </w:trPr>
        <w:tc>
          <w:tcPr>
            <w:tcW w:type="dxa" w:w="3499"/>
            <w:vAlign w:val="center"/>
            <w:tcMar>
              <w:top w:w="90" w:type="dxa"/>
              <w:left w:w="90" w:type="dxa"/>
              <w:bottom w:w="90" w:type="dxa"/>
              <w:right w:w="90" w:type="dxa"/>
            </w:tcMar>
          </w:tcPr>
          <w:p>
            <w:pPr>
              <w:spacing w:after="40" w:line="276" w:lineRule="auto"/>
            </w:pPr>
            <w:r>
              <w:rPr>
                <w:b w:val="0"/>
                <w:i w:val="0"/>
                <w:sz w:val="18"/>
              </w:rPr>
              <w:t>2022-10-30 23:00</w:t>
            </w:r>
          </w:p>
        </w:tc>
        <w:tc>
          <w:tcPr>
            <w:tcW w:type="dxa" w:w="3146"/>
            <w:vAlign w:val="center"/>
            <w:tcMar>
              <w:top w:w="90" w:type="dxa"/>
              <w:left w:w="90" w:type="dxa"/>
              <w:bottom w:w="90" w:type="dxa"/>
              <w:right w:w="90" w:type="dxa"/>
            </w:tcMar>
          </w:tcPr>
          <w:p>
            <w:pPr>
              <w:spacing w:after="40" w:line="276" w:lineRule="auto"/>
            </w:pPr>
            <w:r>
              <w:rPr>
                <w:b w:val="0"/>
                <w:i w:val="0"/>
                <w:sz w:val="18"/>
              </w:rPr>
              <w:t>19,063.333333</w:t>
            </w:r>
          </w:p>
        </w:tc>
        <w:tc>
          <w:tcPr>
            <w:tcW w:type="dxa" w:w="3146"/>
            <w:vAlign w:val="center"/>
            <w:tcMar>
              <w:top w:w="90" w:type="dxa"/>
              <w:left w:w="90" w:type="dxa"/>
              <w:bottom w:w="90" w:type="dxa"/>
              <w:right w:w="90" w:type="dxa"/>
            </w:tcMar>
          </w:tcPr>
          <w:p>
            <w:pPr>
              <w:spacing w:after="40" w:line="276" w:lineRule="auto"/>
            </w:pPr>
            <w:r>
              <w:rPr>
                <w:b w:val="0"/>
                <w:i w:val="0"/>
                <w:sz w:val="18"/>
              </w:rPr>
              <w:t>20,494.666667</w:t>
            </w:r>
          </w:p>
        </w:tc>
      </w:tr>
      <w:tr>
        <w:trPr>
          <w:cantSplit/>
        </w:trPr>
        <w:tc>
          <w:tcPr>
            <w:tcW w:type="dxa" w:w="3499"/>
            <w:vAlign w:val="center"/>
            <w:tcMar>
              <w:top w:w="90" w:type="dxa"/>
              <w:left w:w="90" w:type="dxa"/>
              <w:bottom w:w="90" w:type="dxa"/>
              <w:right w:w="90" w:type="dxa"/>
            </w:tcMar>
          </w:tcPr>
          <w:p>
            <w:pPr>
              <w:spacing w:after="40" w:line="276" w:lineRule="auto"/>
            </w:pPr>
            <w:r>
              <w:rPr>
                <w:b w:val="0"/>
                <w:i w:val="0"/>
                <w:sz w:val="18"/>
              </w:rPr>
              <w:t>2022-10-30 23:30</w:t>
            </w:r>
          </w:p>
        </w:tc>
        <w:tc>
          <w:tcPr>
            <w:tcW w:type="dxa" w:w="3146"/>
            <w:vAlign w:val="center"/>
            <w:tcMar>
              <w:top w:w="90" w:type="dxa"/>
              <w:left w:w="90" w:type="dxa"/>
              <w:bottom w:w="90" w:type="dxa"/>
              <w:right w:w="90" w:type="dxa"/>
            </w:tcMar>
          </w:tcPr>
          <w:p>
            <w:pPr>
              <w:spacing w:after="40" w:line="276" w:lineRule="auto"/>
            </w:pPr>
            <w:r>
              <w:rPr>
                <w:b w:val="0"/>
                <w:i w:val="0"/>
                <w:sz w:val="18"/>
              </w:rPr>
              <w:t>19,086.666667</w:t>
            </w:r>
          </w:p>
        </w:tc>
        <w:tc>
          <w:tcPr>
            <w:tcW w:type="dxa" w:w="3146"/>
            <w:vAlign w:val="center"/>
            <w:tcMar>
              <w:top w:w="90" w:type="dxa"/>
              <w:left w:w="90" w:type="dxa"/>
              <w:bottom w:w="90" w:type="dxa"/>
              <w:right w:w="90" w:type="dxa"/>
            </w:tcMar>
          </w:tcPr>
          <w:p>
            <w:pPr>
              <w:spacing w:after="40" w:line="276" w:lineRule="auto"/>
            </w:pPr>
            <w:r>
              <w:rPr>
                <w:b w:val="0"/>
                <w:i w:val="0"/>
                <w:sz w:val="18"/>
              </w:rPr>
              <w:t>19,689.333333</w:t>
            </w:r>
          </w:p>
        </w:tc>
      </w:tr>
    </w:tbl>
    <w:p>
      <w:pPr>
        <w:spacing w:after="20"/>
      </w:pPr>
    </w:p>
    <w:p>
      <w:pPr>
        <w:pStyle w:val="Heading2"/>
      </w:pPr>
      <w:r>
        <w:rPr>
          <w:b w:val="0"/>
          <w:i w:val="0"/>
        </w:rPr>
        <w:t>初始资产与规划项目</w:t>
      </w:r>
    </w:p>
    <w:p>
      <w:r>
        <w:rPr>
          <w:b w:val="0"/>
          <w:i w:val="0"/>
        </w:rPr>
        <w:t>初始风光储资产由 REPD 的项目技术、投运状态、投运年份和容量共同确定。输入采用 DESNZ《Renewable Energy Planning Database》2025 年第二季度、7 月发布版本；原表包含 12,977 个项目、53 个字段，规范化后保留 10,653 个项目、14 个字段。</w:t>
      </w:r>
    </w:p>
    <w:p>
      <w:r>
        <w:rPr>
          <w:b w:val="0"/>
          <w:i w:val="0"/>
        </w:rPr>
        <w:t>规范化过程保留可识别技术且容量为正的项目，并统一技术名称、数值和日期字段。14 个字段覆盖项目编号、站名、规范技术与原技术名称、MW 容量、开发状态、地区、国家、申请日期、获批日期、施工日期、投运日期以及两个坐标；数值转换失败和原始缺失日期继续作为缺失值参与后续筛选。规范技术包括陆风、海风、光伏、电池和气电。</w:t>
      </w:r>
    </w:p>
    <w:p>
      <w:r>
        <w:rPr>
          <w:b w:val="0"/>
          <w:i w:val="0"/>
        </w:rPr>
        <w:t>运行初始容量由研究起始年以前已投运的资产构成。</w:t>
      </w:r>
      <w:r>
        <w:rPr>
          <w:rFonts w:ascii="DejaVu Sans Mono" w:hAnsi="DejaVu Sans Mono"/>
          <w:b w:val="0"/>
          <w:i w:val="0"/>
          <w:sz w:val="17"/>
        </w:rPr>
        <w:t>build_​repd_​operational_​snapshot</w:t>
      </w:r>
      <w:r>
        <w:rPr>
          <w:b w:val="0"/>
          <w:i w:val="0"/>
        </w:rPr>
        <w:t xml:space="preserve"> 选取状态为 </w:t>
      </w:r>
      <w:r>
        <w:rPr>
          <w:rFonts w:ascii="DejaVu Sans Mono" w:hAnsi="DejaVu Sans Mono"/>
          <w:b w:val="0"/>
          <w:i w:val="0"/>
          <w:sz w:val="17"/>
        </w:rPr>
        <w:t>Operational</w:t>
      </w:r>
      <w:r>
        <w:rPr>
          <w:b w:val="0"/>
          <w:i w:val="0"/>
        </w:rPr>
        <w:t xml:space="preserve">、投运年早于或等于起始年、容量为正的风光储项目，并将其映射到对应代表资产；电池容量按储能模板的 </w:t>
      </w:r>
      <w:r>
        <w:rPr>
          <w:rFonts w:ascii="DejaVu Sans Mono" w:hAnsi="DejaVu Sans Mono"/>
          <w:b w:val="0"/>
          <w:i w:val="0"/>
          <w:sz w:val="17"/>
        </w:rPr>
        <w:t>pool_limit</w:t>
      </w:r>
      <w:r>
        <w:rPr>
          <w:b w:val="0"/>
          <w:i w:val="0"/>
        </w:rPr>
        <w:t xml:space="preserve"> 权重分配。核电容量采用单独的电站政策与年度投退运计划。</w:t>
      </w:r>
    </w:p>
    <w:p>
      <w:r>
        <w:rPr>
          <w:b w:val="0"/>
          <w:i w:val="0"/>
        </w:rPr>
        <w:t>R029 的 2025 年初始资产设定包含下表容量，核电、燃气和部分其他技术采用聚合表示。修正口径的默认路径对具备电站政策的 GBP1 研究采用逐站核电可用率及按月停发规则，R029 聚合核电采用 0.723 的可用率。径流水电采用负荷率 0.3487 与季节形状的乘积（第 5 章）。论文复现口径保留 100% 可用率；独立的 R029 实验路径也采用这一输入约定。</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21"/>
        <w:gridCol w:w="2005"/>
        <w:gridCol w:w="2483"/>
        <w:gridCol w:w="2483"/>
      </w:tblGrid>
      <w:tr>
        <w:trPr>
          <w:cantSplit/>
          <w:tblHeader w:val="true"/>
        </w:trPr>
        <w:tc>
          <w:tcPr>
            <w:tcW w:type="dxa" w:w="2821"/>
            <w:vAlign w:val="center"/>
            <w:tcMar>
              <w:top w:w="90" w:type="dxa"/>
              <w:left w:w="90" w:type="dxa"/>
              <w:bottom w:w="90" w:type="dxa"/>
              <w:right w:w="90" w:type="dxa"/>
            </w:tcMar>
            <w:shd w:fill="EEEEEE"/>
          </w:tcPr>
          <w:p>
            <w:pPr>
              <w:spacing w:after="40" w:line="276" w:lineRule="auto"/>
            </w:pPr>
            <w:r>
              <w:rPr>
                <w:b/>
                <w:i w:val="0"/>
                <w:sz w:val="18"/>
              </w:rPr>
              <w:t>技术</w:t>
            </w:r>
          </w:p>
        </w:tc>
        <w:tc>
          <w:tcPr>
            <w:tcW w:type="dxa" w:w="2005"/>
            <w:vAlign w:val="center"/>
            <w:tcMar>
              <w:top w:w="90" w:type="dxa"/>
              <w:left w:w="90" w:type="dxa"/>
              <w:bottom w:w="90" w:type="dxa"/>
              <w:right w:w="90" w:type="dxa"/>
            </w:tcMar>
            <w:shd w:fill="EEEEEE"/>
          </w:tcPr>
          <w:p>
            <w:pPr>
              <w:spacing w:after="40" w:line="276" w:lineRule="auto"/>
            </w:pPr>
            <w:r>
              <w:rPr>
                <w:b/>
                <w:i w:val="0"/>
                <w:sz w:val="18"/>
              </w:rPr>
              <w:t>资产行数</w:t>
            </w:r>
          </w:p>
        </w:tc>
        <w:tc>
          <w:tcPr>
            <w:tcW w:type="dxa" w:w="2483"/>
            <w:vAlign w:val="center"/>
            <w:tcMar>
              <w:top w:w="90" w:type="dxa"/>
              <w:left w:w="90" w:type="dxa"/>
              <w:bottom w:w="90" w:type="dxa"/>
              <w:right w:w="90" w:type="dxa"/>
            </w:tcMar>
            <w:shd w:fill="EEEEEE"/>
          </w:tcPr>
          <w:p>
            <w:pPr>
              <w:spacing w:after="40" w:line="276" w:lineRule="auto"/>
            </w:pPr>
            <w:r>
              <w:rPr>
                <w:b/>
                <w:i w:val="0"/>
                <w:sz w:val="18"/>
              </w:rPr>
              <w:t>功率 MW</w:t>
            </w:r>
          </w:p>
        </w:tc>
        <w:tc>
          <w:tcPr>
            <w:tcW w:type="dxa" w:w="2483"/>
            <w:vAlign w:val="center"/>
            <w:tcMar>
              <w:top w:w="90" w:type="dxa"/>
              <w:left w:w="90" w:type="dxa"/>
              <w:bottom w:w="90" w:type="dxa"/>
              <w:right w:w="90" w:type="dxa"/>
            </w:tcMar>
            <w:shd w:fill="EEEEEE"/>
          </w:tcPr>
          <w:p>
            <w:pPr>
              <w:spacing w:after="40" w:line="276" w:lineRule="auto"/>
            </w:pPr>
            <w:r>
              <w:rPr>
                <w:b/>
                <w:i w:val="0"/>
                <w:sz w:val="18"/>
              </w:rPr>
              <w:t>储能电量 MWh</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联合循环燃气 CCGT</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28,000</w:t>
            </w:r>
          </w:p>
        </w:tc>
        <w:tc>
          <w:tcPr>
            <w:tcW w:type="dxa" w:w="2483"/>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径流式水电</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2,000</w:t>
            </w:r>
          </w:p>
        </w:tc>
        <w:tc>
          <w:tcPr>
            <w:tcW w:type="dxa" w:w="2483"/>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核电</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5,958</w:t>
            </w:r>
          </w:p>
        </w:tc>
        <w:tc>
          <w:tcPr>
            <w:tcW w:type="dxa" w:w="2483"/>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开式循环燃气 OCGT</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4,146</w:t>
            </w:r>
          </w:p>
        </w:tc>
        <w:tc>
          <w:tcPr>
            <w:tcW w:type="dxa" w:w="2483"/>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生物质与废弃物</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4,762</w:t>
            </w:r>
          </w:p>
        </w:tc>
        <w:tc>
          <w:tcPr>
            <w:tcW w:type="dxa" w:w="2483"/>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海上风电</w:t>
            </w:r>
          </w:p>
        </w:tc>
        <w:tc>
          <w:tcPr>
            <w:tcW w:type="dxa" w:w="2005"/>
            <w:vAlign w:val="center"/>
            <w:tcMar>
              <w:top w:w="90" w:type="dxa"/>
              <w:left w:w="90" w:type="dxa"/>
              <w:bottom w:w="90" w:type="dxa"/>
              <w:right w:w="90" w:type="dxa"/>
            </w:tcMar>
          </w:tcPr>
          <w:p>
            <w:pPr>
              <w:spacing w:after="40" w:line="276" w:lineRule="auto"/>
            </w:pPr>
            <w:r>
              <w:rPr>
                <w:b w:val="0"/>
                <w:i w:val="0"/>
                <w:sz w:val="18"/>
              </w:rPr>
              <w:t>18</w:t>
            </w:r>
          </w:p>
        </w:tc>
        <w:tc>
          <w:tcPr>
            <w:tcW w:type="dxa" w:w="2483"/>
            <w:vAlign w:val="center"/>
            <w:tcMar>
              <w:top w:w="90" w:type="dxa"/>
              <w:left w:w="90" w:type="dxa"/>
              <w:bottom w:w="90" w:type="dxa"/>
              <w:right w:w="90" w:type="dxa"/>
            </w:tcMar>
          </w:tcPr>
          <w:p>
            <w:pPr>
              <w:spacing w:after="40" w:line="276" w:lineRule="auto"/>
            </w:pPr>
            <w:r>
              <w:rPr>
                <w:b w:val="0"/>
                <w:i w:val="0"/>
                <w:sz w:val="18"/>
              </w:rPr>
              <w:t>14,679</w:t>
            </w:r>
          </w:p>
        </w:tc>
        <w:tc>
          <w:tcPr>
            <w:tcW w:type="dxa" w:w="2483"/>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陆上风电</w:t>
            </w:r>
          </w:p>
        </w:tc>
        <w:tc>
          <w:tcPr>
            <w:tcW w:type="dxa" w:w="2005"/>
            <w:vAlign w:val="center"/>
            <w:tcMar>
              <w:top w:w="90" w:type="dxa"/>
              <w:left w:w="90" w:type="dxa"/>
              <w:bottom w:w="90" w:type="dxa"/>
              <w:right w:w="90" w:type="dxa"/>
            </w:tcMar>
          </w:tcPr>
          <w:p>
            <w:pPr>
              <w:spacing w:after="40" w:line="276" w:lineRule="auto"/>
            </w:pPr>
            <w:r>
              <w:rPr>
                <w:b w:val="0"/>
                <w:i w:val="0"/>
                <w:sz w:val="18"/>
              </w:rPr>
              <w:t>11</w:t>
            </w:r>
          </w:p>
        </w:tc>
        <w:tc>
          <w:tcPr>
            <w:tcW w:type="dxa" w:w="2483"/>
            <w:vAlign w:val="center"/>
            <w:tcMar>
              <w:top w:w="90" w:type="dxa"/>
              <w:left w:w="90" w:type="dxa"/>
              <w:bottom w:w="90" w:type="dxa"/>
              <w:right w:w="90" w:type="dxa"/>
            </w:tcMar>
          </w:tcPr>
          <w:p>
            <w:pPr>
              <w:spacing w:after="40" w:line="276" w:lineRule="auto"/>
            </w:pPr>
            <w:r>
              <w:rPr>
                <w:b w:val="0"/>
                <w:i w:val="0"/>
                <w:sz w:val="18"/>
              </w:rPr>
              <w:t>14,711.65</w:t>
            </w:r>
          </w:p>
        </w:tc>
        <w:tc>
          <w:tcPr>
            <w:tcW w:type="dxa" w:w="2483"/>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光伏</w:t>
            </w:r>
          </w:p>
        </w:tc>
        <w:tc>
          <w:tcPr>
            <w:tcW w:type="dxa" w:w="2005"/>
            <w:vAlign w:val="center"/>
            <w:tcMar>
              <w:top w:w="90" w:type="dxa"/>
              <w:left w:w="90" w:type="dxa"/>
              <w:bottom w:w="90" w:type="dxa"/>
              <w:right w:w="90" w:type="dxa"/>
            </w:tcMar>
          </w:tcPr>
          <w:p>
            <w:pPr>
              <w:spacing w:after="40" w:line="276" w:lineRule="auto"/>
            </w:pPr>
            <w:r>
              <w:rPr>
                <w:b w:val="0"/>
                <w:i w:val="0"/>
                <w:sz w:val="18"/>
              </w:rPr>
              <w:t>11</w:t>
            </w:r>
          </w:p>
        </w:tc>
        <w:tc>
          <w:tcPr>
            <w:tcW w:type="dxa" w:w="2483"/>
            <w:vAlign w:val="center"/>
            <w:tcMar>
              <w:top w:w="90" w:type="dxa"/>
              <w:left w:w="90" w:type="dxa"/>
              <w:bottom w:w="90" w:type="dxa"/>
              <w:right w:w="90" w:type="dxa"/>
            </w:tcMar>
          </w:tcPr>
          <w:p>
            <w:pPr>
              <w:spacing w:after="40" w:line="276" w:lineRule="auto"/>
            </w:pPr>
            <w:r>
              <w:rPr>
                <w:b w:val="0"/>
                <w:i w:val="0"/>
                <w:sz w:val="18"/>
              </w:rPr>
              <w:t>10,066.98</w:t>
            </w:r>
          </w:p>
        </w:tc>
        <w:tc>
          <w:tcPr>
            <w:tcW w:type="dxa" w:w="2483"/>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0.25C 电池</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299.984165</w:t>
            </w:r>
          </w:p>
        </w:tc>
        <w:tc>
          <w:tcPr>
            <w:tcW w:type="dxa" w:w="2483"/>
            <w:vAlign w:val="center"/>
            <w:tcMar>
              <w:top w:w="90" w:type="dxa"/>
              <w:left w:w="90" w:type="dxa"/>
              <w:bottom w:w="90" w:type="dxa"/>
              <w:right w:w="90" w:type="dxa"/>
            </w:tcMar>
          </w:tcPr>
          <w:p>
            <w:pPr>
              <w:spacing w:after="40" w:line="276" w:lineRule="auto"/>
            </w:pPr>
            <w:r>
              <w:rPr>
                <w:b w:val="0"/>
                <w:i w:val="0"/>
                <w:sz w:val="18"/>
              </w:rPr>
              <w:t>1,199.936659</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0.5C 电池</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2,465.869834</w:t>
            </w:r>
          </w:p>
        </w:tc>
        <w:tc>
          <w:tcPr>
            <w:tcW w:type="dxa" w:w="2483"/>
            <w:vAlign w:val="center"/>
            <w:tcMar>
              <w:top w:w="90" w:type="dxa"/>
              <w:left w:w="90" w:type="dxa"/>
              <w:bottom w:w="90" w:type="dxa"/>
              <w:right w:w="90" w:type="dxa"/>
            </w:tcMar>
          </w:tcPr>
          <w:p>
            <w:pPr>
              <w:spacing w:after="40" w:line="276" w:lineRule="auto"/>
            </w:pPr>
            <w:r>
              <w:rPr>
                <w:b w:val="0"/>
                <w:i w:val="0"/>
                <w:sz w:val="18"/>
              </w:rPr>
              <w:t>4,931.739667</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1C 电池</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74.996041</w:t>
            </w:r>
          </w:p>
        </w:tc>
        <w:tc>
          <w:tcPr>
            <w:tcW w:type="dxa" w:w="2483"/>
            <w:vAlign w:val="center"/>
            <w:tcMar>
              <w:top w:w="90" w:type="dxa"/>
              <w:left w:w="90" w:type="dxa"/>
              <w:bottom w:w="90" w:type="dxa"/>
              <w:right w:w="90" w:type="dxa"/>
            </w:tcMar>
          </w:tcPr>
          <w:p>
            <w:pPr>
              <w:spacing w:after="40" w:line="276" w:lineRule="auto"/>
            </w:pPr>
            <w:r>
              <w:rPr>
                <w:b w:val="0"/>
                <w:i w:val="0"/>
                <w:sz w:val="18"/>
              </w:rPr>
              <w:t>74.996041</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氢储能</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0.749960</w:t>
            </w:r>
          </w:p>
        </w:tc>
        <w:tc>
          <w:tcPr>
            <w:tcW w:type="dxa" w:w="2483"/>
            <w:vAlign w:val="center"/>
            <w:tcMar>
              <w:top w:w="90" w:type="dxa"/>
              <w:left w:w="90" w:type="dxa"/>
              <w:bottom w:w="90" w:type="dxa"/>
              <w:right w:w="90" w:type="dxa"/>
            </w:tcMar>
          </w:tcPr>
          <w:p>
            <w:pPr>
              <w:spacing w:after="40" w:line="276" w:lineRule="auto"/>
            </w:pPr>
            <w:r>
              <w:rPr>
                <w:b w:val="0"/>
                <w:i w:val="0"/>
                <w:sz w:val="18"/>
              </w:rPr>
              <w:t>187.490103</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抽水蓄能</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2,828</w:t>
            </w:r>
          </w:p>
        </w:tc>
        <w:tc>
          <w:tcPr>
            <w:tcW w:type="dxa" w:w="2483"/>
            <w:vAlign w:val="center"/>
            <w:tcMar>
              <w:top w:w="90" w:type="dxa"/>
              <w:left w:w="90" w:type="dxa"/>
              <w:bottom w:w="90" w:type="dxa"/>
              <w:right w:w="90" w:type="dxa"/>
            </w:tcMar>
          </w:tcPr>
          <w:p>
            <w:pPr>
              <w:spacing w:after="40" w:line="276" w:lineRule="auto"/>
            </w:pPr>
            <w:r>
              <w:rPr>
                <w:b w:val="0"/>
                <w:i w:val="0"/>
                <w:sz w:val="18"/>
              </w:rPr>
              <w:t>26,700</w:t>
            </w:r>
          </w:p>
        </w:tc>
      </w:tr>
    </w:tbl>
    <w:p>
      <w:pPr>
        <w:spacing w:after="20"/>
      </w:pPr>
    </w:p>
    <w:p>
      <w:r>
        <w:rPr>
          <w:b w:val="0"/>
          <w:i w:val="0"/>
        </w:rPr>
        <w:t>规划输入按技术和地区给出成功率，按技术和阶段给出时间分布。</w:t>
      </w:r>
      <w:r>
        <w:rPr>
          <w:rFonts w:ascii="DejaVu Sans Mono" w:hAnsi="DejaVu Sans Mono"/>
          <w:b w:val="0"/>
          <w:i w:val="0"/>
          <w:sz w:val="17"/>
        </w:rPr>
        <w:t>regional_​technology_​success_​rates.csv</w:t>
      </w:r>
      <w:r>
        <w:rPr>
          <w:b w:val="0"/>
          <w:i w:val="0"/>
        </w:rPr>
        <w:t xml:space="preserve"> 含 46 条记录，</w:t>
      </w:r>
      <w:r>
        <w:rPr>
          <w:rFonts w:ascii="DejaVu Sans Mono" w:hAnsi="DejaVu Sans Mono"/>
          <w:b w:val="0"/>
          <w:i w:val="0"/>
          <w:sz w:val="17"/>
        </w:rPr>
        <w:t>planning_timelines.json</w:t>
      </w:r>
      <w:r>
        <w:rPr>
          <w:b w:val="0"/>
          <w:i w:val="0"/>
        </w:rPr>
        <w:t xml:space="preserve"> 提供以月计的阶段时间。两张表同时用于 REPD 项目和内生投资；模型将 </w:t>
      </w:r>
      <w:r>
        <w:rPr>
          <w:rFonts w:ascii="DejaVu Sans Mono" w:hAnsi="DejaVu Sans Mono"/>
          <w:b w:val="0"/>
          <w:i w:val="0"/>
          <w:sz w:val="17"/>
        </w:rPr>
        <w:t>development_​stage_​timelines</w:t>
      </w:r>
      <w:r>
        <w:rPr>
          <w:b w:val="0"/>
          <w:i w:val="0"/>
        </w:rPr>
        <w:t>、</w:t>
      </w:r>
      <w:r>
        <w:rPr>
          <w:rFonts w:ascii="DejaVu Sans Mono" w:hAnsi="DejaVu Sans Mono"/>
          <w:b w:val="0"/>
          <w:i w:val="0"/>
          <w:sz w:val="17"/>
        </w:rPr>
        <w:t>repd_status_to_timeline</w:t>
      </w:r>
      <w:r>
        <w:rPr>
          <w:b w:val="0"/>
          <w:i w:val="0"/>
        </w:rPr>
        <w:t>、</w:t>
      </w:r>
      <w:r>
        <w:rPr>
          <w:rFonts w:ascii="DejaVu Sans Mono" w:hAnsi="DejaVu Sans Mono"/>
          <w:b w:val="0"/>
          <w:i w:val="0"/>
          <w:sz w:val="17"/>
        </w:rPr>
        <w:t>success_rates</w:t>
      </w:r>
      <w:r>
        <w:rPr>
          <w:b w:val="0"/>
          <w:i w:val="0"/>
        </w:rPr>
        <w:t xml:space="preserve"> 冻结在初始状态中。</w:t>
      </w:r>
    </w:p>
    <w:p>
      <w:r>
        <w:rPr>
          <w:b w:val="0"/>
          <w:i w:val="0"/>
        </w:rPr>
        <w:t>两个方法口径均从这些冻结表取得内生提案的开发期和成功率。技术标签、地区匹配、确定性月份扰动、投运日期及期望容量或带种子随机准入规则见第 4、6 章。</w:t>
      </w:r>
      <w:r>
        <w:rPr>
          <w:rFonts w:ascii="DejaVu Sans Mono" w:hAnsi="DejaVu Sans Mono"/>
          <w:b w:val="0"/>
          <w:i w:val="0"/>
          <w:sz w:val="17"/>
        </w:rPr>
        <w:t>endogenous_​planning._​success_​rate</w:t>
      </w:r>
      <w:r>
        <w:rPr>
          <w:b w:val="0"/>
          <w:i w:val="0"/>
        </w:rPr>
        <w:t xml:space="preserve"> 依次取技术标签与地区对应的成功率、该标签各地区的平均值、默认值 0.75。输入的开发期和施工期中位数为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9"/>
        <w:gridCol w:w="3721"/>
        <w:gridCol w:w="3721"/>
      </w:tblGrid>
      <w:tr>
        <w:trPr>
          <w:cantSplit/>
          <w:tblHeader w:val="true"/>
        </w:trPr>
        <w:tc>
          <w:tcPr>
            <w:tcW w:type="dxa" w:w="2349"/>
            <w:vAlign w:val="center"/>
            <w:tcMar>
              <w:top w:w="90" w:type="dxa"/>
              <w:left w:w="90" w:type="dxa"/>
              <w:bottom w:w="90" w:type="dxa"/>
              <w:right w:w="90" w:type="dxa"/>
            </w:tcMar>
            <w:shd w:fill="EEEEEE"/>
          </w:tcPr>
          <w:p>
            <w:pPr>
              <w:spacing w:after="40" w:line="276" w:lineRule="auto"/>
            </w:pPr>
            <w:r>
              <w:rPr>
                <w:b/>
                <w:i w:val="0"/>
                <w:sz w:val="18"/>
              </w:rPr>
              <w:t>技术</w:t>
            </w:r>
          </w:p>
        </w:tc>
        <w:tc>
          <w:tcPr>
            <w:tcW w:type="dxa" w:w="3721"/>
            <w:vAlign w:val="center"/>
            <w:tcMar>
              <w:top w:w="90" w:type="dxa"/>
              <w:left w:w="90" w:type="dxa"/>
              <w:bottom w:w="90" w:type="dxa"/>
              <w:right w:w="90" w:type="dxa"/>
            </w:tcMar>
            <w:shd w:fill="EEEEEE"/>
          </w:tcPr>
          <w:p>
            <w:pPr>
              <w:spacing w:after="40" w:line="276" w:lineRule="auto"/>
            </w:pPr>
            <w:r>
              <w:rPr>
                <w:b/>
                <w:i w:val="0"/>
                <w:sz w:val="18"/>
              </w:rPr>
              <w:t>开发期中位数 月</w:t>
            </w:r>
          </w:p>
        </w:tc>
        <w:tc>
          <w:tcPr>
            <w:tcW w:type="dxa" w:w="3721"/>
            <w:vAlign w:val="center"/>
            <w:tcMar>
              <w:top w:w="90" w:type="dxa"/>
              <w:left w:w="90" w:type="dxa"/>
              <w:bottom w:w="90" w:type="dxa"/>
              <w:right w:w="90" w:type="dxa"/>
            </w:tcMar>
            <w:shd w:fill="EEEEEE"/>
          </w:tcPr>
          <w:p>
            <w:pPr>
              <w:spacing w:after="40" w:line="276" w:lineRule="auto"/>
            </w:pPr>
            <w:r>
              <w:rPr>
                <w:b/>
                <w:i w:val="0"/>
                <w:sz w:val="18"/>
              </w:rPr>
              <w:t>施工期中位数 月</w:t>
            </w:r>
          </w:p>
        </w:tc>
      </w:tr>
      <w:tr>
        <w:trPr>
          <w:cantSplit/>
        </w:trPr>
        <w:tc>
          <w:tcPr>
            <w:tcW w:type="dxa" w:w="2349"/>
            <w:vAlign w:val="center"/>
            <w:tcMar>
              <w:top w:w="90" w:type="dxa"/>
              <w:left w:w="90" w:type="dxa"/>
              <w:bottom w:w="90" w:type="dxa"/>
              <w:right w:w="90" w:type="dxa"/>
            </w:tcMar>
          </w:tcPr>
          <w:p>
            <w:pPr>
              <w:spacing w:after="40" w:line="276" w:lineRule="auto"/>
            </w:pPr>
            <w:r>
              <w:rPr>
                <w:b w:val="0"/>
                <w:i w:val="0"/>
                <w:sz w:val="18"/>
              </w:rPr>
              <w:t>光伏</w:t>
            </w:r>
          </w:p>
        </w:tc>
        <w:tc>
          <w:tcPr>
            <w:tcW w:type="dxa" w:w="3721"/>
            <w:vAlign w:val="center"/>
            <w:tcMar>
              <w:top w:w="90" w:type="dxa"/>
              <w:left w:w="90" w:type="dxa"/>
              <w:bottom w:w="90" w:type="dxa"/>
              <w:right w:w="90" w:type="dxa"/>
            </w:tcMar>
          </w:tcPr>
          <w:p>
            <w:pPr>
              <w:spacing w:after="40" w:line="276" w:lineRule="auto"/>
            </w:pPr>
            <w:r>
              <w:rPr>
                <w:b w:val="0"/>
                <w:i w:val="0"/>
                <w:sz w:val="18"/>
              </w:rPr>
              <w:t>27.8</w:t>
            </w:r>
          </w:p>
        </w:tc>
        <w:tc>
          <w:tcPr>
            <w:tcW w:type="dxa" w:w="3721"/>
            <w:vAlign w:val="center"/>
            <w:tcMar>
              <w:top w:w="90" w:type="dxa"/>
              <w:left w:w="90" w:type="dxa"/>
              <w:bottom w:w="90" w:type="dxa"/>
              <w:right w:w="90" w:type="dxa"/>
            </w:tcMar>
          </w:tcPr>
          <w:p>
            <w:pPr>
              <w:spacing w:after="40" w:line="276" w:lineRule="auto"/>
            </w:pPr>
            <w:r>
              <w:rPr>
                <w:b w:val="0"/>
                <w:i w:val="0"/>
                <w:sz w:val="18"/>
              </w:rPr>
              <w:t>4.9</w:t>
            </w:r>
          </w:p>
        </w:tc>
      </w:tr>
      <w:tr>
        <w:trPr>
          <w:cantSplit/>
        </w:trPr>
        <w:tc>
          <w:tcPr>
            <w:tcW w:type="dxa" w:w="2349"/>
            <w:vAlign w:val="center"/>
            <w:tcMar>
              <w:top w:w="90" w:type="dxa"/>
              <w:left w:w="90" w:type="dxa"/>
              <w:bottom w:w="90" w:type="dxa"/>
              <w:right w:w="90" w:type="dxa"/>
            </w:tcMar>
          </w:tcPr>
          <w:p>
            <w:pPr>
              <w:spacing w:after="40" w:line="276" w:lineRule="auto"/>
            </w:pPr>
            <w:r>
              <w:rPr>
                <w:b w:val="0"/>
                <w:i w:val="0"/>
                <w:sz w:val="18"/>
              </w:rPr>
              <w:t>陆风</w:t>
            </w:r>
          </w:p>
        </w:tc>
        <w:tc>
          <w:tcPr>
            <w:tcW w:type="dxa" w:w="3721"/>
            <w:vAlign w:val="center"/>
            <w:tcMar>
              <w:top w:w="90" w:type="dxa"/>
              <w:left w:w="90" w:type="dxa"/>
              <w:bottom w:w="90" w:type="dxa"/>
              <w:right w:w="90" w:type="dxa"/>
            </w:tcMar>
          </w:tcPr>
          <w:p>
            <w:pPr>
              <w:spacing w:after="40" w:line="276" w:lineRule="auto"/>
            </w:pPr>
            <w:r>
              <w:rPr>
                <w:b w:val="0"/>
                <w:i w:val="0"/>
                <w:sz w:val="18"/>
              </w:rPr>
              <w:t>62.5</w:t>
            </w:r>
          </w:p>
        </w:tc>
        <w:tc>
          <w:tcPr>
            <w:tcW w:type="dxa" w:w="3721"/>
            <w:vAlign w:val="center"/>
            <w:tcMar>
              <w:top w:w="90" w:type="dxa"/>
              <w:left w:w="90" w:type="dxa"/>
              <w:bottom w:w="90" w:type="dxa"/>
              <w:right w:w="90" w:type="dxa"/>
            </w:tcMar>
          </w:tcPr>
          <w:p>
            <w:pPr>
              <w:spacing w:after="40" w:line="276" w:lineRule="auto"/>
            </w:pPr>
            <w:r>
              <w:rPr>
                <w:b w:val="0"/>
                <w:i w:val="0"/>
                <w:sz w:val="18"/>
              </w:rPr>
              <w:t>15.0</w:t>
            </w:r>
          </w:p>
        </w:tc>
      </w:tr>
      <w:tr>
        <w:trPr>
          <w:cantSplit/>
        </w:trPr>
        <w:tc>
          <w:tcPr>
            <w:tcW w:type="dxa" w:w="2349"/>
            <w:vAlign w:val="center"/>
            <w:tcMar>
              <w:top w:w="90" w:type="dxa"/>
              <w:left w:w="90" w:type="dxa"/>
              <w:bottom w:w="90" w:type="dxa"/>
              <w:right w:w="90" w:type="dxa"/>
            </w:tcMar>
          </w:tcPr>
          <w:p>
            <w:pPr>
              <w:spacing w:after="40" w:line="276" w:lineRule="auto"/>
            </w:pPr>
            <w:r>
              <w:rPr>
                <w:b w:val="0"/>
                <w:i w:val="0"/>
                <w:sz w:val="18"/>
              </w:rPr>
              <w:t>海风</w:t>
            </w:r>
          </w:p>
        </w:tc>
        <w:tc>
          <w:tcPr>
            <w:tcW w:type="dxa" w:w="3721"/>
            <w:vAlign w:val="center"/>
            <w:tcMar>
              <w:top w:w="90" w:type="dxa"/>
              <w:left w:w="90" w:type="dxa"/>
              <w:bottom w:w="90" w:type="dxa"/>
              <w:right w:w="90" w:type="dxa"/>
            </w:tcMar>
          </w:tcPr>
          <w:p>
            <w:pPr>
              <w:spacing w:after="40" w:line="276" w:lineRule="auto"/>
            </w:pPr>
            <w:r>
              <w:rPr>
                <w:b w:val="0"/>
                <w:i w:val="0"/>
                <w:sz w:val="18"/>
              </w:rPr>
              <w:t>110.1</w:t>
            </w:r>
          </w:p>
        </w:tc>
        <w:tc>
          <w:tcPr>
            <w:tcW w:type="dxa" w:w="3721"/>
            <w:vAlign w:val="center"/>
            <w:tcMar>
              <w:top w:w="90" w:type="dxa"/>
              <w:left w:w="90" w:type="dxa"/>
              <w:bottom w:w="90" w:type="dxa"/>
              <w:right w:w="90" w:type="dxa"/>
            </w:tcMar>
          </w:tcPr>
          <w:p>
            <w:pPr>
              <w:spacing w:after="40" w:line="276" w:lineRule="auto"/>
            </w:pPr>
            <w:r>
              <w:rPr>
                <w:b w:val="0"/>
                <w:i w:val="0"/>
                <w:sz w:val="18"/>
              </w:rPr>
              <w:t>32.2</w:t>
            </w:r>
          </w:p>
        </w:tc>
      </w:tr>
      <w:tr>
        <w:trPr>
          <w:cantSplit/>
        </w:trPr>
        <w:tc>
          <w:tcPr>
            <w:tcW w:type="dxa" w:w="2349"/>
            <w:vAlign w:val="center"/>
            <w:tcMar>
              <w:top w:w="90" w:type="dxa"/>
              <w:left w:w="90" w:type="dxa"/>
              <w:bottom w:w="90" w:type="dxa"/>
              <w:right w:w="90" w:type="dxa"/>
            </w:tcMar>
          </w:tcPr>
          <w:p>
            <w:pPr>
              <w:spacing w:after="40" w:line="276" w:lineRule="auto"/>
            </w:pPr>
            <w:r>
              <w:rPr>
                <w:b w:val="0"/>
                <w:i w:val="0"/>
                <w:sz w:val="18"/>
              </w:rPr>
              <w:t>电池</w:t>
            </w:r>
          </w:p>
        </w:tc>
        <w:tc>
          <w:tcPr>
            <w:tcW w:type="dxa" w:w="3721"/>
            <w:vAlign w:val="center"/>
            <w:tcMar>
              <w:top w:w="90" w:type="dxa"/>
              <w:left w:w="90" w:type="dxa"/>
              <w:bottom w:w="90" w:type="dxa"/>
              <w:right w:w="90" w:type="dxa"/>
            </w:tcMar>
          </w:tcPr>
          <w:p>
            <w:pPr>
              <w:spacing w:after="40" w:line="276" w:lineRule="auto"/>
            </w:pPr>
            <w:r>
              <w:rPr>
                <w:b w:val="0"/>
                <w:i w:val="0"/>
                <w:sz w:val="18"/>
              </w:rPr>
              <w:t>31.3</w:t>
            </w:r>
          </w:p>
        </w:tc>
        <w:tc>
          <w:tcPr>
            <w:tcW w:type="dxa" w:w="3721"/>
            <w:vAlign w:val="center"/>
            <w:tcMar>
              <w:top w:w="90" w:type="dxa"/>
              <w:left w:w="90" w:type="dxa"/>
              <w:bottom w:w="90" w:type="dxa"/>
              <w:right w:w="90" w:type="dxa"/>
            </w:tcMar>
          </w:tcPr>
          <w:p>
            <w:pPr>
              <w:spacing w:after="40" w:line="276" w:lineRule="auto"/>
            </w:pPr>
            <w:r>
              <w:rPr>
                <w:b w:val="0"/>
                <w:i w:val="0"/>
                <w:sz w:val="18"/>
              </w:rPr>
              <w:t>10.1</w:t>
            </w:r>
          </w:p>
        </w:tc>
      </w:tr>
    </w:tbl>
    <w:p>
      <w:pPr>
        <w:spacing w:after="20"/>
      </w:pPr>
    </w:p>
    <w:p>
      <w:pPr>
        <w:pStyle w:val="Heading2"/>
      </w:pPr>
      <w:r>
        <w:rPr>
          <w:b w:val="0"/>
          <w:i w:val="0"/>
        </w:rPr>
        <w:t>成本与储能参数</w:t>
      </w:r>
    </w:p>
    <w:p>
      <w:r>
        <w:rPr>
          <w:b w:val="0"/>
          <w:i w:val="0"/>
        </w:rPr>
        <w:t xml:space="preserve">投资输入分别规定单位资本成本、投资回收目标和技术运行参数。R029 使用研究配置中的 </w:t>
      </w:r>
      <w:r>
        <w:rPr>
          <w:rFonts w:ascii="DejaVu Sans Mono" w:hAnsi="DejaVu Sans Mono"/>
          <w:b w:val="0"/>
          <w:i w:val="0"/>
          <w:sz w:val="17"/>
        </w:rPr>
        <w:t>capital_costs.json</w:t>
      </w:r>
      <w:r>
        <w:rPr>
          <w:b w:val="0"/>
          <w:i w:val="0"/>
        </w:rPr>
        <w:t xml:space="preserve"> 与 </w:t>
      </w:r>
      <w:r>
        <w:rPr>
          <w:rFonts w:ascii="DejaVu Sans Mono" w:hAnsi="DejaVu Sans Mono"/>
          <w:b w:val="0"/>
          <w:i w:val="0"/>
          <w:sz w:val="17"/>
        </w:rPr>
        <w:t>model_parameters.json</w:t>
      </w:r>
      <w:r>
        <w:rPr>
          <w:b w:val="0"/>
          <w:i w:val="0"/>
        </w:rPr>
        <w:t xml:space="preserve">；资本成本的上游依据包括 BEIS《Electricity Generation Costs 2020》及 Arup 材料，表中数值为模型采用的参数。年度资本回收利率默认取 0.05，投资决策直接比较未折现收益率与回收期。下表列出基础配置的投资回收目标和 </w:t>
      </w:r>
      <w:r>
        <w:rPr>
          <w:rFonts w:ascii="DejaVu Sans Mono" w:hAnsi="DejaVu Sans Mono"/>
          <w:b w:val="0"/>
          <w:i w:val="0"/>
          <w:sz w:val="17"/>
        </w:rPr>
        <w:t>preferred_rate</w:t>
      </w:r>
      <w:r>
        <w:rPr>
          <w:b w:val="0"/>
          <w:i w:val="0"/>
        </w:rPr>
        <w:t xml:space="preserve"> 参数。R029 投资规则将四类可扩张储能的有效门槛统一设为 0.12，具体利润率定义及决策规则见第 6 章。</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7"/>
        <w:gridCol w:w="2496"/>
        <w:gridCol w:w="2480"/>
        <w:gridCol w:w="2448"/>
      </w:tblGrid>
      <w:tr>
        <w:trPr>
          <w:cantSplit/>
          <w:tblHeader w:val="true"/>
        </w:trPr>
        <w:tc>
          <w:tcPr>
            <w:tcW w:type="dxa" w:w="2367"/>
            <w:vAlign w:val="center"/>
            <w:tcMar>
              <w:top w:w="90" w:type="dxa"/>
              <w:left w:w="90" w:type="dxa"/>
              <w:bottom w:w="90" w:type="dxa"/>
              <w:right w:w="90" w:type="dxa"/>
            </w:tcMar>
            <w:shd w:fill="EEEEEE"/>
          </w:tcPr>
          <w:p>
            <w:pPr>
              <w:spacing w:after="40" w:line="276" w:lineRule="auto"/>
            </w:pPr>
            <w:r>
              <w:rPr>
                <w:b/>
                <w:i w:val="0"/>
                <w:sz w:val="18"/>
              </w:rPr>
              <w:t>技术</w:t>
            </w:r>
          </w:p>
        </w:tc>
        <w:tc>
          <w:tcPr>
            <w:tcW w:type="dxa" w:w="2496"/>
            <w:vAlign w:val="center"/>
            <w:tcMar>
              <w:top w:w="90" w:type="dxa"/>
              <w:left w:w="90" w:type="dxa"/>
              <w:bottom w:w="90" w:type="dxa"/>
              <w:right w:w="90" w:type="dxa"/>
            </w:tcMar>
            <w:shd w:fill="EEEEEE"/>
          </w:tcPr>
          <w:p>
            <w:pPr>
              <w:spacing w:after="40" w:line="276" w:lineRule="auto"/>
            </w:pPr>
            <w:r>
              <w:rPr>
                <w:b/>
                <w:i w:val="0"/>
                <w:sz w:val="18"/>
              </w:rPr>
              <w:t>资本成本 GBP/MW</w:t>
            </w:r>
          </w:p>
        </w:tc>
        <w:tc>
          <w:tcPr>
            <w:tcW w:type="dxa" w:w="2480"/>
            <w:vAlign w:val="center"/>
            <w:tcMar>
              <w:top w:w="90" w:type="dxa"/>
              <w:left w:w="90" w:type="dxa"/>
              <w:bottom w:w="90" w:type="dxa"/>
              <w:right w:w="90" w:type="dxa"/>
            </w:tcMar>
            <w:shd w:fill="EEEEEE"/>
          </w:tcPr>
          <w:p>
            <w:pPr>
              <w:spacing w:after="40" w:line="276" w:lineRule="auto"/>
            </w:pPr>
            <w:r>
              <w:rPr>
                <w:rFonts w:ascii="DejaVu Sans Mono" w:hAnsi="DejaVu Sans Mono"/>
                <w:b/>
                <w:i w:val="0"/>
                <w:sz w:val="18"/>
              </w:rPr>
              <w:t>preferred_rate</w:t>
            </w:r>
          </w:p>
        </w:tc>
        <w:tc>
          <w:tcPr>
            <w:tcW w:type="dxa" w:w="2448"/>
            <w:vAlign w:val="center"/>
            <w:tcMar>
              <w:top w:w="90" w:type="dxa"/>
              <w:left w:w="90" w:type="dxa"/>
              <w:bottom w:w="90" w:type="dxa"/>
              <w:right w:w="90" w:type="dxa"/>
            </w:tcMar>
            <w:shd w:fill="EEEEEE"/>
          </w:tcPr>
          <w:p>
            <w:pPr>
              <w:spacing w:after="40" w:line="276" w:lineRule="auto"/>
            </w:pPr>
            <w:r>
              <w:rPr>
                <w:b/>
                <w:i w:val="0"/>
                <w:sz w:val="18"/>
              </w:rPr>
              <w:t>投资回收目标 年</w:t>
            </w:r>
          </w:p>
        </w:tc>
      </w:tr>
      <w:tr>
        <w:trPr>
          <w:cantSplit/>
        </w:trPr>
        <w:tc>
          <w:tcPr>
            <w:tcW w:type="dxa" w:w="2367"/>
            <w:vAlign w:val="center"/>
            <w:tcMar>
              <w:top w:w="90" w:type="dxa"/>
              <w:left w:w="90" w:type="dxa"/>
              <w:bottom w:w="90" w:type="dxa"/>
              <w:right w:w="90" w:type="dxa"/>
            </w:tcMar>
          </w:tcPr>
          <w:p>
            <w:pPr>
              <w:spacing w:after="40" w:line="276" w:lineRule="auto"/>
            </w:pPr>
            <w:r>
              <w:rPr>
                <w:b w:val="0"/>
                <w:i w:val="0"/>
                <w:sz w:val="18"/>
              </w:rPr>
              <w:t>光伏</w:t>
            </w:r>
          </w:p>
        </w:tc>
        <w:tc>
          <w:tcPr>
            <w:tcW w:type="dxa" w:w="2496"/>
            <w:vAlign w:val="center"/>
            <w:tcMar>
              <w:top w:w="90" w:type="dxa"/>
              <w:left w:w="90" w:type="dxa"/>
              <w:bottom w:w="90" w:type="dxa"/>
              <w:right w:w="90" w:type="dxa"/>
            </w:tcMar>
          </w:tcPr>
          <w:p>
            <w:pPr>
              <w:spacing w:after="40" w:line="276" w:lineRule="auto"/>
            </w:pPr>
            <w:r>
              <w:rPr>
                <w:b w:val="0"/>
                <w:i w:val="0"/>
                <w:sz w:val="18"/>
              </w:rPr>
              <w:t>659,000</w:t>
            </w:r>
          </w:p>
        </w:tc>
        <w:tc>
          <w:tcPr>
            <w:tcW w:type="dxa" w:w="2480"/>
            <w:vAlign w:val="center"/>
            <w:tcMar>
              <w:top w:w="90" w:type="dxa"/>
              <w:left w:w="90" w:type="dxa"/>
              <w:bottom w:w="90" w:type="dxa"/>
              <w:right w:w="90" w:type="dxa"/>
            </w:tcMar>
          </w:tcPr>
          <w:p>
            <w:pPr>
              <w:spacing w:after="40" w:line="276" w:lineRule="auto"/>
            </w:pPr>
            <w:r>
              <w:rPr>
                <w:b w:val="0"/>
                <w:i w:val="0"/>
                <w:sz w:val="18"/>
              </w:rPr>
              <w:t>0.076</w:t>
            </w:r>
          </w:p>
        </w:tc>
        <w:tc>
          <w:tcPr>
            <w:tcW w:type="dxa" w:w="2448"/>
            <w:vAlign w:val="center"/>
            <w:tcMar>
              <w:top w:w="90" w:type="dxa"/>
              <w:left w:w="90" w:type="dxa"/>
              <w:bottom w:w="90" w:type="dxa"/>
              <w:right w:w="90" w:type="dxa"/>
            </w:tcMar>
          </w:tcPr>
          <w:p>
            <w:pPr>
              <w:spacing w:after="40" w:line="276" w:lineRule="auto"/>
            </w:pPr>
            <w:r>
              <w:rPr>
                <w:b w:val="0"/>
                <w:i w:val="0"/>
                <w:sz w:val="18"/>
              </w:rPr>
              <w:t>25</w:t>
            </w:r>
          </w:p>
        </w:tc>
      </w:tr>
      <w:tr>
        <w:trPr>
          <w:cantSplit/>
        </w:trPr>
        <w:tc>
          <w:tcPr>
            <w:tcW w:type="dxa" w:w="2367"/>
            <w:vAlign w:val="center"/>
            <w:tcMar>
              <w:top w:w="90" w:type="dxa"/>
              <w:left w:w="90" w:type="dxa"/>
              <w:bottom w:w="90" w:type="dxa"/>
              <w:right w:w="90" w:type="dxa"/>
            </w:tcMar>
          </w:tcPr>
          <w:p>
            <w:pPr>
              <w:spacing w:after="40" w:line="276" w:lineRule="auto"/>
            </w:pPr>
            <w:r>
              <w:rPr>
                <w:b w:val="0"/>
                <w:i w:val="0"/>
                <w:sz w:val="18"/>
              </w:rPr>
              <w:t>陆风</w:t>
            </w:r>
          </w:p>
        </w:tc>
        <w:tc>
          <w:tcPr>
            <w:tcW w:type="dxa" w:w="2496"/>
            <w:vAlign w:val="center"/>
            <w:tcMar>
              <w:top w:w="90" w:type="dxa"/>
              <w:left w:w="90" w:type="dxa"/>
              <w:bottom w:w="90" w:type="dxa"/>
              <w:right w:w="90" w:type="dxa"/>
            </w:tcMar>
          </w:tcPr>
          <w:p>
            <w:pPr>
              <w:spacing w:after="40" w:line="276" w:lineRule="auto"/>
            </w:pPr>
            <w:r>
              <w:rPr>
                <w:b w:val="0"/>
                <w:i w:val="0"/>
                <w:sz w:val="18"/>
              </w:rPr>
              <w:t>1,588,000</w:t>
            </w:r>
          </w:p>
        </w:tc>
        <w:tc>
          <w:tcPr>
            <w:tcW w:type="dxa" w:w="2480"/>
            <w:vAlign w:val="center"/>
            <w:tcMar>
              <w:top w:w="90" w:type="dxa"/>
              <w:left w:w="90" w:type="dxa"/>
              <w:bottom w:w="90" w:type="dxa"/>
              <w:right w:w="90" w:type="dxa"/>
            </w:tcMar>
          </w:tcPr>
          <w:p>
            <w:pPr>
              <w:spacing w:after="40" w:line="276" w:lineRule="auto"/>
            </w:pPr>
            <w:r>
              <w:rPr>
                <w:b w:val="0"/>
                <w:i w:val="0"/>
                <w:sz w:val="18"/>
              </w:rPr>
              <w:t>0.076</w:t>
            </w:r>
          </w:p>
        </w:tc>
        <w:tc>
          <w:tcPr>
            <w:tcW w:type="dxa" w:w="2448"/>
            <w:vAlign w:val="center"/>
            <w:tcMar>
              <w:top w:w="90" w:type="dxa"/>
              <w:left w:w="90" w:type="dxa"/>
              <w:bottom w:w="90" w:type="dxa"/>
              <w:right w:w="90" w:type="dxa"/>
            </w:tcMar>
          </w:tcPr>
          <w:p>
            <w:pPr>
              <w:spacing w:after="40" w:line="276" w:lineRule="auto"/>
            </w:pPr>
            <w:r>
              <w:rPr>
                <w:b w:val="0"/>
                <w:i w:val="0"/>
                <w:sz w:val="18"/>
              </w:rPr>
              <w:t>30</w:t>
            </w:r>
          </w:p>
        </w:tc>
      </w:tr>
      <w:tr>
        <w:trPr>
          <w:cantSplit/>
        </w:trPr>
        <w:tc>
          <w:tcPr>
            <w:tcW w:type="dxa" w:w="2367"/>
            <w:vAlign w:val="center"/>
            <w:tcMar>
              <w:top w:w="90" w:type="dxa"/>
              <w:left w:w="90" w:type="dxa"/>
              <w:bottom w:w="90" w:type="dxa"/>
              <w:right w:w="90" w:type="dxa"/>
            </w:tcMar>
          </w:tcPr>
          <w:p>
            <w:pPr>
              <w:spacing w:after="40" w:line="276" w:lineRule="auto"/>
            </w:pPr>
            <w:r>
              <w:rPr>
                <w:b w:val="0"/>
                <w:i w:val="0"/>
                <w:sz w:val="18"/>
              </w:rPr>
              <w:t>海风</w:t>
            </w:r>
          </w:p>
        </w:tc>
        <w:tc>
          <w:tcPr>
            <w:tcW w:type="dxa" w:w="2496"/>
            <w:vAlign w:val="center"/>
            <w:tcMar>
              <w:top w:w="90" w:type="dxa"/>
              <w:left w:w="90" w:type="dxa"/>
              <w:bottom w:w="90" w:type="dxa"/>
              <w:right w:w="90" w:type="dxa"/>
            </w:tcMar>
          </w:tcPr>
          <w:p>
            <w:pPr>
              <w:spacing w:after="40" w:line="276" w:lineRule="auto"/>
            </w:pPr>
            <w:r>
              <w:rPr>
                <w:b w:val="0"/>
                <w:i w:val="0"/>
                <w:sz w:val="18"/>
              </w:rPr>
              <w:t>3,976,000</w:t>
            </w:r>
          </w:p>
        </w:tc>
        <w:tc>
          <w:tcPr>
            <w:tcW w:type="dxa" w:w="2480"/>
            <w:vAlign w:val="center"/>
            <w:tcMar>
              <w:top w:w="90" w:type="dxa"/>
              <w:left w:w="90" w:type="dxa"/>
              <w:bottom w:w="90" w:type="dxa"/>
              <w:right w:w="90" w:type="dxa"/>
            </w:tcMar>
          </w:tcPr>
          <w:p>
            <w:pPr>
              <w:spacing w:after="40" w:line="276" w:lineRule="auto"/>
            </w:pPr>
            <w:r>
              <w:rPr>
                <w:b w:val="0"/>
                <w:i w:val="0"/>
                <w:sz w:val="18"/>
              </w:rPr>
              <w:t>0.089</w:t>
            </w:r>
          </w:p>
        </w:tc>
        <w:tc>
          <w:tcPr>
            <w:tcW w:type="dxa" w:w="2448"/>
            <w:vAlign w:val="center"/>
            <w:tcMar>
              <w:top w:w="90" w:type="dxa"/>
              <w:left w:w="90" w:type="dxa"/>
              <w:bottom w:w="90" w:type="dxa"/>
              <w:right w:w="90" w:type="dxa"/>
            </w:tcMar>
          </w:tcPr>
          <w:p>
            <w:pPr>
              <w:spacing w:after="40" w:line="276" w:lineRule="auto"/>
            </w:pPr>
            <w:r>
              <w:rPr>
                <w:b w:val="0"/>
                <w:i w:val="0"/>
                <w:sz w:val="18"/>
              </w:rPr>
              <w:t>30</w:t>
            </w:r>
          </w:p>
        </w:tc>
      </w:tr>
      <w:tr>
        <w:trPr>
          <w:cantSplit/>
        </w:trPr>
        <w:tc>
          <w:tcPr>
            <w:tcW w:type="dxa" w:w="2367"/>
            <w:vAlign w:val="center"/>
            <w:tcMar>
              <w:top w:w="90" w:type="dxa"/>
              <w:left w:w="90" w:type="dxa"/>
              <w:bottom w:w="90" w:type="dxa"/>
              <w:right w:w="90" w:type="dxa"/>
            </w:tcMar>
          </w:tcPr>
          <w:p>
            <w:pPr>
              <w:spacing w:after="40" w:line="276" w:lineRule="auto"/>
            </w:pPr>
            <w:r>
              <w:rPr>
                <w:b w:val="0"/>
                <w:i w:val="0"/>
                <w:sz w:val="18"/>
              </w:rPr>
              <w:t>CCGT / OCGT</w:t>
            </w:r>
          </w:p>
        </w:tc>
        <w:tc>
          <w:tcPr>
            <w:tcW w:type="dxa" w:w="2496"/>
            <w:vAlign w:val="center"/>
            <w:tcMar>
              <w:top w:w="90" w:type="dxa"/>
              <w:left w:w="90" w:type="dxa"/>
              <w:bottom w:w="90" w:type="dxa"/>
              <w:right w:w="90" w:type="dxa"/>
            </w:tcMar>
          </w:tcPr>
          <w:p>
            <w:pPr>
              <w:spacing w:after="40" w:line="276" w:lineRule="auto"/>
            </w:pPr>
            <w:r>
              <w:rPr>
                <w:b w:val="0"/>
                <w:i w:val="0"/>
                <w:sz w:val="18"/>
              </w:rPr>
              <w:t>2,400,000</w:t>
            </w:r>
          </w:p>
        </w:tc>
        <w:tc>
          <w:tcPr>
            <w:tcW w:type="dxa" w:w="2480"/>
            <w:vAlign w:val="center"/>
            <w:tcMar>
              <w:top w:w="90" w:type="dxa"/>
              <w:left w:w="90" w:type="dxa"/>
              <w:bottom w:w="90" w:type="dxa"/>
              <w:right w:w="90" w:type="dxa"/>
            </w:tcMar>
          </w:tcPr>
          <w:p>
            <w:pPr>
              <w:spacing w:after="40" w:line="276" w:lineRule="auto"/>
            </w:pPr>
            <w:r>
              <w:rPr>
                <w:b w:val="0"/>
                <w:i w:val="0"/>
                <w:sz w:val="18"/>
              </w:rPr>
              <w:t>0.089</w:t>
            </w:r>
          </w:p>
        </w:tc>
        <w:tc>
          <w:tcPr>
            <w:tcW w:type="dxa" w:w="2448"/>
            <w:vAlign w:val="center"/>
            <w:tcMar>
              <w:top w:w="90" w:type="dxa"/>
              <w:left w:w="90" w:type="dxa"/>
              <w:bottom w:w="90" w:type="dxa"/>
              <w:right w:w="90" w:type="dxa"/>
            </w:tcMar>
          </w:tcPr>
          <w:p>
            <w:pPr>
              <w:spacing w:after="40" w:line="276" w:lineRule="auto"/>
            </w:pPr>
            <w:r>
              <w:rPr>
                <w:b w:val="0"/>
                <w:i w:val="0"/>
                <w:sz w:val="18"/>
              </w:rPr>
              <w:t>25</w:t>
            </w:r>
          </w:p>
        </w:tc>
      </w:tr>
      <w:tr>
        <w:trPr>
          <w:cantSplit/>
        </w:trPr>
        <w:tc>
          <w:tcPr>
            <w:tcW w:type="dxa" w:w="2367"/>
            <w:vAlign w:val="center"/>
            <w:tcMar>
              <w:top w:w="90" w:type="dxa"/>
              <w:left w:w="90" w:type="dxa"/>
              <w:bottom w:w="90" w:type="dxa"/>
              <w:right w:w="90" w:type="dxa"/>
            </w:tcMar>
          </w:tcPr>
          <w:p>
            <w:pPr>
              <w:spacing w:after="40" w:line="276" w:lineRule="auto"/>
            </w:pPr>
            <w:r>
              <w:rPr>
                <w:b w:val="0"/>
                <w:i w:val="0"/>
                <w:sz w:val="18"/>
              </w:rPr>
              <w:t>生物质与废弃物</w:t>
            </w:r>
          </w:p>
        </w:tc>
        <w:tc>
          <w:tcPr>
            <w:tcW w:type="dxa" w:w="2496"/>
            <w:vAlign w:val="center"/>
            <w:tcMar>
              <w:top w:w="90" w:type="dxa"/>
              <w:left w:w="90" w:type="dxa"/>
              <w:bottom w:w="90" w:type="dxa"/>
              <w:right w:w="90" w:type="dxa"/>
            </w:tcMar>
          </w:tcPr>
          <w:p>
            <w:pPr>
              <w:spacing w:after="40" w:line="276" w:lineRule="auto"/>
            </w:pPr>
            <w:r>
              <w:rPr>
                <w:b w:val="0"/>
                <w:i w:val="0"/>
                <w:sz w:val="18"/>
              </w:rPr>
              <w:t>1,500,000</w:t>
            </w:r>
          </w:p>
        </w:tc>
        <w:tc>
          <w:tcPr>
            <w:tcW w:type="dxa" w:w="2480"/>
            <w:vAlign w:val="center"/>
            <w:tcMar>
              <w:top w:w="90" w:type="dxa"/>
              <w:left w:w="90" w:type="dxa"/>
              <w:bottom w:w="90" w:type="dxa"/>
              <w:right w:w="90" w:type="dxa"/>
            </w:tcMar>
          </w:tcPr>
          <w:p>
            <w:pPr>
              <w:spacing w:after="40" w:line="276" w:lineRule="auto"/>
            </w:pPr>
            <w:r>
              <w:rPr>
                <w:b w:val="0"/>
                <w:i w:val="0"/>
                <w:sz w:val="18"/>
              </w:rPr>
              <w:t>0.089</w:t>
            </w:r>
          </w:p>
        </w:tc>
        <w:tc>
          <w:tcPr>
            <w:tcW w:type="dxa" w:w="2448"/>
            <w:vAlign w:val="center"/>
            <w:tcMar>
              <w:top w:w="90" w:type="dxa"/>
              <w:left w:w="90" w:type="dxa"/>
              <w:bottom w:w="90" w:type="dxa"/>
              <w:right w:w="90" w:type="dxa"/>
            </w:tcMar>
          </w:tcPr>
          <w:p>
            <w:pPr>
              <w:spacing w:after="40" w:line="276" w:lineRule="auto"/>
            </w:pPr>
            <w:r>
              <w:rPr>
                <w:b w:val="0"/>
                <w:i w:val="0"/>
                <w:sz w:val="18"/>
              </w:rPr>
              <w:t>20</w:t>
            </w:r>
          </w:p>
        </w:tc>
      </w:tr>
      <w:tr>
        <w:trPr>
          <w:cantSplit/>
        </w:trPr>
        <w:tc>
          <w:tcPr>
            <w:tcW w:type="dxa" w:w="2367"/>
            <w:vAlign w:val="center"/>
            <w:tcMar>
              <w:top w:w="90" w:type="dxa"/>
              <w:left w:w="90" w:type="dxa"/>
              <w:bottom w:w="90" w:type="dxa"/>
              <w:right w:w="90" w:type="dxa"/>
            </w:tcMar>
          </w:tcPr>
          <w:p>
            <w:pPr>
              <w:spacing w:after="40" w:line="276" w:lineRule="auto"/>
            </w:pPr>
            <w:r>
              <w:rPr>
                <w:b w:val="0"/>
                <w:i w:val="0"/>
                <w:sz w:val="18"/>
              </w:rPr>
              <w:t>1C 电池</w:t>
            </w:r>
          </w:p>
        </w:tc>
        <w:tc>
          <w:tcPr>
            <w:tcW w:type="dxa" w:w="2496"/>
            <w:vAlign w:val="center"/>
            <w:tcMar>
              <w:top w:w="90" w:type="dxa"/>
              <w:left w:w="90" w:type="dxa"/>
              <w:bottom w:w="90" w:type="dxa"/>
              <w:right w:w="90" w:type="dxa"/>
            </w:tcMar>
          </w:tcPr>
          <w:p>
            <w:pPr>
              <w:spacing w:after="40" w:line="276" w:lineRule="auto"/>
            </w:pPr>
            <w:r>
              <w:rPr>
                <w:b w:val="0"/>
                <w:i w:val="0"/>
                <w:sz w:val="18"/>
              </w:rPr>
              <w:t>330,000</w:t>
            </w:r>
          </w:p>
        </w:tc>
        <w:tc>
          <w:tcPr>
            <w:tcW w:type="dxa" w:w="2480"/>
            <w:vAlign w:val="center"/>
            <w:tcMar>
              <w:top w:w="90" w:type="dxa"/>
              <w:left w:w="90" w:type="dxa"/>
              <w:bottom w:w="90" w:type="dxa"/>
              <w:right w:w="90" w:type="dxa"/>
            </w:tcMar>
          </w:tcPr>
          <w:p>
            <w:pPr>
              <w:spacing w:after="40" w:line="276" w:lineRule="auto"/>
            </w:pPr>
            <w:r>
              <w:rPr>
                <w:b w:val="0"/>
                <w:i w:val="0"/>
                <w:sz w:val="18"/>
              </w:rPr>
              <w:t>0.0825</w:t>
            </w:r>
          </w:p>
        </w:tc>
        <w:tc>
          <w:tcPr>
            <w:tcW w:type="dxa" w:w="2448"/>
            <w:vAlign w:val="center"/>
            <w:tcMar>
              <w:top w:w="90" w:type="dxa"/>
              <w:left w:w="90" w:type="dxa"/>
              <w:bottom w:w="90" w:type="dxa"/>
              <w:right w:w="90" w:type="dxa"/>
            </w:tcMar>
          </w:tcPr>
          <w:p>
            <w:pPr>
              <w:spacing w:after="40" w:line="276" w:lineRule="auto"/>
            </w:pPr>
            <w:r>
              <w:rPr>
                <w:b w:val="0"/>
                <w:i w:val="0"/>
                <w:sz w:val="18"/>
              </w:rPr>
              <w:t>10</w:t>
            </w:r>
          </w:p>
        </w:tc>
      </w:tr>
      <w:tr>
        <w:trPr>
          <w:cantSplit/>
        </w:trPr>
        <w:tc>
          <w:tcPr>
            <w:tcW w:type="dxa" w:w="2367"/>
            <w:vAlign w:val="center"/>
            <w:tcMar>
              <w:top w:w="90" w:type="dxa"/>
              <w:left w:w="90" w:type="dxa"/>
              <w:bottom w:w="90" w:type="dxa"/>
              <w:right w:w="90" w:type="dxa"/>
            </w:tcMar>
          </w:tcPr>
          <w:p>
            <w:pPr>
              <w:spacing w:after="40" w:line="276" w:lineRule="auto"/>
            </w:pPr>
            <w:r>
              <w:rPr>
                <w:b w:val="0"/>
                <w:i w:val="0"/>
                <w:sz w:val="18"/>
              </w:rPr>
              <w:t>0.5C 电池</w:t>
            </w:r>
          </w:p>
        </w:tc>
        <w:tc>
          <w:tcPr>
            <w:tcW w:type="dxa" w:w="2496"/>
            <w:vAlign w:val="center"/>
            <w:tcMar>
              <w:top w:w="90" w:type="dxa"/>
              <w:left w:w="90" w:type="dxa"/>
              <w:bottom w:w="90" w:type="dxa"/>
              <w:right w:w="90" w:type="dxa"/>
            </w:tcMar>
          </w:tcPr>
          <w:p>
            <w:pPr>
              <w:spacing w:after="40" w:line="276" w:lineRule="auto"/>
            </w:pPr>
            <w:r>
              <w:rPr>
                <w:b w:val="0"/>
                <w:i w:val="0"/>
                <w:sz w:val="18"/>
              </w:rPr>
              <w:t>350,000</w:t>
            </w:r>
          </w:p>
        </w:tc>
        <w:tc>
          <w:tcPr>
            <w:tcW w:type="dxa" w:w="2480"/>
            <w:vAlign w:val="center"/>
            <w:tcMar>
              <w:top w:w="90" w:type="dxa"/>
              <w:left w:w="90" w:type="dxa"/>
              <w:bottom w:w="90" w:type="dxa"/>
              <w:right w:w="90" w:type="dxa"/>
            </w:tcMar>
          </w:tcPr>
          <w:p>
            <w:pPr>
              <w:spacing w:after="40" w:line="276" w:lineRule="auto"/>
            </w:pPr>
            <w:r>
              <w:rPr>
                <w:b w:val="0"/>
                <w:i w:val="0"/>
                <w:sz w:val="18"/>
              </w:rPr>
              <w:t>0.165</w:t>
            </w:r>
          </w:p>
        </w:tc>
        <w:tc>
          <w:tcPr>
            <w:tcW w:type="dxa" w:w="2448"/>
            <w:vAlign w:val="center"/>
            <w:tcMar>
              <w:top w:w="90" w:type="dxa"/>
              <w:left w:w="90" w:type="dxa"/>
              <w:bottom w:w="90" w:type="dxa"/>
              <w:right w:w="90" w:type="dxa"/>
            </w:tcMar>
          </w:tcPr>
          <w:p>
            <w:pPr>
              <w:spacing w:after="40" w:line="276" w:lineRule="auto"/>
            </w:pPr>
            <w:r>
              <w:rPr>
                <w:b w:val="0"/>
                <w:i w:val="0"/>
                <w:sz w:val="18"/>
              </w:rPr>
              <w:t>10</w:t>
            </w:r>
          </w:p>
        </w:tc>
      </w:tr>
      <w:tr>
        <w:trPr>
          <w:cantSplit/>
        </w:trPr>
        <w:tc>
          <w:tcPr>
            <w:tcW w:type="dxa" w:w="2367"/>
            <w:vAlign w:val="center"/>
            <w:tcMar>
              <w:top w:w="90" w:type="dxa"/>
              <w:left w:w="90" w:type="dxa"/>
              <w:bottom w:w="90" w:type="dxa"/>
              <w:right w:w="90" w:type="dxa"/>
            </w:tcMar>
          </w:tcPr>
          <w:p>
            <w:pPr>
              <w:spacing w:after="40" w:line="276" w:lineRule="auto"/>
            </w:pPr>
            <w:r>
              <w:rPr>
                <w:b w:val="0"/>
                <w:i w:val="0"/>
                <w:sz w:val="18"/>
              </w:rPr>
              <w:t>0.25C 电池</w:t>
            </w:r>
          </w:p>
        </w:tc>
        <w:tc>
          <w:tcPr>
            <w:tcW w:type="dxa" w:w="2496"/>
            <w:vAlign w:val="center"/>
            <w:tcMar>
              <w:top w:w="90" w:type="dxa"/>
              <w:left w:w="90" w:type="dxa"/>
              <w:bottom w:w="90" w:type="dxa"/>
              <w:right w:w="90" w:type="dxa"/>
            </w:tcMar>
          </w:tcPr>
          <w:p>
            <w:pPr>
              <w:spacing w:after="40" w:line="276" w:lineRule="auto"/>
            </w:pPr>
            <w:r>
              <w:rPr>
                <w:b w:val="0"/>
                <w:i w:val="0"/>
                <w:sz w:val="18"/>
              </w:rPr>
              <w:t>415,000</w:t>
            </w:r>
          </w:p>
        </w:tc>
        <w:tc>
          <w:tcPr>
            <w:tcW w:type="dxa" w:w="2480"/>
            <w:vAlign w:val="center"/>
            <w:tcMar>
              <w:top w:w="90" w:type="dxa"/>
              <w:left w:w="90" w:type="dxa"/>
              <w:bottom w:w="90" w:type="dxa"/>
              <w:right w:w="90" w:type="dxa"/>
            </w:tcMar>
          </w:tcPr>
          <w:p>
            <w:pPr>
              <w:spacing w:after="40" w:line="276" w:lineRule="auto"/>
            </w:pPr>
            <w:r>
              <w:rPr>
                <w:b w:val="0"/>
                <w:i w:val="0"/>
                <w:sz w:val="18"/>
              </w:rPr>
              <w:t>0.0825</w:t>
            </w:r>
          </w:p>
        </w:tc>
        <w:tc>
          <w:tcPr>
            <w:tcW w:type="dxa" w:w="2448"/>
            <w:vAlign w:val="center"/>
            <w:tcMar>
              <w:top w:w="90" w:type="dxa"/>
              <w:left w:w="90" w:type="dxa"/>
              <w:bottom w:w="90" w:type="dxa"/>
              <w:right w:w="90" w:type="dxa"/>
            </w:tcMar>
          </w:tcPr>
          <w:p>
            <w:pPr>
              <w:spacing w:after="40" w:line="276" w:lineRule="auto"/>
            </w:pPr>
            <w:r>
              <w:rPr>
                <w:b w:val="0"/>
                <w:i w:val="0"/>
                <w:sz w:val="18"/>
              </w:rPr>
              <w:t>10</w:t>
            </w:r>
          </w:p>
        </w:tc>
      </w:tr>
      <w:tr>
        <w:trPr>
          <w:cantSplit/>
        </w:trPr>
        <w:tc>
          <w:tcPr>
            <w:tcW w:type="dxa" w:w="2367"/>
            <w:vAlign w:val="center"/>
            <w:tcMar>
              <w:top w:w="90" w:type="dxa"/>
              <w:left w:w="90" w:type="dxa"/>
              <w:bottom w:w="90" w:type="dxa"/>
              <w:right w:w="90" w:type="dxa"/>
            </w:tcMar>
          </w:tcPr>
          <w:p>
            <w:pPr>
              <w:spacing w:after="40" w:line="276" w:lineRule="auto"/>
            </w:pPr>
            <w:r>
              <w:rPr>
                <w:b w:val="0"/>
                <w:i w:val="0"/>
                <w:sz w:val="18"/>
              </w:rPr>
              <w:t>氢储能</w:t>
            </w:r>
          </w:p>
        </w:tc>
        <w:tc>
          <w:tcPr>
            <w:tcW w:type="dxa" w:w="2496"/>
            <w:vAlign w:val="center"/>
            <w:tcMar>
              <w:top w:w="90" w:type="dxa"/>
              <w:left w:w="90" w:type="dxa"/>
              <w:bottom w:w="90" w:type="dxa"/>
              <w:right w:w="90" w:type="dxa"/>
            </w:tcMar>
          </w:tcPr>
          <w:p>
            <w:pPr>
              <w:spacing w:after="40" w:line="276" w:lineRule="auto"/>
            </w:pPr>
            <w:r>
              <w:rPr>
                <w:b w:val="0"/>
                <w:i w:val="0"/>
                <w:sz w:val="18"/>
              </w:rPr>
              <w:t>600,000</w:t>
            </w:r>
          </w:p>
        </w:tc>
        <w:tc>
          <w:tcPr>
            <w:tcW w:type="dxa" w:w="2480"/>
            <w:vAlign w:val="center"/>
            <w:tcMar>
              <w:top w:w="90" w:type="dxa"/>
              <w:left w:w="90" w:type="dxa"/>
              <w:bottom w:w="90" w:type="dxa"/>
              <w:right w:w="90" w:type="dxa"/>
            </w:tcMar>
          </w:tcPr>
          <w:p>
            <w:pPr>
              <w:spacing w:after="40" w:line="276" w:lineRule="auto"/>
            </w:pPr>
            <w:r>
              <w:rPr>
                <w:b w:val="0"/>
                <w:i w:val="0"/>
                <w:sz w:val="18"/>
              </w:rPr>
              <w:t>0.01375</w:t>
            </w:r>
          </w:p>
        </w:tc>
        <w:tc>
          <w:tcPr>
            <w:tcW w:type="dxa" w:w="2448"/>
            <w:vAlign w:val="center"/>
            <w:tcMar>
              <w:top w:w="90" w:type="dxa"/>
              <w:left w:w="90" w:type="dxa"/>
              <w:bottom w:w="90" w:type="dxa"/>
              <w:right w:w="90" w:type="dxa"/>
            </w:tcMar>
          </w:tcPr>
          <w:p>
            <w:pPr>
              <w:spacing w:after="40" w:line="276" w:lineRule="auto"/>
            </w:pPr>
            <w:r>
              <w:rPr>
                <w:b w:val="0"/>
                <w:i w:val="0"/>
                <w:sz w:val="18"/>
              </w:rPr>
              <w:t>25（默认）</w:t>
            </w:r>
          </w:p>
        </w:tc>
      </w:tr>
    </w:tbl>
    <w:p>
      <w:pPr>
        <w:spacing w:after="20"/>
      </w:pPr>
    </w:p>
    <w:p>
      <w:r>
        <w:rPr>
          <w:b w:val="0"/>
          <w:i w:val="0"/>
        </w:rPr>
        <w:t xml:space="preserve">储能参数将充电效率、放电效率、持续时间和寿命分别用于库存递推与成本计算。往返效率为 </w:t>
      </w:r>
      <w:r>
        <w:rPr>
          <w:rFonts w:ascii="DejaVu Sans Mono" w:hAnsi="DejaVu Sans Mono"/>
          <w:b w:val="0"/>
          <w:i w:val="0"/>
          <w:sz w:val="17"/>
        </w:rPr>
        <w:t>charge_efficiency * discharge_efficiency</w:t>
      </w:r>
      <w:r>
        <w:rPr>
          <w:b w:val="0"/>
          <w:i w:val="0"/>
        </w:rPr>
        <w:t xml:space="preserve">，例如 0.5C 电池取 </w:t>
      </w:r>
      <w:r>
        <w:drawing>
          <wp:inline xmlns:a="http://schemas.openxmlformats.org/drawingml/2006/main" xmlns:pic="http://schemas.openxmlformats.org/drawingml/2006/picture">
            <wp:extent cx="999693" cy="148801"/>
            <wp:docPr id="3" name="Picture 3"/>
            <wp:cNvGraphicFramePr>
              <a:graphicFrameLocks noChangeAspect="1"/>
            </wp:cNvGraphicFramePr>
            <a:graphic>
              <a:graphicData uri="http://schemas.openxmlformats.org/drawingml/2006/picture">
                <pic:pic>
                  <pic:nvPicPr>
                    <pic:cNvPr id="0" name="eq-003.png"/>
                    <pic:cNvPicPr/>
                  </pic:nvPicPr>
                  <pic:blipFill>
                    <a:blip r:embed="rId13"/>
                    <a:stretch>
                      <a:fillRect/>
                    </a:stretch>
                  </pic:blipFill>
                  <pic:spPr>
                    <a:xfrm>
                      <a:off x="0" y="0"/>
                      <a:ext cx="999693" cy="148801"/>
                    </a:xfrm>
                    <a:prstGeom prst="rect"/>
                  </pic:spPr>
                </pic:pic>
              </a:graphicData>
            </a:graphic>
          </wp:inline>
        </w:drawing>
      </w:r>
      <w:r>
        <w:rPr>
          <w:b w:val="0"/>
          <w:i w:val="0"/>
        </w:rPr>
        <w:t xml:space="preserve">⁠。技术目录中的经济寿命与上表的投资回收目标分开参与计算。循环参数 </w:t>
      </w:r>
      <w:r>
        <w:rPr>
          <w:rFonts w:ascii="DejaVu Sans Mono" w:hAnsi="DejaVu Sans Mono"/>
          <w:b w:val="0"/>
          <w:i w:val="0"/>
          <w:sz w:val="17"/>
        </w:rPr>
        <w:t>maximum_cycles</w:t>
      </w:r>
      <w:r>
        <w:rPr>
          <w:b w:val="0"/>
          <w:i w:val="0"/>
        </w:rPr>
        <w:t xml:space="preserve"> 用于参考年循环数；三类电池同时用它计算循环折旧。动态储能成本模块对抽蓄和氢储能采用时间回收；修正口径的默认调度采用第 5 章的仅循环折旧报价规则。</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3"/>
        <w:gridCol w:w="1675"/>
        <w:gridCol w:w="1416"/>
        <w:gridCol w:w="1416"/>
        <w:gridCol w:w="1709"/>
        <w:gridCol w:w="2043"/>
      </w:tblGrid>
      <w:tr>
        <w:trPr>
          <w:cantSplit/>
          <w:tblHeader w:val="true"/>
        </w:trPr>
        <w:tc>
          <w:tcPr>
            <w:tcW w:type="dxa" w:w="1533"/>
            <w:vAlign w:val="center"/>
            <w:tcMar>
              <w:top w:w="90" w:type="dxa"/>
              <w:left w:w="90" w:type="dxa"/>
              <w:bottom w:w="90" w:type="dxa"/>
              <w:right w:w="90" w:type="dxa"/>
            </w:tcMar>
            <w:shd w:fill="EEEEEE"/>
          </w:tcPr>
          <w:p>
            <w:pPr>
              <w:spacing w:after="40" w:line="276" w:lineRule="auto"/>
            </w:pPr>
            <w:r>
              <w:rPr>
                <w:b/>
                <w:i w:val="0"/>
                <w:sz w:val="18"/>
              </w:rPr>
              <w:t>技术</w:t>
            </w:r>
          </w:p>
        </w:tc>
        <w:tc>
          <w:tcPr>
            <w:tcW w:type="dxa" w:w="1675"/>
            <w:vAlign w:val="center"/>
            <w:tcMar>
              <w:top w:w="90" w:type="dxa"/>
              <w:left w:w="90" w:type="dxa"/>
              <w:bottom w:w="90" w:type="dxa"/>
              <w:right w:w="90" w:type="dxa"/>
            </w:tcMar>
            <w:shd w:fill="EEEEEE"/>
          </w:tcPr>
          <w:p>
            <w:pPr>
              <w:spacing w:after="40" w:line="276" w:lineRule="auto"/>
            </w:pPr>
            <w:r>
              <w:rPr>
                <w:b/>
                <w:i w:val="0"/>
                <w:sz w:val="18"/>
              </w:rPr>
              <w:t>目录持续时间 h</w:t>
            </w:r>
          </w:p>
        </w:tc>
        <w:tc>
          <w:tcPr>
            <w:tcW w:type="dxa" w:w="1416"/>
            <w:vAlign w:val="center"/>
            <w:tcMar>
              <w:top w:w="90" w:type="dxa"/>
              <w:left w:w="90" w:type="dxa"/>
              <w:bottom w:w="90" w:type="dxa"/>
              <w:right w:w="90" w:type="dxa"/>
            </w:tcMar>
            <w:shd w:fill="EEEEEE"/>
          </w:tcPr>
          <w:p>
            <w:pPr>
              <w:spacing w:after="40" w:line="276" w:lineRule="auto"/>
            </w:pPr>
            <w:r>
              <w:rPr>
                <w:b/>
                <w:i w:val="0"/>
                <w:sz w:val="18"/>
              </w:rPr>
              <w:t>充电效率</w:t>
            </w:r>
          </w:p>
        </w:tc>
        <w:tc>
          <w:tcPr>
            <w:tcW w:type="dxa" w:w="1416"/>
            <w:vAlign w:val="center"/>
            <w:tcMar>
              <w:top w:w="90" w:type="dxa"/>
              <w:left w:w="90" w:type="dxa"/>
              <w:bottom w:w="90" w:type="dxa"/>
              <w:right w:w="90" w:type="dxa"/>
            </w:tcMar>
            <w:shd w:fill="EEEEEE"/>
          </w:tcPr>
          <w:p>
            <w:pPr>
              <w:spacing w:after="40" w:line="276" w:lineRule="auto"/>
            </w:pPr>
            <w:r>
              <w:rPr>
                <w:b/>
                <w:i w:val="0"/>
                <w:sz w:val="18"/>
              </w:rPr>
              <w:t>放电效率</w:t>
            </w:r>
          </w:p>
        </w:tc>
        <w:tc>
          <w:tcPr>
            <w:tcW w:type="dxa" w:w="1709"/>
            <w:vAlign w:val="center"/>
            <w:tcMar>
              <w:top w:w="90" w:type="dxa"/>
              <w:left w:w="90" w:type="dxa"/>
              <w:bottom w:w="90" w:type="dxa"/>
              <w:right w:w="90" w:type="dxa"/>
            </w:tcMar>
            <w:shd w:fill="EEEEEE"/>
          </w:tcPr>
          <w:p>
            <w:pPr>
              <w:spacing w:after="40" w:line="276" w:lineRule="auto"/>
            </w:pPr>
            <w:r>
              <w:rPr>
                <w:b/>
                <w:i w:val="0"/>
                <w:sz w:val="18"/>
              </w:rPr>
              <w:t>目录经济寿命 年</w:t>
            </w:r>
          </w:p>
        </w:tc>
        <w:tc>
          <w:tcPr>
            <w:tcW w:type="dxa" w:w="2043"/>
            <w:vAlign w:val="center"/>
            <w:tcMar>
              <w:top w:w="90" w:type="dxa"/>
              <w:left w:w="90" w:type="dxa"/>
              <w:bottom w:w="90" w:type="dxa"/>
              <w:right w:w="90" w:type="dxa"/>
            </w:tcMar>
            <w:shd w:fill="EEEEEE"/>
          </w:tcPr>
          <w:p>
            <w:pPr>
              <w:spacing w:after="40" w:line="276" w:lineRule="auto"/>
            </w:pPr>
            <w:r>
              <w:rPr>
                <w:b/>
                <w:i w:val="0"/>
                <w:sz w:val="18"/>
              </w:rPr>
              <w:t xml:space="preserve">循环参数 </w:t>
            </w:r>
            <w:r>
              <w:rPr>
                <w:rFonts w:ascii="DejaVu Sans Mono" w:hAnsi="DejaVu Sans Mono"/>
                <w:b/>
                <w:i w:val="0"/>
                <w:sz w:val="18"/>
              </w:rPr>
              <w:t>maximum_cycles</w:t>
            </w:r>
          </w:p>
        </w:tc>
      </w:tr>
      <w:tr>
        <w:trPr>
          <w:cantSplit/>
        </w:trPr>
        <w:tc>
          <w:tcPr>
            <w:tcW w:type="dxa" w:w="1533"/>
            <w:vAlign w:val="center"/>
            <w:tcMar>
              <w:top w:w="90" w:type="dxa"/>
              <w:left w:w="90" w:type="dxa"/>
              <w:bottom w:w="90" w:type="dxa"/>
              <w:right w:w="90" w:type="dxa"/>
            </w:tcMar>
          </w:tcPr>
          <w:p>
            <w:pPr>
              <w:spacing w:after="40" w:line="276" w:lineRule="auto"/>
            </w:pPr>
            <w:r>
              <w:rPr>
                <w:b w:val="0"/>
                <w:i w:val="0"/>
                <w:sz w:val="18"/>
              </w:rPr>
              <w:t>抽水蓄能</w:t>
            </w:r>
          </w:p>
        </w:tc>
        <w:tc>
          <w:tcPr>
            <w:tcW w:type="dxa" w:w="1675"/>
            <w:vAlign w:val="center"/>
            <w:tcMar>
              <w:top w:w="90" w:type="dxa"/>
              <w:left w:w="90" w:type="dxa"/>
              <w:bottom w:w="90" w:type="dxa"/>
              <w:right w:w="90" w:type="dxa"/>
            </w:tcMar>
          </w:tcPr>
          <w:p>
            <w:pPr>
              <w:spacing w:after="40" w:line="276" w:lineRule="auto"/>
            </w:pPr>
            <w:r>
              <w:rPr>
                <w:b w:val="0"/>
                <w:i w:val="0"/>
                <w:sz w:val="18"/>
              </w:rPr>
              <w:t>4</w:t>
            </w:r>
          </w:p>
        </w:tc>
        <w:tc>
          <w:tcPr>
            <w:tcW w:type="dxa" w:w="1416"/>
            <w:vAlign w:val="center"/>
            <w:tcMar>
              <w:top w:w="90" w:type="dxa"/>
              <w:left w:w="90" w:type="dxa"/>
              <w:bottom w:w="90" w:type="dxa"/>
              <w:right w:w="90" w:type="dxa"/>
            </w:tcMar>
          </w:tcPr>
          <w:p>
            <w:pPr>
              <w:spacing w:after="40" w:line="276" w:lineRule="auto"/>
            </w:pPr>
            <w:r>
              <w:rPr>
                <w:b w:val="0"/>
                <w:i w:val="0"/>
                <w:sz w:val="18"/>
              </w:rPr>
              <w:t>0.87</w:t>
            </w:r>
          </w:p>
        </w:tc>
        <w:tc>
          <w:tcPr>
            <w:tcW w:type="dxa" w:w="1416"/>
            <w:vAlign w:val="center"/>
            <w:tcMar>
              <w:top w:w="90" w:type="dxa"/>
              <w:left w:w="90" w:type="dxa"/>
              <w:bottom w:w="90" w:type="dxa"/>
              <w:right w:w="90" w:type="dxa"/>
            </w:tcMar>
          </w:tcPr>
          <w:p>
            <w:pPr>
              <w:spacing w:after="40" w:line="276" w:lineRule="auto"/>
            </w:pPr>
            <w:r>
              <w:rPr>
                <w:b w:val="0"/>
                <w:i w:val="0"/>
                <w:sz w:val="18"/>
              </w:rPr>
              <w:t>0.87</w:t>
            </w:r>
          </w:p>
        </w:tc>
        <w:tc>
          <w:tcPr>
            <w:tcW w:type="dxa" w:w="1709"/>
            <w:vAlign w:val="center"/>
            <w:tcMar>
              <w:top w:w="90" w:type="dxa"/>
              <w:left w:w="90" w:type="dxa"/>
              <w:bottom w:w="90" w:type="dxa"/>
              <w:right w:w="90" w:type="dxa"/>
            </w:tcMar>
          </w:tcPr>
          <w:p>
            <w:pPr>
              <w:spacing w:after="40" w:line="276" w:lineRule="auto"/>
            </w:pPr>
            <w:r>
              <w:rPr>
                <w:b w:val="0"/>
                <w:i w:val="0"/>
                <w:sz w:val="18"/>
              </w:rPr>
              <w:t>30</w:t>
            </w:r>
          </w:p>
        </w:tc>
        <w:tc>
          <w:tcPr>
            <w:tcW w:type="dxa" w:w="2043"/>
            <w:vAlign w:val="center"/>
            <w:tcMar>
              <w:top w:w="90" w:type="dxa"/>
              <w:left w:w="90" w:type="dxa"/>
              <w:bottom w:w="90" w:type="dxa"/>
              <w:right w:w="90" w:type="dxa"/>
            </w:tcMar>
          </w:tcPr>
          <w:p>
            <w:pPr>
              <w:spacing w:after="40" w:line="276" w:lineRule="auto"/>
            </w:pPr>
            <w:r>
              <w:rPr>
                <w:b w:val="0"/>
                <w:i w:val="0"/>
                <w:sz w:val="18"/>
              </w:rPr>
              <w:t>1,000,000</w:t>
            </w:r>
          </w:p>
        </w:tc>
      </w:tr>
      <w:tr>
        <w:trPr>
          <w:cantSplit/>
        </w:trPr>
        <w:tc>
          <w:tcPr>
            <w:tcW w:type="dxa" w:w="1533"/>
            <w:vAlign w:val="center"/>
            <w:tcMar>
              <w:top w:w="90" w:type="dxa"/>
              <w:left w:w="90" w:type="dxa"/>
              <w:bottom w:w="90" w:type="dxa"/>
              <w:right w:w="90" w:type="dxa"/>
            </w:tcMar>
          </w:tcPr>
          <w:p>
            <w:pPr>
              <w:spacing w:after="40" w:line="276" w:lineRule="auto"/>
            </w:pPr>
            <w:r>
              <w:rPr>
                <w:b w:val="0"/>
                <w:i w:val="0"/>
                <w:sz w:val="18"/>
              </w:rPr>
              <w:t>1C 电池</w:t>
            </w:r>
          </w:p>
        </w:tc>
        <w:tc>
          <w:tcPr>
            <w:tcW w:type="dxa" w:w="1675"/>
            <w:vAlign w:val="center"/>
            <w:tcMar>
              <w:top w:w="90" w:type="dxa"/>
              <w:left w:w="90" w:type="dxa"/>
              <w:bottom w:w="90" w:type="dxa"/>
              <w:right w:w="90" w:type="dxa"/>
            </w:tcMar>
          </w:tcPr>
          <w:p>
            <w:pPr>
              <w:spacing w:after="40" w:line="276" w:lineRule="auto"/>
            </w:pPr>
            <w:r>
              <w:rPr>
                <w:b w:val="0"/>
                <w:i w:val="0"/>
                <w:sz w:val="18"/>
              </w:rPr>
              <w:t>1</w:t>
            </w:r>
          </w:p>
        </w:tc>
        <w:tc>
          <w:tcPr>
            <w:tcW w:type="dxa" w:w="1416"/>
            <w:vAlign w:val="center"/>
            <w:tcMar>
              <w:top w:w="90" w:type="dxa"/>
              <w:left w:w="90" w:type="dxa"/>
              <w:bottom w:w="90" w:type="dxa"/>
              <w:right w:w="90" w:type="dxa"/>
            </w:tcMar>
          </w:tcPr>
          <w:p>
            <w:pPr>
              <w:spacing w:after="40" w:line="276" w:lineRule="auto"/>
            </w:pPr>
            <w:r>
              <w:rPr>
                <w:b w:val="0"/>
                <w:i w:val="0"/>
                <w:sz w:val="18"/>
              </w:rPr>
              <w:t>0.81</w:t>
            </w:r>
          </w:p>
        </w:tc>
        <w:tc>
          <w:tcPr>
            <w:tcW w:type="dxa" w:w="1416"/>
            <w:vAlign w:val="center"/>
            <w:tcMar>
              <w:top w:w="90" w:type="dxa"/>
              <w:left w:w="90" w:type="dxa"/>
              <w:bottom w:w="90" w:type="dxa"/>
              <w:right w:w="90" w:type="dxa"/>
            </w:tcMar>
          </w:tcPr>
          <w:p>
            <w:pPr>
              <w:spacing w:after="40" w:line="276" w:lineRule="auto"/>
            </w:pPr>
            <w:r>
              <w:rPr>
                <w:b w:val="0"/>
                <w:i w:val="0"/>
                <w:sz w:val="18"/>
              </w:rPr>
              <w:t>0.81</w:t>
            </w:r>
          </w:p>
        </w:tc>
        <w:tc>
          <w:tcPr>
            <w:tcW w:type="dxa" w:w="1709"/>
            <w:vAlign w:val="center"/>
            <w:tcMar>
              <w:top w:w="90" w:type="dxa"/>
              <w:left w:w="90" w:type="dxa"/>
              <w:bottom w:w="90" w:type="dxa"/>
              <w:right w:w="90" w:type="dxa"/>
            </w:tcMar>
          </w:tcPr>
          <w:p>
            <w:pPr>
              <w:spacing w:after="40" w:line="276" w:lineRule="auto"/>
            </w:pPr>
            <w:r>
              <w:rPr>
                <w:b w:val="0"/>
                <w:i w:val="0"/>
                <w:sz w:val="18"/>
              </w:rPr>
              <w:t>15</w:t>
            </w:r>
          </w:p>
        </w:tc>
        <w:tc>
          <w:tcPr>
            <w:tcW w:type="dxa" w:w="2043"/>
            <w:vAlign w:val="center"/>
            <w:tcMar>
              <w:top w:w="90" w:type="dxa"/>
              <w:left w:w="90" w:type="dxa"/>
              <w:bottom w:w="90" w:type="dxa"/>
              <w:right w:w="90" w:type="dxa"/>
            </w:tcMar>
          </w:tcPr>
          <w:p>
            <w:pPr>
              <w:spacing w:after="40" w:line="276" w:lineRule="auto"/>
            </w:pPr>
            <w:r>
              <w:rPr>
                <w:b w:val="0"/>
                <w:i w:val="0"/>
                <w:sz w:val="18"/>
              </w:rPr>
              <w:t>3,000</w:t>
            </w:r>
          </w:p>
        </w:tc>
      </w:tr>
      <w:tr>
        <w:trPr>
          <w:cantSplit/>
        </w:trPr>
        <w:tc>
          <w:tcPr>
            <w:tcW w:type="dxa" w:w="1533"/>
            <w:vAlign w:val="center"/>
            <w:tcMar>
              <w:top w:w="90" w:type="dxa"/>
              <w:left w:w="90" w:type="dxa"/>
              <w:bottom w:w="90" w:type="dxa"/>
              <w:right w:w="90" w:type="dxa"/>
            </w:tcMar>
          </w:tcPr>
          <w:p>
            <w:pPr>
              <w:spacing w:after="40" w:line="276" w:lineRule="auto"/>
            </w:pPr>
            <w:r>
              <w:rPr>
                <w:b w:val="0"/>
                <w:i w:val="0"/>
                <w:sz w:val="18"/>
              </w:rPr>
              <w:t>0.5C 电池</w:t>
            </w:r>
          </w:p>
        </w:tc>
        <w:tc>
          <w:tcPr>
            <w:tcW w:type="dxa" w:w="1675"/>
            <w:vAlign w:val="center"/>
            <w:tcMar>
              <w:top w:w="90" w:type="dxa"/>
              <w:left w:w="90" w:type="dxa"/>
              <w:bottom w:w="90" w:type="dxa"/>
              <w:right w:w="90" w:type="dxa"/>
            </w:tcMar>
          </w:tcPr>
          <w:p>
            <w:pPr>
              <w:spacing w:after="40" w:line="276" w:lineRule="auto"/>
            </w:pPr>
            <w:r>
              <w:rPr>
                <w:b w:val="0"/>
                <w:i w:val="0"/>
                <w:sz w:val="18"/>
              </w:rPr>
              <w:t>2</w:t>
            </w:r>
          </w:p>
        </w:tc>
        <w:tc>
          <w:tcPr>
            <w:tcW w:type="dxa" w:w="1416"/>
            <w:vAlign w:val="center"/>
            <w:tcMar>
              <w:top w:w="90" w:type="dxa"/>
              <w:left w:w="90" w:type="dxa"/>
              <w:bottom w:w="90" w:type="dxa"/>
              <w:right w:w="90" w:type="dxa"/>
            </w:tcMar>
          </w:tcPr>
          <w:p>
            <w:pPr>
              <w:spacing w:after="40" w:line="276" w:lineRule="auto"/>
            </w:pPr>
            <w:r>
              <w:rPr>
                <w:b w:val="0"/>
                <w:i w:val="0"/>
                <w:sz w:val="18"/>
              </w:rPr>
              <w:t>0.98</w:t>
            </w:r>
          </w:p>
        </w:tc>
        <w:tc>
          <w:tcPr>
            <w:tcW w:type="dxa" w:w="1416"/>
            <w:vAlign w:val="center"/>
            <w:tcMar>
              <w:top w:w="90" w:type="dxa"/>
              <w:left w:w="90" w:type="dxa"/>
              <w:bottom w:w="90" w:type="dxa"/>
              <w:right w:w="90" w:type="dxa"/>
            </w:tcMar>
          </w:tcPr>
          <w:p>
            <w:pPr>
              <w:spacing w:after="40" w:line="276" w:lineRule="auto"/>
            </w:pPr>
            <w:r>
              <w:rPr>
                <w:b w:val="0"/>
                <w:i w:val="0"/>
                <w:sz w:val="18"/>
              </w:rPr>
              <w:t>0.98</w:t>
            </w:r>
          </w:p>
        </w:tc>
        <w:tc>
          <w:tcPr>
            <w:tcW w:type="dxa" w:w="1709"/>
            <w:vAlign w:val="center"/>
            <w:tcMar>
              <w:top w:w="90" w:type="dxa"/>
              <w:left w:w="90" w:type="dxa"/>
              <w:bottom w:w="90" w:type="dxa"/>
              <w:right w:w="90" w:type="dxa"/>
            </w:tcMar>
          </w:tcPr>
          <w:p>
            <w:pPr>
              <w:spacing w:after="40" w:line="276" w:lineRule="auto"/>
            </w:pPr>
            <w:r>
              <w:rPr>
                <w:b w:val="0"/>
                <w:i w:val="0"/>
                <w:sz w:val="18"/>
              </w:rPr>
              <w:t>15</w:t>
            </w:r>
          </w:p>
        </w:tc>
        <w:tc>
          <w:tcPr>
            <w:tcW w:type="dxa" w:w="2043"/>
            <w:vAlign w:val="center"/>
            <w:tcMar>
              <w:top w:w="90" w:type="dxa"/>
              <w:left w:w="90" w:type="dxa"/>
              <w:bottom w:w="90" w:type="dxa"/>
              <w:right w:w="90" w:type="dxa"/>
            </w:tcMar>
          </w:tcPr>
          <w:p>
            <w:pPr>
              <w:spacing w:after="40" w:line="276" w:lineRule="auto"/>
            </w:pPr>
            <w:r>
              <w:rPr>
                <w:b w:val="0"/>
                <w:i w:val="0"/>
                <w:sz w:val="18"/>
              </w:rPr>
              <w:t>5,000</w:t>
            </w:r>
          </w:p>
        </w:tc>
      </w:tr>
      <w:tr>
        <w:trPr>
          <w:cantSplit/>
        </w:trPr>
        <w:tc>
          <w:tcPr>
            <w:tcW w:type="dxa" w:w="1533"/>
            <w:vAlign w:val="center"/>
            <w:tcMar>
              <w:top w:w="90" w:type="dxa"/>
              <w:left w:w="90" w:type="dxa"/>
              <w:bottom w:w="90" w:type="dxa"/>
              <w:right w:w="90" w:type="dxa"/>
            </w:tcMar>
          </w:tcPr>
          <w:p>
            <w:pPr>
              <w:spacing w:after="40" w:line="276" w:lineRule="auto"/>
            </w:pPr>
            <w:r>
              <w:rPr>
                <w:b w:val="0"/>
                <w:i w:val="0"/>
                <w:sz w:val="18"/>
              </w:rPr>
              <w:t>0.25C 电池</w:t>
            </w:r>
          </w:p>
        </w:tc>
        <w:tc>
          <w:tcPr>
            <w:tcW w:type="dxa" w:w="1675"/>
            <w:vAlign w:val="center"/>
            <w:tcMar>
              <w:top w:w="90" w:type="dxa"/>
              <w:left w:w="90" w:type="dxa"/>
              <w:bottom w:w="90" w:type="dxa"/>
              <w:right w:w="90" w:type="dxa"/>
            </w:tcMar>
          </w:tcPr>
          <w:p>
            <w:pPr>
              <w:spacing w:after="40" w:line="276" w:lineRule="auto"/>
            </w:pPr>
            <w:r>
              <w:rPr>
                <w:b w:val="0"/>
                <w:i w:val="0"/>
                <w:sz w:val="18"/>
              </w:rPr>
              <w:t>4</w:t>
            </w:r>
          </w:p>
        </w:tc>
        <w:tc>
          <w:tcPr>
            <w:tcW w:type="dxa" w:w="1416"/>
            <w:vAlign w:val="center"/>
            <w:tcMar>
              <w:top w:w="90" w:type="dxa"/>
              <w:left w:w="90" w:type="dxa"/>
              <w:bottom w:w="90" w:type="dxa"/>
              <w:right w:w="90" w:type="dxa"/>
            </w:tcMar>
          </w:tcPr>
          <w:p>
            <w:pPr>
              <w:spacing w:after="40" w:line="276" w:lineRule="auto"/>
            </w:pPr>
            <w:r>
              <w:rPr>
                <w:b w:val="0"/>
                <w:i w:val="0"/>
                <w:sz w:val="18"/>
              </w:rPr>
              <w:t>0.81</w:t>
            </w:r>
          </w:p>
        </w:tc>
        <w:tc>
          <w:tcPr>
            <w:tcW w:type="dxa" w:w="1416"/>
            <w:vAlign w:val="center"/>
            <w:tcMar>
              <w:top w:w="90" w:type="dxa"/>
              <w:left w:w="90" w:type="dxa"/>
              <w:bottom w:w="90" w:type="dxa"/>
              <w:right w:w="90" w:type="dxa"/>
            </w:tcMar>
          </w:tcPr>
          <w:p>
            <w:pPr>
              <w:spacing w:after="40" w:line="276" w:lineRule="auto"/>
            </w:pPr>
            <w:r>
              <w:rPr>
                <w:b w:val="0"/>
                <w:i w:val="0"/>
                <w:sz w:val="18"/>
              </w:rPr>
              <w:t>0.81</w:t>
            </w:r>
          </w:p>
        </w:tc>
        <w:tc>
          <w:tcPr>
            <w:tcW w:type="dxa" w:w="1709"/>
            <w:vAlign w:val="center"/>
            <w:tcMar>
              <w:top w:w="90" w:type="dxa"/>
              <w:left w:w="90" w:type="dxa"/>
              <w:bottom w:w="90" w:type="dxa"/>
              <w:right w:w="90" w:type="dxa"/>
            </w:tcMar>
          </w:tcPr>
          <w:p>
            <w:pPr>
              <w:spacing w:after="40" w:line="276" w:lineRule="auto"/>
            </w:pPr>
            <w:r>
              <w:rPr>
                <w:b w:val="0"/>
                <w:i w:val="0"/>
                <w:sz w:val="18"/>
              </w:rPr>
              <w:t>15</w:t>
            </w:r>
          </w:p>
        </w:tc>
        <w:tc>
          <w:tcPr>
            <w:tcW w:type="dxa" w:w="2043"/>
            <w:vAlign w:val="center"/>
            <w:tcMar>
              <w:top w:w="90" w:type="dxa"/>
              <w:left w:w="90" w:type="dxa"/>
              <w:bottom w:w="90" w:type="dxa"/>
              <w:right w:w="90" w:type="dxa"/>
            </w:tcMar>
          </w:tcPr>
          <w:p>
            <w:pPr>
              <w:spacing w:after="40" w:line="276" w:lineRule="auto"/>
            </w:pPr>
            <w:r>
              <w:rPr>
                <w:b w:val="0"/>
                <w:i w:val="0"/>
                <w:sz w:val="18"/>
              </w:rPr>
              <w:t>8,000</w:t>
            </w:r>
          </w:p>
        </w:tc>
      </w:tr>
      <w:tr>
        <w:trPr>
          <w:cantSplit/>
        </w:trPr>
        <w:tc>
          <w:tcPr>
            <w:tcW w:type="dxa" w:w="1533"/>
            <w:vAlign w:val="center"/>
            <w:tcMar>
              <w:top w:w="90" w:type="dxa"/>
              <w:left w:w="90" w:type="dxa"/>
              <w:bottom w:w="90" w:type="dxa"/>
              <w:right w:w="90" w:type="dxa"/>
            </w:tcMar>
          </w:tcPr>
          <w:p>
            <w:pPr>
              <w:spacing w:after="40" w:line="276" w:lineRule="auto"/>
            </w:pPr>
            <w:r>
              <w:rPr>
                <w:b w:val="0"/>
                <w:i w:val="0"/>
                <w:sz w:val="18"/>
              </w:rPr>
              <w:t>氢储能</w:t>
            </w:r>
          </w:p>
        </w:tc>
        <w:tc>
          <w:tcPr>
            <w:tcW w:type="dxa" w:w="1675"/>
            <w:vAlign w:val="center"/>
            <w:tcMar>
              <w:top w:w="90" w:type="dxa"/>
              <w:left w:w="90" w:type="dxa"/>
              <w:bottom w:w="90" w:type="dxa"/>
              <w:right w:w="90" w:type="dxa"/>
            </w:tcMar>
          </w:tcPr>
          <w:p>
            <w:pPr>
              <w:spacing w:after="40" w:line="276" w:lineRule="auto"/>
            </w:pPr>
            <w:r>
              <w:rPr>
                <w:b w:val="0"/>
                <w:i w:val="0"/>
                <w:sz w:val="18"/>
              </w:rPr>
              <w:t>250</w:t>
            </w:r>
          </w:p>
        </w:tc>
        <w:tc>
          <w:tcPr>
            <w:tcW w:type="dxa" w:w="1416"/>
            <w:vAlign w:val="center"/>
            <w:tcMar>
              <w:top w:w="90" w:type="dxa"/>
              <w:left w:w="90" w:type="dxa"/>
              <w:bottom w:w="90" w:type="dxa"/>
              <w:right w:w="90" w:type="dxa"/>
            </w:tcMar>
          </w:tcPr>
          <w:p>
            <w:pPr>
              <w:spacing w:after="40" w:line="276" w:lineRule="auto"/>
            </w:pPr>
            <w:r>
              <w:rPr>
                <w:b w:val="0"/>
                <w:i w:val="0"/>
                <w:sz w:val="18"/>
              </w:rPr>
              <w:t>0.57</w:t>
            </w:r>
          </w:p>
        </w:tc>
        <w:tc>
          <w:tcPr>
            <w:tcW w:type="dxa" w:w="1416"/>
            <w:vAlign w:val="center"/>
            <w:tcMar>
              <w:top w:w="90" w:type="dxa"/>
              <w:left w:w="90" w:type="dxa"/>
              <w:bottom w:w="90" w:type="dxa"/>
              <w:right w:w="90" w:type="dxa"/>
            </w:tcMar>
          </w:tcPr>
          <w:p>
            <w:pPr>
              <w:spacing w:after="40" w:line="276" w:lineRule="auto"/>
            </w:pPr>
            <w:r>
              <w:rPr>
                <w:b w:val="0"/>
                <w:i w:val="0"/>
                <w:sz w:val="18"/>
              </w:rPr>
              <w:t>0.57</w:t>
            </w:r>
          </w:p>
        </w:tc>
        <w:tc>
          <w:tcPr>
            <w:tcW w:type="dxa" w:w="1709"/>
            <w:vAlign w:val="center"/>
            <w:tcMar>
              <w:top w:w="90" w:type="dxa"/>
              <w:left w:w="90" w:type="dxa"/>
              <w:bottom w:w="90" w:type="dxa"/>
              <w:right w:w="90" w:type="dxa"/>
            </w:tcMar>
          </w:tcPr>
          <w:p>
            <w:pPr>
              <w:spacing w:after="40" w:line="276" w:lineRule="auto"/>
            </w:pPr>
            <w:r>
              <w:rPr>
                <w:b w:val="0"/>
                <w:i w:val="0"/>
                <w:sz w:val="18"/>
              </w:rPr>
              <w:t>10</w:t>
            </w:r>
          </w:p>
        </w:tc>
        <w:tc>
          <w:tcPr>
            <w:tcW w:type="dxa" w:w="2043"/>
            <w:vAlign w:val="center"/>
            <w:tcMar>
              <w:top w:w="90" w:type="dxa"/>
              <w:left w:w="90" w:type="dxa"/>
              <w:bottom w:w="90" w:type="dxa"/>
              <w:right w:w="90" w:type="dxa"/>
            </w:tcMar>
          </w:tcPr>
          <w:p>
            <w:pPr>
              <w:spacing w:after="40" w:line="276" w:lineRule="auto"/>
            </w:pPr>
            <w:r>
              <w:rPr>
                <w:b w:val="0"/>
                <w:i w:val="0"/>
                <w:sz w:val="18"/>
              </w:rPr>
              <w:t>1,000</w:t>
            </w:r>
          </w:p>
        </w:tc>
      </w:tr>
    </w:tbl>
    <w:p>
      <w:pPr>
        <w:spacing w:after="20"/>
      </w:pPr>
    </w:p>
    <w:p>
      <w:r>
        <w:rPr>
          <w:b w:val="0"/>
          <w:i w:val="0"/>
        </w:rPr>
        <w:t>年度资产计划可以直接给定储能功率与电量。2025 年抽水蓄能因此采用 2,828 MW 和 26,700 MWh 的资产状态。</w:t>
      </w:r>
    </w:p>
    <w:p>
      <w:r>
        <w:rPr>
          <w:b w:val="0"/>
          <w:i w:val="0"/>
        </w:rPr>
        <w:t>初始储能库存随调度路径设定。R029 实验时序配置取零，通用时间序列输入默认取最大库存的 50%，也可显式指定。默认全国 PSM 在每个年度边界新建储能对象，具体见第 5 章。</w:t>
      </w:r>
    </w:p>
    <w:p>
      <w:r>
        <w:rPr>
          <w:b w:val="0"/>
          <w:i w:val="0"/>
        </w:rPr>
        <w:t>财务核算按计算用途与技术配置选取时间参数。生物质经济寿命为 25 年、投资回收目标为 20 年；气电原型的回收目标为 20 年，R029 运行配置将 CCGT 和 OCGT 设为 25 年。</w:t>
      </w:r>
    </w:p>
    <w:p>
      <w:r>
        <w:rPr>
          <w:b w:val="0"/>
          <w:i w:val="0"/>
        </w:rPr>
        <w:t>金额按起始年不变币值解释，随模型提供的研究从 2025 年开始。储能目录、抽蓄资本成本和政策预算明确采用 2025 年英镑，燃料与碳价按同一基年解释，重启成本采用第 5 章所述换算。BEIS 2020 年成本、2022 年欧元价格序列，以及标注 2015 或 2024 价格年的核电政策条目，在完成适用的币种换算后保留来源年份数值。因此，共同的货币计价约定包含多个来源价格年，读取器仅执行已声明的币种换算。</w:t>
      </w:r>
    </w:p>
    <w:p>
      <w:r>
        <w:rPr>
          <w:b w:val="0"/>
          <w:i w:val="0"/>
        </w:rPr>
        <w:t>政策支出输入由历史汇总与前推假设组成。</w:t>
      </w:r>
      <w:r>
        <w:rPr>
          <w:rFonts w:ascii="DejaVu Sans Mono" w:hAnsi="DejaVu Sans Mono"/>
          <w:b w:val="0"/>
          <w:i w:val="0"/>
          <w:sz w:val="17"/>
        </w:rPr>
        <w:t>mechansim cost.xlsx</w:t>
      </w:r>
      <w:r>
        <w:rPr>
          <w:b w:val="0"/>
          <w:i w:val="0"/>
        </w:rPr>
        <w:t xml:space="preserve"> 汇集 NESO 容量市场与平衡成本、Ofgem 的 RO/FIT/REGO 资料以及 LCCC 的 CfD 数据，供年度政策支出计算使用。</w:t>
      </w:r>
    </w:p>
    <w:p>
      <w:pPr>
        <w:pStyle w:val="Heading2"/>
      </w:pPr>
      <w:r>
        <w:rPr>
          <w:b w:val="0"/>
          <w:i w:val="0"/>
        </w:rPr>
        <w:t>互联线与分区需求</w:t>
      </w:r>
    </w:p>
    <w:p>
      <w:r>
        <w:rPr>
          <w:b w:val="0"/>
          <w:i w:val="0"/>
        </w:rPr>
        <w:t xml:space="preserve">外部市场输入用每个半小时时段的流量界限和价格描述跨境交换机会。R029 为法国、比利时、荷兰、挪威和爱尔兰各提供一个 17,520 行文件，同时绑定流量和价格；字段包括 </w:t>
      </w:r>
      <w:r>
        <w:rPr>
          <w:rFonts w:ascii="DejaVu Sans Mono" w:hAnsi="DejaVu Sans Mono"/>
          <w:b w:val="0"/>
          <w:i w:val="0"/>
          <w:sz w:val="17"/>
        </w:rPr>
        <w:t>period</w:t>
      </w:r>
      <w:r>
        <w:rPr>
          <w:b w:val="0"/>
          <w:i w:val="0"/>
        </w:rPr>
        <w:t>、</w:t>
      </w:r>
      <w:r>
        <w:rPr>
          <w:rFonts w:ascii="DejaVu Sans Mono" w:hAnsi="DejaVu Sans Mono"/>
          <w:b w:val="0"/>
          <w:i w:val="0"/>
          <w:sz w:val="17"/>
        </w:rPr>
        <w:t>flow_mw</w:t>
      </w:r>
      <w:r>
        <w:rPr>
          <w:b w:val="0"/>
          <w:i w:val="0"/>
        </w:rPr>
        <w:t>、</w:t>
      </w:r>
      <w:r>
        <w:rPr>
          <w:rFonts w:ascii="DejaVu Sans Mono" w:hAnsi="DejaVu Sans Mono"/>
          <w:b w:val="0"/>
          <w:i w:val="0"/>
          <w:sz w:val="17"/>
        </w:rPr>
        <w:t>price_gbp_per_mwh</w:t>
      </w:r>
      <w:r>
        <w:rPr>
          <w:b w:val="0"/>
          <w:i w:val="0"/>
        </w:rPr>
        <w:t>、来源价格小时、半小时标记及流量与价格的来源行号。</w:t>
      </w:r>
    </w:p>
    <w:p>
      <w:r>
        <w:rPr>
          <w:b w:val="0"/>
          <w:i w:val="0"/>
        </w:rPr>
        <w:t>边界价格采用 Ember 整理的欧洲日前价格，其上游来源为 ENTSO-E。法国、比利时、荷兰和挪威取 2022 年，爱尔兰取 2021 年；每小时价格重复两次，按 EUR/MWh 除以 1.1 EUR/GBP 转为 GBP/MWh 后保存。修正口径保留负的边界价格。论文复现口径将通用时序资源价格的下界设为零，R029 实验路径保留负价。</w:t>
      </w:r>
    </w:p>
    <w:p>
      <w:r>
        <w:rPr>
          <w:b w:val="0"/>
          <w:i w:val="0"/>
        </w:rPr>
        <w:t>各边界按 NESO 线路身份连接：</w:t>
      </w:r>
      <w:r>
        <w:rPr>
          <w:rFonts w:ascii="DejaVu Sans Mono" w:hAnsi="DejaVu Sans Mono"/>
          <w:b w:val="0"/>
          <w:i w:val="0"/>
          <w:sz w:val="17"/>
        </w:rPr>
        <w:t>NEMO_FLOW</w:t>
      </w:r>
      <w:r>
        <w:rPr>
          <w:b w:val="0"/>
          <w:i w:val="0"/>
        </w:rPr>
        <w:t xml:space="preserve"> 对应比利时，</w:t>
      </w:r>
      <w:r>
        <w:rPr>
          <w:rFonts w:ascii="DejaVu Sans Mono" w:hAnsi="DejaVu Sans Mono"/>
          <w:b w:val="0"/>
          <w:i w:val="0"/>
          <w:sz w:val="17"/>
        </w:rPr>
        <w:t>BRITNED_FLOW</w:t>
      </w:r>
      <w:r>
        <w:rPr>
          <w:b w:val="0"/>
          <w:i w:val="0"/>
        </w:rPr>
        <w:t xml:space="preserve"> 对应荷兰，</w:t>
      </w:r>
      <w:r>
        <w:rPr>
          <w:rFonts w:ascii="DejaVu Sans Mono" w:hAnsi="DejaVu Sans Mono"/>
          <w:b w:val="0"/>
          <w:i w:val="0"/>
          <w:sz w:val="17"/>
        </w:rPr>
        <w:t>NSL_FLOW</w:t>
      </w:r>
      <w:r>
        <w:rPr>
          <w:b w:val="0"/>
          <w:i w:val="0"/>
        </w:rPr>
        <w:t xml:space="preserve"> 对应挪威。已登记的 GBP1 文件 </w:t>
      </w:r>
      <w:r>
        <w:rPr>
          <w:rFonts w:ascii="DejaVu Sans Mono" w:hAnsi="DejaVu Sans Mono"/>
          <w:b w:val="0"/>
          <w:i w:val="0"/>
          <w:sz w:val="17"/>
        </w:rPr>
        <w:t>Belgium_price.csv</w:t>
      </w:r>
      <w:r>
        <w:rPr>
          <w:b w:val="0"/>
          <w:i w:val="0"/>
        </w:rPr>
        <w:t xml:space="preserve"> 以 </w:t>
      </w:r>
      <w:r>
        <w:rPr>
          <w:rFonts w:ascii="DejaVu Sans Mono" w:hAnsi="DejaVu Sans Mono"/>
          <w:b w:val="0"/>
          <w:i w:val="0"/>
          <w:sz w:val="17"/>
        </w:rPr>
        <w:t>Price (EUR/MWhe)</w:t>
      </w:r>
      <w:r>
        <w:rPr>
          <w:b w:val="0"/>
          <w:i w:val="0"/>
        </w:rPr>
        <w:t xml:space="preserve"> 列提供逐小时 EUR/MWh。</w:t>
      </w:r>
      <w:r>
        <w:rPr>
          <w:rFonts w:ascii="DejaVu Sans Mono" w:hAnsi="DejaVu Sans Mono"/>
          <w:b w:val="0"/>
          <w:i w:val="0"/>
          <w:sz w:val="17"/>
        </w:rPr>
        <w:t>read_series</w:t>
      </w:r>
      <w:r>
        <w:rPr>
          <w:b w:val="0"/>
          <w:i w:val="0"/>
        </w:rPr>
        <w:t xml:space="preserve"> 将 </w:t>
      </w:r>
      <w:r>
        <w:rPr>
          <w:rFonts w:ascii="DejaVu Sans Mono" w:hAnsi="DejaVu Sans Mono"/>
          <w:b w:val="0"/>
          <w:i w:val="0"/>
          <w:sz w:val="17"/>
        </w:rPr>
        <w:t>values</w:t>
      </w:r>
      <w:r>
        <w:rPr>
          <w:b w:val="0"/>
          <w:i w:val="0"/>
        </w:rPr>
        <w:t xml:space="preserve"> 除以 </w:t>
      </w:r>
      <w:r>
        <w:rPr>
          <w:rFonts w:ascii="DejaVu Sans Mono" w:hAnsi="DejaVu Sans Mono"/>
          <w:b w:val="0"/>
          <w:i w:val="0"/>
          <w:sz w:val="17"/>
        </w:rPr>
        <w:t>spec.eur_per_gbp = 1.1</w:t>
      </w:r>
      <w:r>
        <w:rPr>
          <w:b w:val="0"/>
          <w:i w:val="0"/>
        </w:rPr>
        <w:t xml:space="preserve"> 一次，再将每小时价格用于两个半小时；内核读取各时段对应的潮流。</w:t>
      </w:r>
    </w:p>
    <w:p>
      <w:r>
        <w:rPr>
          <w:b w:val="0"/>
          <w:i w:val="0"/>
        </w:rPr>
        <w:t>这组规则适用于两个口径。GBP1 潮流数值按 MW 读取，其文件仍保留 MWh/period 标签。</w:t>
      </w:r>
    </w:p>
    <w:p>
      <w:pPr>
        <w:keepNext/>
      </w:pPr>
      <w:r>
        <w:rPr>
          <w:b w:val="0"/>
          <w:i w:val="0"/>
        </w:rPr>
        <w:t>边界流量按源时段顺序提供外生交换上限。</w:t>
      </w:r>
      <w:r>
        <w:rPr>
          <w:rFonts w:ascii="DejaVu Sans Mono" w:hAnsi="DejaVu Sans Mono"/>
          <w:b w:val="0"/>
          <w:i w:val="0"/>
          <w:sz w:val="17"/>
        </w:rPr>
        <w:t>flow_mw</w:t>
      </w:r>
      <w:r>
        <w:rPr>
          <w:b w:val="0"/>
          <w:i w:val="0"/>
        </w:rPr>
        <w:t xml:space="preserve"> 字段以正值表示进口、负值表示出口；</w:t>
      </w:r>
      <w:r>
        <w:rPr>
          <w:rFonts w:ascii="DejaVu Sans Mono" w:hAnsi="DejaVu Sans Mono"/>
          <w:b w:val="0"/>
          <w:i w:val="0"/>
          <w:sz w:val="17"/>
        </w:rPr>
        <w:t>canonical_psm_data</w:t>
      </w:r>
      <w:r>
        <w:rPr>
          <w:b w:val="0"/>
          <w:i w:val="0"/>
        </w:rPr>
        <w:t xml:space="preserve"> 将其转换为带符号的 MWh，记为 </w:t>
      </w:r>
      <w:r>
        <w:rPr>
          <w:rFonts w:ascii="DejaVu Sans Mono" w:hAnsi="DejaVu Sans Mono"/>
          <w:b w:val="0"/>
          <w:i w:val="0"/>
          <w:sz w:val="17"/>
        </w:rPr>
        <w:t>raw_availability</w:t>
      </w:r>
      <w:r>
        <w:rPr>
          <w:b w:val="0"/>
          <w:i w:val="0"/>
        </w:rPr>
        <w:t xml:space="preserve">。非负电量上限 </w:t>
      </w:r>
      <w:r>
        <w:rPr>
          <w:rFonts w:ascii="DejaVu Sans Mono" w:hAnsi="DejaVu Sans Mono"/>
          <w:b w:val="0"/>
          <w:i w:val="0"/>
          <w:sz w:val="17"/>
        </w:rPr>
        <w:t>import_energy</w:t>
      </w:r>
      <w:r>
        <w:rPr>
          <w:b w:val="0"/>
          <w:i w:val="0"/>
        </w:rPr>
        <w:t>、</w:t>
      </w:r>
      <w:r>
        <w:rPr>
          <w:rFonts w:ascii="DejaVu Sans Mono" w:hAnsi="DejaVu Sans Mono"/>
          <w:b w:val="0"/>
          <w:i w:val="0"/>
          <w:sz w:val="17"/>
        </w:rPr>
        <w:t>export_energy</w:t>
      </w:r>
      <w:r>
        <w:rPr>
          <w:b w:val="0"/>
          <w:i w:val="0"/>
        </w:rPr>
        <w:t xml:space="preserve"> 为</w:t>
      </w:r>
    </w:p>
    <w:p>
      <w:pPr>
        <w:spacing w:after="160"/>
        <w:jc w:val="center"/>
      </w:pPr>
      <w:r>
        <w:drawing>
          <wp:inline xmlns:a="http://schemas.openxmlformats.org/drawingml/2006/main" xmlns:pic="http://schemas.openxmlformats.org/drawingml/2006/picture">
            <wp:extent cx="4242206" cy="621703"/>
            <wp:docPr id="4" name="Picture 4"/>
            <wp:cNvGraphicFramePr>
              <a:graphicFrameLocks noChangeAspect="1"/>
            </wp:cNvGraphicFramePr>
            <a:graphic>
              <a:graphicData uri="http://schemas.openxmlformats.org/drawingml/2006/picture">
                <pic:pic>
                  <pic:nvPicPr>
                    <pic:cNvPr id="0" name="eq-004.png"/>
                    <pic:cNvPicPr/>
                  </pic:nvPicPr>
                  <pic:blipFill>
                    <a:blip r:embed="rId14"/>
                    <a:stretch>
                      <a:fillRect/>
                    </a:stretch>
                  </pic:blipFill>
                  <pic:spPr>
                    <a:xfrm>
                      <a:off x="0" y="0"/>
                      <a:ext cx="4242206" cy="621703"/>
                    </a:xfrm>
                    <a:prstGeom prst="rect"/>
                  </pic:spPr>
                </pic:pic>
              </a:graphicData>
            </a:graphic>
          </wp:inline>
        </w:drawing>
      </w:r>
    </w:p>
    <w:p>
      <w:r>
        <w:rPr>
          <w:b w:val="0"/>
          <w:i w:val="0"/>
        </w:rPr>
        <w:t xml:space="preserve">修正口径的默认全国 PSM 将进口容量用于日前出清，论文复现口径仅在平衡环节使用（第 5 章）。public2 修订包沿用正值进口、负值出口的声明符号，状态为 </w:t>
      </w:r>
      <w:r>
        <w:rPr>
          <w:rFonts w:ascii="DejaVu Sans Mono" w:hAnsi="DejaVu Sans Mono"/>
          <w:b w:val="0"/>
          <w:i w:val="0"/>
          <w:sz w:val="17"/>
        </w:rPr>
        <w:t>declared_unverified</w:t>
      </w:r>
      <w:r>
        <w:rPr>
          <w:b w:val="0"/>
          <w:i w:val="0"/>
        </w:rPr>
        <w:t>，逐国年净潮流的来源核对仍待完成。下表给出 R029 输入文件的范围与平均价格。</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2"/>
        <w:gridCol w:w="3013"/>
        <w:gridCol w:w="1902"/>
        <w:gridCol w:w="2975"/>
      </w:tblGrid>
      <w:tr>
        <w:trPr>
          <w:cantSplit/>
          <w:tblHeader w:val="true"/>
        </w:trPr>
        <w:tc>
          <w:tcPr>
            <w:tcW w:type="dxa" w:w="1902"/>
            <w:vAlign w:val="center"/>
            <w:tcMar>
              <w:top w:w="90" w:type="dxa"/>
              <w:left w:w="90" w:type="dxa"/>
              <w:bottom w:w="90" w:type="dxa"/>
              <w:right w:w="90" w:type="dxa"/>
            </w:tcMar>
            <w:shd w:fill="EEEEEE"/>
          </w:tcPr>
          <w:p>
            <w:pPr>
              <w:spacing w:after="40" w:line="276" w:lineRule="auto"/>
            </w:pPr>
            <w:r>
              <w:rPr>
                <w:b/>
                <w:i w:val="0"/>
                <w:sz w:val="18"/>
              </w:rPr>
              <w:t>边界</w:t>
            </w:r>
          </w:p>
        </w:tc>
        <w:tc>
          <w:tcPr>
            <w:tcW w:type="dxa" w:w="3013"/>
            <w:vAlign w:val="center"/>
            <w:tcMar>
              <w:top w:w="90" w:type="dxa"/>
              <w:left w:w="90" w:type="dxa"/>
              <w:bottom w:w="90" w:type="dxa"/>
              <w:right w:w="90" w:type="dxa"/>
            </w:tcMar>
            <w:shd w:fill="EEEEEE"/>
          </w:tcPr>
          <w:p>
            <w:pPr>
              <w:spacing w:after="40" w:line="276" w:lineRule="auto"/>
            </w:pPr>
            <w:r>
              <w:rPr>
                <w:b/>
                <w:i w:val="0"/>
                <w:sz w:val="18"/>
              </w:rPr>
              <w:t>流量范围 MW</w:t>
            </w:r>
          </w:p>
        </w:tc>
        <w:tc>
          <w:tcPr>
            <w:tcW w:type="dxa" w:w="1902"/>
            <w:vAlign w:val="center"/>
            <w:tcMar>
              <w:top w:w="90" w:type="dxa"/>
              <w:left w:w="90" w:type="dxa"/>
              <w:bottom w:w="90" w:type="dxa"/>
              <w:right w:w="90" w:type="dxa"/>
            </w:tcMar>
            <w:shd w:fill="EEEEEE"/>
          </w:tcPr>
          <w:p>
            <w:pPr>
              <w:spacing w:after="40" w:line="276" w:lineRule="auto"/>
            </w:pPr>
            <w:r>
              <w:rPr>
                <w:b/>
                <w:i w:val="0"/>
                <w:sz w:val="18"/>
              </w:rPr>
              <w:t>价格年</w:t>
            </w:r>
          </w:p>
        </w:tc>
        <w:tc>
          <w:tcPr>
            <w:tcW w:type="dxa" w:w="2975"/>
            <w:vAlign w:val="center"/>
            <w:tcMar>
              <w:top w:w="90" w:type="dxa"/>
              <w:left w:w="90" w:type="dxa"/>
              <w:bottom w:w="90" w:type="dxa"/>
              <w:right w:w="90" w:type="dxa"/>
            </w:tcMar>
            <w:shd w:fill="EEEEEE"/>
          </w:tcPr>
          <w:p>
            <w:pPr>
              <w:spacing w:after="40" w:line="276" w:lineRule="auto"/>
            </w:pPr>
            <w:r>
              <w:rPr>
                <w:b/>
                <w:i w:val="0"/>
                <w:sz w:val="18"/>
              </w:rPr>
              <w:t>平均价格 GBP/MWh</w:t>
            </w:r>
          </w:p>
        </w:tc>
      </w:tr>
      <w:tr>
        <w:trPr>
          <w:cantSplit/>
        </w:trPr>
        <w:tc>
          <w:tcPr>
            <w:tcW w:type="dxa" w:w="1902"/>
            <w:vAlign w:val="center"/>
            <w:tcMar>
              <w:top w:w="90" w:type="dxa"/>
              <w:left w:w="90" w:type="dxa"/>
              <w:bottom w:w="90" w:type="dxa"/>
              <w:right w:w="90" w:type="dxa"/>
            </w:tcMar>
          </w:tcPr>
          <w:p>
            <w:pPr>
              <w:spacing w:after="40" w:line="276" w:lineRule="auto"/>
            </w:pPr>
            <w:r>
              <w:rPr>
                <w:b w:val="0"/>
                <w:i w:val="0"/>
                <w:sz w:val="18"/>
              </w:rPr>
              <w:t>比利时</w:t>
            </w:r>
          </w:p>
        </w:tc>
        <w:tc>
          <w:tcPr>
            <w:tcW w:type="dxa" w:w="3013"/>
            <w:vAlign w:val="center"/>
            <w:tcMar>
              <w:top w:w="90" w:type="dxa"/>
              <w:left w:w="90" w:type="dxa"/>
              <w:bottom w:w="90" w:type="dxa"/>
              <w:right w:w="90" w:type="dxa"/>
            </w:tcMar>
          </w:tcPr>
          <w:p>
            <w:pPr>
              <w:spacing w:after="40" w:line="276" w:lineRule="auto"/>
            </w:pPr>
            <w:r>
              <w:rPr>
                <w:b w:val="0"/>
                <w:i w:val="0"/>
                <w:sz w:val="18"/>
              </w:rPr>
              <w:t>−1,022 至 1,020</w:t>
            </w:r>
          </w:p>
        </w:tc>
        <w:tc>
          <w:tcPr>
            <w:tcW w:type="dxa" w:w="1902"/>
            <w:vAlign w:val="center"/>
            <w:tcMar>
              <w:top w:w="90" w:type="dxa"/>
              <w:left w:w="90" w:type="dxa"/>
              <w:bottom w:w="90" w:type="dxa"/>
              <w:right w:w="90" w:type="dxa"/>
            </w:tcMar>
          </w:tcPr>
          <w:p>
            <w:pPr>
              <w:spacing w:after="40" w:line="276" w:lineRule="auto"/>
            </w:pPr>
            <w:r>
              <w:rPr>
                <w:b w:val="0"/>
                <w:i w:val="0"/>
                <w:sz w:val="18"/>
              </w:rPr>
              <w:t>2022</w:t>
            </w:r>
          </w:p>
        </w:tc>
        <w:tc>
          <w:tcPr>
            <w:tcW w:type="dxa" w:w="2975"/>
            <w:vAlign w:val="center"/>
            <w:tcMar>
              <w:top w:w="90" w:type="dxa"/>
              <w:left w:w="90" w:type="dxa"/>
              <w:bottom w:w="90" w:type="dxa"/>
              <w:right w:w="90" w:type="dxa"/>
            </w:tcMar>
          </w:tcPr>
          <w:p>
            <w:pPr>
              <w:spacing w:after="40" w:line="276" w:lineRule="auto"/>
            </w:pPr>
            <w:r>
              <w:rPr>
                <w:b w:val="0"/>
                <w:i w:val="0"/>
                <w:sz w:val="18"/>
              </w:rPr>
              <w:t>222.292608</w:t>
            </w:r>
          </w:p>
        </w:tc>
      </w:tr>
      <w:tr>
        <w:trPr>
          <w:cantSplit/>
        </w:trPr>
        <w:tc>
          <w:tcPr>
            <w:tcW w:type="dxa" w:w="1902"/>
            <w:vAlign w:val="center"/>
            <w:tcMar>
              <w:top w:w="90" w:type="dxa"/>
              <w:left w:w="90" w:type="dxa"/>
              <w:bottom w:w="90" w:type="dxa"/>
              <w:right w:w="90" w:type="dxa"/>
            </w:tcMar>
          </w:tcPr>
          <w:p>
            <w:pPr>
              <w:spacing w:after="40" w:line="276" w:lineRule="auto"/>
            </w:pPr>
            <w:r>
              <w:rPr>
                <w:b w:val="0"/>
                <w:i w:val="0"/>
                <w:sz w:val="18"/>
              </w:rPr>
              <w:t>法国</w:t>
            </w:r>
          </w:p>
        </w:tc>
        <w:tc>
          <w:tcPr>
            <w:tcW w:type="dxa" w:w="3013"/>
            <w:vAlign w:val="center"/>
            <w:tcMar>
              <w:top w:w="90" w:type="dxa"/>
              <w:left w:w="90" w:type="dxa"/>
              <w:bottom w:w="90" w:type="dxa"/>
              <w:right w:w="90" w:type="dxa"/>
            </w:tcMar>
          </w:tcPr>
          <w:p>
            <w:pPr>
              <w:spacing w:after="40" w:line="276" w:lineRule="auto"/>
            </w:pPr>
            <w:r>
              <w:rPr>
                <w:b w:val="0"/>
                <w:i w:val="0"/>
                <w:sz w:val="18"/>
              </w:rPr>
              <w:t>−3,091 至 2,997</w:t>
            </w:r>
          </w:p>
        </w:tc>
        <w:tc>
          <w:tcPr>
            <w:tcW w:type="dxa" w:w="1902"/>
            <w:vAlign w:val="center"/>
            <w:tcMar>
              <w:top w:w="90" w:type="dxa"/>
              <w:left w:w="90" w:type="dxa"/>
              <w:bottom w:w="90" w:type="dxa"/>
              <w:right w:w="90" w:type="dxa"/>
            </w:tcMar>
          </w:tcPr>
          <w:p>
            <w:pPr>
              <w:spacing w:after="40" w:line="276" w:lineRule="auto"/>
            </w:pPr>
            <w:r>
              <w:rPr>
                <w:b w:val="0"/>
                <w:i w:val="0"/>
                <w:sz w:val="18"/>
              </w:rPr>
              <w:t>2022</w:t>
            </w:r>
          </w:p>
        </w:tc>
        <w:tc>
          <w:tcPr>
            <w:tcW w:type="dxa" w:w="2975"/>
            <w:vAlign w:val="center"/>
            <w:tcMar>
              <w:top w:w="90" w:type="dxa"/>
              <w:left w:w="90" w:type="dxa"/>
              <w:bottom w:w="90" w:type="dxa"/>
              <w:right w:w="90" w:type="dxa"/>
            </w:tcMar>
          </w:tcPr>
          <w:p>
            <w:pPr>
              <w:spacing w:after="40" w:line="276" w:lineRule="auto"/>
            </w:pPr>
            <w:r>
              <w:rPr>
                <w:b w:val="0"/>
                <w:i w:val="0"/>
                <w:sz w:val="18"/>
              </w:rPr>
              <w:t>250.789325</w:t>
            </w:r>
          </w:p>
        </w:tc>
      </w:tr>
      <w:tr>
        <w:trPr>
          <w:cantSplit/>
        </w:trPr>
        <w:tc>
          <w:tcPr>
            <w:tcW w:type="dxa" w:w="1902"/>
            <w:vAlign w:val="center"/>
            <w:tcMar>
              <w:top w:w="90" w:type="dxa"/>
              <w:left w:w="90" w:type="dxa"/>
              <w:bottom w:w="90" w:type="dxa"/>
              <w:right w:w="90" w:type="dxa"/>
            </w:tcMar>
          </w:tcPr>
          <w:p>
            <w:pPr>
              <w:spacing w:after="40" w:line="276" w:lineRule="auto"/>
            </w:pPr>
            <w:r>
              <w:rPr>
                <w:b w:val="0"/>
                <w:i w:val="0"/>
                <w:sz w:val="18"/>
              </w:rPr>
              <w:t>爱尔兰</w:t>
            </w:r>
          </w:p>
        </w:tc>
        <w:tc>
          <w:tcPr>
            <w:tcW w:type="dxa" w:w="3013"/>
            <w:vAlign w:val="center"/>
            <w:tcMar>
              <w:top w:w="90" w:type="dxa"/>
              <w:left w:w="90" w:type="dxa"/>
              <w:bottom w:w="90" w:type="dxa"/>
              <w:right w:w="90" w:type="dxa"/>
            </w:tcMar>
          </w:tcPr>
          <w:p>
            <w:pPr>
              <w:spacing w:after="40" w:line="276" w:lineRule="auto"/>
            </w:pPr>
            <w:r>
              <w:rPr>
                <w:b w:val="0"/>
                <w:i w:val="0"/>
                <w:sz w:val="18"/>
              </w:rPr>
              <w:t>−987 至 998</w:t>
            </w:r>
          </w:p>
        </w:tc>
        <w:tc>
          <w:tcPr>
            <w:tcW w:type="dxa" w:w="1902"/>
            <w:vAlign w:val="center"/>
            <w:tcMar>
              <w:top w:w="90" w:type="dxa"/>
              <w:left w:w="90" w:type="dxa"/>
              <w:bottom w:w="90" w:type="dxa"/>
              <w:right w:w="90" w:type="dxa"/>
            </w:tcMar>
          </w:tcPr>
          <w:p>
            <w:pPr>
              <w:spacing w:after="40" w:line="276" w:lineRule="auto"/>
            </w:pPr>
            <w:r>
              <w:rPr>
                <w:b w:val="0"/>
                <w:i w:val="0"/>
                <w:sz w:val="18"/>
              </w:rPr>
              <w:t>2021</w:t>
            </w:r>
          </w:p>
        </w:tc>
        <w:tc>
          <w:tcPr>
            <w:tcW w:type="dxa" w:w="2975"/>
            <w:vAlign w:val="center"/>
            <w:tcMar>
              <w:top w:w="90" w:type="dxa"/>
              <w:left w:w="90" w:type="dxa"/>
              <w:bottom w:w="90" w:type="dxa"/>
              <w:right w:w="90" w:type="dxa"/>
            </w:tcMar>
          </w:tcPr>
          <w:p>
            <w:pPr>
              <w:spacing w:after="40" w:line="276" w:lineRule="auto"/>
            </w:pPr>
            <w:r>
              <w:rPr>
                <w:b w:val="0"/>
                <w:i w:val="0"/>
                <w:sz w:val="18"/>
              </w:rPr>
              <w:t>123.937076</w:t>
            </w:r>
          </w:p>
        </w:tc>
      </w:tr>
      <w:tr>
        <w:trPr>
          <w:cantSplit/>
        </w:trPr>
        <w:tc>
          <w:tcPr>
            <w:tcW w:type="dxa" w:w="1902"/>
            <w:vAlign w:val="center"/>
            <w:tcMar>
              <w:top w:w="90" w:type="dxa"/>
              <w:left w:w="90" w:type="dxa"/>
              <w:bottom w:w="90" w:type="dxa"/>
              <w:right w:w="90" w:type="dxa"/>
            </w:tcMar>
          </w:tcPr>
          <w:p>
            <w:pPr>
              <w:spacing w:after="40" w:line="276" w:lineRule="auto"/>
            </w:pPr>
            <w:r>
              <w:rPr>
                <w:b w:val="0"/>
                <w:i w:val="0"/>
                <w:sz w:val="18"/>
              </w:rPr>
              <w:t>荷兰</w:t>
            </w:r>
          </w:p>
        </w:tc>
        <w:tc>
          <w:tcPr>
            <w:tcW w:type="dxa" w:w="3013"/>
            <w:vAlign w:val="center"/>
            <w:tcMar>
              <w:top w:w="90" w:type="dxa"/>
              <w:left w:w="90" w:type="dxa"/>
              <w:bottom w:w="90" w:type="dxa"/>
              <w:right w:w="90" w:type="dxa"/>
            </w:tcMar>
          </w:tcPr>
          <w:p>
            <w:pPr>
              <w:spacing w:after="40" w:line="276" w:lineRule="auto"/>
            </w:pPr>
            <w:r>
              <w:rPr>
                <w:b w:val="0"/>
                <w:i w:val="0"/>
                <w:sz w:val="18"/>
              </w:rPr>
              <w:t>−1,076 至 1,062</w:t>
            </w:r>
          </w:p>
        </w:tc>
        <w:tc>
          <w:tcPr>
            <w:tcW w:type="dxa" w:w="1902"/>
            <w:vAlign w:val="center"/>
            <w:tcMar>
              <w:top w:w="90" w:type="dxa"/>
              <w:left w:w="90" w:type="dxa"/>
              <w:bottom w:w="90" w:type="dxa"/>
              <w:right w:w="90" w:type="dxa"/>
            </w:tcMar>
          </w:tcPr>
          <w:p>
            <w:pPr>
              <w:spacing w:after="40" w:line="276" w:lineRule="auto"/>
            </w:pPr>
            <w:r>
              <w:rPr>
                <w:b w:val="0"/>
                <w:i w:val="0"/>
                <w:sz w:val="18"/>
              </w:rPr>
              <w:t>2022</w:t>
            </w:r>
          </w:p>
        </w:tc>
        <w:tc>
          <w:tcPr>
            <w:tcW w:type="dxa" w:w="2975"/>
            <w:vAlign w:val="center"/>
            <w:tcMar>
              <w:top w:w="90" w:type="dxa"/>
              <w:left w:w="90" w:type="dxa"/>
              <w:bottom w:w="90" w:type="dxa"/>
              <w:right w:w="90" w:type="dxa"/>
            </w:tcMar>
          </w:tcPr>
          <w:p>
            <w:pPr>
              <w:spacing w:after="40" w:line="276" w:lineRule="auto"/>
            </w:pPr>
            <w:r>
              <w:rPr>
                <w:b w:val="0"/>
                <w:i w:val="0"/>
                <w:sz w:val="18"/>
              </w:rPr>
              <w:t>219.917959</w:t>
            </w:r>
          </w:p>
        </w:tc>
      </w:tr>
      <w:tr>
        <w:trPr>
          <w:cantSplit/>
        </w:trPr>
        <w:tc>
          <w:tcPr>
            <w:tcW w:type="dxa" w:w="1902"/>
            <w:vAlign w:val="center"/>
            <w:tcMar>
              <w:top w:w="90" w:type="dxa"/>
              <w:left w:w="90" w:type="dxa"/>
              <w:bottom w:w="90" w:type="dxa"/>
              <w:right w:w="90" w:type="dxa"/>
            </w:tcMar>
          </w:tcPr>
          <w:p>
            <w:pPr>
              <w:spacing w:after="40" w:line="276" w:lineRule="auto"/>
            </w:pPr>
            <w:r>
              <w:rPr>
                <w:b w:val="0"/>
                <w:i w:val="0"/>
                <w:sz w:val="18"/>
              </w:rPr>
              <w:t>挪威</w:t>
            </w:r>
          </w:p>
        </w:tc>
        <w:tc>
          <w:tcPr>
            <w:tcW w:type="dxa" w:w="3013"/>
            <w:vAlign w:val="center"/>
            <w:tcMar>
              <w:top w:w="90" w:type="dxa"/>
              <w:left w:w="90" w:type="dxa"/>
              <w:bottom w:w="90" w:type="dxa"/>
              <w:right w:w="90" w:type="dxa"/>
            </w:tcMar>
          </w:tcPr>
          <w:p>
            <w:pPr>
              <w:spacing w:after="40" w:line="276" w:lineRule="auto"/>
            </w:pPr>
            <w:r>
              <w:rPr>
                <w:b w:val="0"/>
                <w:i w:val="0"/>
                <w:sz w:val="18"/>
              </w:rPr>
              <w:t>−1,263 至 1,399</w:t>
            </w:r>
          </w:p>
        </w:tc>
        <w:tc>
          <w:tcPr>
            <w:tcW w:type="dxa" w:w="1902"/>
            <w:vAlign w:val="center"/>
            <w:tcMar>
              <w:top w:w="90" w:type="dxa"/>
              <w:left w:w="90" w:type="dxa"/>
              <w:bottom w:w="90" w:type="dxa"/>
              <w:right w:w="90" w:type="dxa"/>
            </w:tcMar>
          </w:tcPr>
          <w:p>
            <w:pPr>
              <w:spacing w:after="40" w:line="276" w:lineRule="auto"/>
            </w:pPr>
            <w:r>
              <w:rPr>
                <w:b w:val="0"/>
                <w:i w:val="0"/>
                <w:sz w:val="18"/>
              </w:rPr>
              <w:t>2022</w:t>
            </w:r>
          </w:p>
        </w:tc>
        <w:tc>
          <w:tcPr>
            <w:tcW w:type="dxa" w:w="2975"/>
            <w:vAlign w:val="center"/>
            <w:tcMar>
              <w:top w:w="90" w:type="dxa"/>
              <w:left w:w="90" w:type="dxa"/>
              <w:bottom w:w="90" w:type="dxa"/>
              <w:right w:w="90" w:type="dxa"/>
            </w:tcMar>
          </w:tcPr>
          <w:p>
            <w:pPr>
              <w:spacing w:after="40" w:line="276" w:lineRule="auto"/>
            </w:pPr>
            <w:r>
              <w:rPr>
                <w:b w:val="0"/>
                <w:i w:val="0"/>
                <w:sz w:val="18"/>
              </w:rPr>
              <w:t>126.503575</w:t>
            </w:r>
          </w:p>
        </w:tc>
      </w:tr>
    </w:tbl>
    <w:p>
      <w:pPr>
        <w:spacing w:after="20"/>
      </w:pPr>
    </w:p>
    <w:p>
      <w:pPr>
        <w:keepNext/>
      </w:pPr>
      <w:r>
        <w:rPr>
          <w:b w:val="0"/>
          <w:i w:val="0"/>
        </w:rPr>
        <w:t>分区研究采用网络包的逐时段地区份额分配全国研究需求。</w:t>
      </w:r>
      <w:r>
        <w:rPr>
          <w:rFonts w:ascii="DejaVu Sans Mono" w:hAnsi="DejaVu Sans Mono"/>
          <w:b w:val="0"/>
          <w:i w:val="0"/>
          <w:sz w:val="17"/>
        </w:rPr>
        <w:t>align_zonal_demand</w:t>
      </w:r>
      <w:r>
        <w:rPr>
          <w:b w:val="0"/>
          <w:i w:val="0"/>
        </w:rPr>
        <w:t xml:space="preserve"> 在 </w:t>
      </w:r>
      <w:r>
        <w:rPr>
          <w:rFonts w:ascii="DejaVu Sans Mono" w:hAnsi="DejaVu Sans Mono"/>
          <w:b w:val="0"/>
          <w:i w:val="0"/>
          <w:sz w:val="17"/>
        </w:rPr>
        <w:t>scenario_​scaled_​zonal_​shares</w:t>
      </w:r>
      <w:r>
        <w:rPr>
          <w:b w:val="0"/>
          <w:i w:val="0"/>
        </w:rPr>
        <w:t xml:space="preserve"> 模式下将 </w:t>
      </w:r>
      <w:r>
        <w:rPr>
          <w:rFonts w:ascii="DejaVu Sans Mono" w:hAnsi="DejaVu Sans Mono"/>
          <w:b w:val="0"/>
          <w:i w:val="0"/>
          <w:sz w:val="17"/>
        </w:rPr>
        <w:t>output_real</w:t>
      </w:r>
      <w:r>
        <w:rPr>
          <w:b w:val="0"/>
          <w:i w:val="0"/>
        </w:rPr>
        <w:t xml:space="preserve"> 设为研究的实际需求，并在各 </w:t>
      </w:r>
      <w:r>
        <w:rPr>
          <w:rFonts w:ascii="DejaVu Sans Mono" w:hAnsi="DejaVu Sans Mono"/>
          <w:b w:val="0"/>
          <w:i w:val="0"/>
          <w:sz w:val="17"/>
        </w:rPr>
        <w:t>index</w:t>
      </w:r>
      <w:r>
        <w:rPr>
          <w:b w:val="0"/>
          <w:i w:val="0"/>
        </w:rPr>
        <w:t xml:space="preserve"> 从网络包读取 </w:t>
      </w:r>
      <w:r>
        <w:rPr>
          <w:rFonts w:ascii="DejaVu Sans Mono" w:hAnsi="DejaVu Sans Mono"/>
          <w:b w:val="0"/>
          <w:i w:val="0"/>
          <w:sz w:val="17"/>
        </w:rPr>
        <w:t>network_national</w:t>
      </w:r>
      <w:r>
        <w:rPr>
          <w:b w:val="0"/>
          <w:i w:val="0"/>
        </w:rPr>
        <w:t xml:space="preserve">。需求量的单位均为 MWh/时段；各区分配值 </w:t>
      </w:r>
      <w:r>
        <w:rPr>
          <w:rFonts w:ascii="DejaVu Sans Mono" w:hAnsi="DejaVu Sans Mono"/>
          <w:b w:val="0"/>
          <w:i w:val="0"/>
          <w:sz w:val="17"/>
        </w:rPr>
        <w:t>value</w:t>
      </w:r>
      <w:r>
        <w:rPr>
          <w:b w:val="0"/>
          <w:i w:val="0"/>
        </w:rPr>
        <w:t xml:space="preserve"> 追加到 </w:t>
      </w:r>
      <w:r>
        <w:rPr>
          <w:rFonts w:ascii="DejaVu Sans Mono" w:hAnsi="DejaVu Sans Mono"/>
          <w:b w:val="0"/>
          <w:i w:val="0"/>
          <w:sz w:val="17"/>
        </w:rPr>
        <w:t>aligned[zone_id]</w:t>
      </w:r>
      <w:r>
        <w:rPr>
          <w:b w:val="0"/>
          <w:i w:val="0"/>
        </w:rPr>
        <w:t>：</w:t>
      </w:r>
    </w:p>
    <w:p>
      <w:pPr>
        <w:spacing w:after="160"/>
        <w:jc w:val="center"/>
      </w:pPr>
      <w:r>
        <w:drawing>
          <wp:inline xmlns:a="http://schemas.openxmlformats.org/drawingml/2006/main" xmlns:pic="http://schemas.openxmlformats.org/drawingml/2006/picture">
            <wp:extent cx="5024704" cy="610371"/>
            <wp:docPr id="5" name="Picture 5"/>
            <wp:cNvGraphicFramePr>
              <a:graphicFrameLocks noChangeAspect="1"/>
            </wp:cNvGraphicFramePr>
            <a:graphic>
              <a:graphicData uri="http://schemas.openxmlformats.org/drawingml/2006/picture">
                <pic:pic>
                  <pic:nvPicPr>
                    <pic:cNvPr id="0" name="eq-005.png"/>
                    <pic:cNvPicPr/>
                  </pic:nvPicPr>
                  <pic:blipFill>
                    <a:blip r:embed="rId15"/>
                    <a:stretch>
                      <a:fillRect/>
                    </a:stretch>
                  </pic:blipFill>
                  <pic:spPr>
                    <a:xfrm>
                      <a:off x="0" y="0"/>
                      <a:ext cx="5024704" cy="610371"/>
                    </a:xfrm>
                    <a:prstGeom prst="rect"/>
                  </pic:spPr>
                </pic:pic>
              </a:graphicData>
            </a:graphic>
          </wp:inline>
        </w:drawing>
      </w:r>
    </w:p>
    <w:p>
      <w:r>
        <w:rPr>
          <w:b w:val="0"/>
          <w:i w:val="0"/>
        </w:rPr>
        <w:t xml:space="preserve">最后一个区域以全国量减去其他区域之和赋值，使空间分配守恒；当网络全国量为零且研究需求具有非零值时，读取器终止运行。可选的 </w:t>
      </w:r>
      <w:r>
        <w:rPr>
          <w:rFonts w:ascii="DejaVu Sans Mono" w:hAnsi="DejaVu Sans Mono"/>
          <w:b w:val="0"/>
          <w:i w:val="0"/>
          <w:sz w:val="17"/>
        </w:rPr>
        <w:t>network_​pack_​absolute_​demand</w:t>
      </w:r>
      <w:r>
        <w:rPr>
          <w:b w:val="0"/>
          <w:i w:val="0"/>
        </w:rPr>
        <w:t xml:space="preserve"> 直接采用网络包全国量，并按原预测与实际需求的比值调整预测。区域、走廊和资产映射的具体约束在传输章定义。</w:t>
      </w:r>
    </w:p>
    <w:p>
      <w:pPr>
        <w:pStyle w:val="Heading2"/>
      </w:pPr>
      <w:r>
        <w:rPr>
          <w:b w:val="0"/>
          <w:i w:val="0"/>
        </w:rPr>
        <w:t>VALUE 101 合成输入</w:t>
      </w:r>
    </w:p>
    <w:p>
      <w:pPr>
        <w:keepNext/>
      </w:pPr>
      <w:r>
        <w:rPr>
          <w:b w:val="0"/>
          <w:i w:val="0"/>
        </w:rPr>
        <w:t xml:space="preserve">VALUE 101 通过 </w:t>
      </w:r>
      <w:r>
        <w:rPr>
          <w:rFonts w:ascii="DejaVu Sans Mono" w:hAnsi="DejaVu Sans Mono"/>
          <w:b w:val="0"/>
          <w:i w:val="0"/>
          <w:sz w:val="17"/>
        </w:rPr>
        <w:t>build_value_101_packs</w:t>
      </w:r>
      <w:r>
        <w:rPr>
          <w:b w:val="0"/>
          <w:i w:val="0"/>
        </w:rPr>
        <w:t xml:space="preserve"> 中的确定性函数生成日内峰值、季节变化及两次局部需求扰动。</w:t>
      </w:r>
      <w:r>
        <w:rPr>
          <w:rFonts w:ascii="DejaVu Sans Mono" w:hAnsi="DejaVu Sans Mono"/>
          <w:b w:val="0"/>
          <w:i w:val="0"/>
          <w:sz w:val="17"/>
        </w:rPr>
        <w:t>_demand</w:t>
      </w:r>
      <w:r>
        <w:rPr>
          <w:b w:val="0"/>
          <w:i w:val="0"/>
        </w:rPr>
        <w:t xml:space="preserve"> 返回以 MW 表示的需求功率；它由半小时时段编号 </w:t>
      </w:r>
      <w:r>
        <w:rPr>
          <w:rFonts w:ascii="DejaVu Sans Mono" w:hAnsi="DejaVu Sans Mono"/>
          <w:b w:val="0"/>
          <w:i w:val="0"/>
          <w:sz w:val="17"/>
        </w:rPr>
        <w:t>period</w:t>
      </w:r>
      <w:r>
        <w:rPr>
          <w:b w:val="0"/>
          <w:i w:val="0"/>
        </w:rPr>
        <w:t xml:space="preserve"> 计算 </w:t>
      </w:r>
      <w:r>
        <w:rPr>
          <w:rFonts w:ascii="DejaVu Sans Mono" w:hAnsi="DejaVu Sans Mono"/>
          <w:b w:val="0"/>
          <w:i w:val="0"/>
          <w:sz w:val="17"/>
        </w:rPr>
        <w:t>day</w:t>
      </w:r>
      <w:r>
        <w:rPr>
          <w:b w:val="0"/>
          <w:i w:val="0"/>
        </w:rPr>
        <w:t>、</w:t>
      </w:r>
      <w:r>
        <w:rPr>
          <w:rFonts w:ascii="DejaVu Sans Mono" w:hAnsi="DejaVu Sans Mono"/>
          <w:b w:val="0"/>
          <w:i w:val="0"/>
          <w:sz w:val="17"/>
        </w:rPr>
        <w:t>hour</w:t>
      </w:r>
      <w:r>
        <w:rPr>
          <w:b w:val="0"/>
          <w:i w:val="0"/>
        </w:rPr>
        <w:t>，并组合早间、晚间、夜间与冬季项。</w:t>
      </w:r>
      <w:r>
        <w:rPr>
          <w:rFonts w:ascii="DejaVu Sans Mono" w:hAnsi="DejaVu Sans Mono"/>
          <w:b w:val="0"/>
          <w:i w:val="0"/>
          <w:sz w:val="17"/>
        </w:rPr>
        <w:t>day % 7 &lt; 5</w:t>
      </w:r>
      <w:r>
        <w:rPr>
          <w:b w:val="0"/>
          <w:i w:val="0"/>
        </w:rPr>
        <w:t xml:space="preserve"> 时 </w:t>
      </w:r>
      <w:r>
        <w:rPr>
          <w:rFonts w:ascii="DejaVu Sans Mono" w:hAnsi="DejaVu Sans Mono"/>
          <w:b w:val="0"/>
          <w:i w:val="0"/>
          <w:sz w:val="17"/>
        </w:rPr>
        <w:t>weekday</w:t>
      </w:r>
      <w:r>
        <w:rPr>
          <w:b w:val="0"/>
          <w:i w:val="0"/>
        </w:rPr>
        <w:t xml:space="preserve"> 为 1，其余取 0.92；</w:t>
      </w:r>
      <w:r>
        <w:rPr>
          <w:rFonts w:ascii="DejaVu Sans Mono" w:hAnsi="DejaVu Sans Mono"/>
          <w:b w:val="0"/>
          <w:i w:val="0"/>
          <w:sz w:val="17"/>
        </w:rPr>
        <w:t>day</w:t>
      </w:r>
      <w:r>
        <w:rPr>
          <w:b w:val="0"/>
          <w:i w:val="0"/>
        </w:rPr>
        <w:t xml:space="preserve"> 为 0 或 182 且 </w:t>
      </w:r>
      <w:r>
        <w:rPr>
          <w:rFonts w:ascii="DejaVu Sans Mono" w:hAnsi="DejaVu Sans Mono"/>
          <w:b w:val="0"/>
          <w:i w:val="0"/>
          <w:sz w:val="17"/>
        </w:rPr>
        <w:t>period % 48 == 31</w:t>
      </w:r>
      <w:r>
        <w:rPr>
          <w:b w:val="0"/>
          <w:i w:val="0"/>
        </w:rPr>
        <w:t xml:space="preserve"> 时，</w:t>
      </w:r>
      <w:r>
        <w:rPr>
          <w:rFonts w:ascii="DejaVu Sans Mono" w:hAnsi="DejaVu Sans Mono"/>
          <w:b w:val="0"/>
          <w:i w:val="0"/>
          <w:sz w:val="17"/>
        </w:rPr>
        <w:t>teaching_peak</w:t>
      </w:r>
      <w:r>
        <w:rPr>
          <w:b w:val="0"/>
          <w:i w:val="0"/>
        </w:rPr>
        <w:t xml:space="preserve"> 为 30 MW，其余为零：</w:t>
      </w:r>
    </w:p>
    <w:p>
      <w:pPr>
        <w:spacing w:after="160"/>
        <w:jc w:val="center"/>
      </w:pPr>
      <w:r>
        <w:drawing>
          <wp:inline xmlns:a="http://schemas.openxmlformats.org/drawingml/2006/main" xmlns:pic="http://schemas.openxmlformats.org/drawingml/2006/picture">
            <wp:extent cx="4503953" cy="1188861"/>
            <wp:docPr id="6" name="Picture 6"/>
            <wp:cNvGraphicFramePr>
              <a:graphicFrameLocks noChangeAspect="1"/>
            </wp:cNvGraphicFramePr>
            <a:graphic>
              <a:graphicData uri="http://schemas.openxmlformats.org/drawingml/2006/picture">
                <pic:pic>
                  <pic:nvPicPr>
                    <pic:cNvPr id="0" name="eq-006.png"/>
                    <pic:cNvPicPr/>
                  </pic:nvPicPr>
                  <pic:blipFill>
                    <a:blip r:embed="rId16"/>
                    <a:stretch>
                      <a:fillRect/>
                    </a:stretch>
                  </pic:blipFill>
                  <pic:spPr>
                    <a:xfrm>
                      <a:off x="0" y="0"/>
                      <a:ext cx="4503953" cy="1188861"/>
                    </a:xfrm>
                    <a:prstGeom prst="rect"/>
                  </pic:spPr>
                </pic:pic>
              </a:graphicData>
            </a:graphic>
          </wp:inline>
        </w:drawing>
      </w:r>
    </w:p>
    <w:p>
      <w:pPr>
        <w:spacing w:after="160"/>
        <w:jc w:val="center"/>
      </w:pPr>
      <w:r>
        <w:drawing>
          <wp:inline xmlns:a="http://schemas.openxmlformats.org/drawingml/2006/main" xmlns:pic="http://schemas.openxmlformats.org/drawingml/2006/picture">
            <wp:extent cx="5365089" cy="464045"/>
            <wp:docPr id="7" name="Picture 7"/>
            <wp:cNvGraphicFramePr>
              <a:graphicFrameLocks noChangeAspect="1"/>
            </wp:cNvGraphicFramePr>
            <a:graphic>
              <a:graphicData uri="http://schemas.openxmlformats.org/drawingml/2006/picture">
                <pic:pic>
                  <pic:nvPicPr>
                    <pic:cNvPr id="0" name="eq-007.png"/>
                    <pic:cNvPicPr/>
                  </pic:nvPicPr>
                  <pic:blipFill>
                    <a:blip r:embed="rId17"/>
                    <a:stretch>
                      <a:fillRect/>
                    </a:stretch>
                  </pic:blipFill>
                  <pic:spPr>
                    <a:xfrm>
                      <a:off x="0" y="0"/>
                      <a:ext cx="5365089" cy="464045"/>
                    </a:xfrm>
                    <a:prstGeom prst="rect"/>
                  </pic:spPr>
                </pic:pic>
              </a:graphicData>
            </a:graphic>
          </wp:inline>
        </w:drawing>
      </w:r>
    </w:p>
    <w:p>
      <w:r>
        <w:rPr>
          <w:b w:val="0"/>
          <w:i w:val="0"/>
        </w:rPr>
        <w:t xml:space="preserve">预测函数 </w:t>
      </w:r>
      <w:r>
        <w:rPr>
          <w:rFonts w:ascii="DejaVu Sans Mono" w:hAnsi="DejaVu Sans Mono"/>
          <w:b w:val="0"/>
          <w:i w:val="0"/>
          <w:sz w:val="17"/>
        </w:rPr>
        <w:t>_forecast_demand</w:t>
      </w:r>
      <w:r>
        <w:rPr>
          <w:b w:val="0"/>
          <w:i w:val="0"/>
        </w:rPr>
        <w:t xml:space="preserve"> 在 </w:t>
      </w:r>
      <w:r>
        <w:rPr>
          <w:rFonts w:ascii="DejaVu Sans Mono" w:hAnsi="DejaVu Sans Mono"/>
          <w:b w:val="0"/>
          <w:i w:val="0"/>
          <w:sz w:val="17"/>
        </w:rPr>
        <w:t>_demand(period)</w:t>
      </w:r>
      <w:r>
        <w:rPr>
          <w:b w:val="0"/>
          <w:i w:val="0"/>
        </w:rPr>
        <w:t xml:space="preserve"> 上加 </w:t>
      </w:r>
      <w:r>
        <w:rPr>
          <w:rFonts w:ascii="DejaVu Sans Mono" w:hAnsi="DejaVu Sans Mono"/>
          <w:b w:val="0"/>
          <w:i w:val="0"/>
          <w:sz w:val="17"/>
        </w:rPr>
        <w:t>balancing_margin</w:t>
      </w:r>
      <w:r>
        <w:rPr>
          <w:b w:val="0"/>
          <w:i w:val="0"/>
        </w:rPr>
        <w:t>，再保留六位小数。</w:t>
      </w:r>
      <w:r>
        <w:rPr>
          <w:rFonts w:ascii="DejaVu Sans Mono" w:hAnsi="DejaVu Sans Mono"/>
          <w:b w:val="0"/>
          <w:i w:val="0"/>
          <w:sz w:val="17"/>
        </w:rPr>
        <w:t>day</w:t>
      </w:r>
      <w:r>
        <w:rPr>
          <w:b w:val="0"/>
          <w:i w:val="0"/>
        </w:rPr>
        <w:t xml:space="preserve"> 为 0 或 182 且 </w:t>
      </w:r>
      <w:r>
        <w:rPr>
          <w:rFonts w:ascii="DejaVu Sans Mono" w:hAnsi="DejaVu Sans Mono"/>
          <w:b w:val="0"/>
          <w:i w:val="0"/>
          <w:sz w:val="17"/>
        </w:rPr>
        <w:t>period % 48 == 30</w:t>
      </w:r>
      <w:r>
        <w:rPr>
          <w:b w:val="0"/>
          <w:i w:val="0"/>
        </w:rPr>
        <w:t xml:space="preserve"> 时，</w:t>
      </w:r>
      <w:r>
        <w:rPr>
          <w:rFonts w:ascii="DejaVu Sans Mono" w:hAnsi="DejaVu Sans Mono"/>
          <w:b w:val="0"/>
          <w:i w:val="0"/>
          <w:sz w:val="17"/>
        </w:rPr>
        <w:t>balancing_margin</w:t>
      </w:r>
      <w:r>
        <w:rPr>
          <w:b w:val="0"/>
          <w:i w:val="0"/>
        </w:rPr>
        <w:t xml:space="preserve"> 为 12 MW，其余时段为零。</w:t>
      </w:r>
    </w:p>
    <w:p>
      <w:pPr>
        <w:keepNext/>
      </w:pPr>
      <w:r>
        <w:rPr>
          <w:b w:val="0"/>
          <w:i w:val="0"/>
        </w:rPr>
        <w:t xml:space="preserve">光伏投资曲线 </w:t>
      </w:r>
      <w:r>
        <w:rPr>
          <w:rFonts w:ascii="DejaVu Sans Mono" w:hAnsi="DejaVu Sans Mono"/>
          <w:b w:val="0"/>
          <w:i w:val="0"/>
          <w:sz w:val="17"/>
        </w:rPr>
        <w:t>_solar_profile</w:t>
      </w:r>
      <w:r>
        <w:rPr>
          <w:b w:val="0"/>
          <w:i w:val="0"/>
        </w:rPr>
        <w:t xml:space="preserve"> 将日照与季节系数相乘。</w:t>
      </w:r>
      <w:r>
        <w:rPr>
          <w:rFonts w:ascii="DejaVu Sans Mono" w:hAnsi="DejaVu Sans Mono"/>
          <w:b w:val="0"/>
          <w:i w:val="0"/>
          <w:sz w:val="17"/>
        </w:rPr>
        <w:t>hour &lt; 6</w:t>
      </w:r>
      <w:r>
        <w:rPr>
          <w:b w:val="0"/>
          <w:i w:val="0"/>
        </w:rPr>
        <w:t xml:space="preserve"> 或 </w:t>
      </w:r>
      <w:r>
        <w:rPr>
          <w:rFonts w:ascii="DejaVu Sans Mono" w:hAnsi="DejaVu Sans Mono"/>
          <w:b w:val="0"/>
          <w:i w:val="0"/>
          <w:sz w:val="17"/>
        </w:rPr>
        <w:t>hour &gt; 18</w:t>
      </w:r>
      <w:r>
        <w:rPr>
          <w:b w:val="0"/>
          <w:i w:val="0"/>
        </w:rPr>
        <w:t xml:space="preserve"> 时返回零；日照窗口内沿用上述 </w:t>
      </w:r>
      <w:r>
        <w:rPr>
          <w:rFonts w:ascii="DejaVu Sans Mono" w:hAnsi="DejaVu Sans Mono"/>
          <w:b w:val="0"/>
          <w:i w:val="0"/>
          <w:sz w:val="17"/>
        </w:rPr>
        <w:t>day</w:t>
      </w:r>
      <w:r>
        <w:rPr>
          <w:b w:val="0"/>
          <w:i w:val="0"/>
        </w:rPr>
        <w:t>、</w:t>
      </w:r>
      <w:r>
        <w:rPr>
          <w:rFonts w:ascii="DejaVu Sans Mono" w:hAnsi="DejaVu Sans Mono"/>
          <w:b w:val="0"/>
          <w:i w:val="0"/>
          <w:sz w:val="17"/>
        </w:rPr>
        <w:t>hour</w:t>
      </w:r>
      <w:r>
        <w:rPr>
          <w:b w:val="0"/>
          <w:i w:val="0"/>
        </w:rPr>
        <w:t xml:space="preserve"> 定义，计算</w:t>
      </w:r>
    </w:p>
    <w:p>
      <w:pPr>
        <w:spacing w:after="160"/>
        <w:jc w:val="center"/>
      </w:pPr>
      <w:r>
        <w:drawing>
          <wp:inline xmlns:a="http://schemas.openxmlformats.org/drawingml/2006/main" xmlns:pic="http://schemas.openxmlformats.org/drawingml/2006/picture">
            <wp:extent cx="5693283" cy="679078"/>
            <wp:docPr id="8" name="Picture 8"/>
            <wp:cNvGraphicFramePr>
              <a:graphicFrameLocks noChangeAspect="1"/>
            </wp:cNvGraphicFramePr>
            <a:graphic>
              <a:graphicData uri="http://schemas.openxmlformats.org/drawingml/2006/picture">
                <pic:pic>
                  <pic:nvPicPr>
                    <pic:cNvPr id="0" name="eq-008.png"/>
                    <pic:cNvPicPr/>
                  </pic:nvPicPr>
                  <pic:blipFill>
                    <a:blip r:embed="rId18"/>
                    <a:stretch>
                      <a:fillRect/>
                    </a:stretch>
                  </pic:blipFill>
                  <pic:spPr>
                    <a:xfrm>
                      <a:off x="0" y="0"/>
                      <a:ext cx="5693283" cy="679078"/>
                    </a:xfrm>
                    <a:prstGeom prst="rect"/>
                  </pic:spPr>
                </pic:pic>
              </a:graphicData>
            </a:graphic>
          </wp:inline>
        </w:drawing>
      </w:r>
    </w:p>
    <w:p>
      <w:pPr>
        <w:keepNext/>
      </w:pPr>
      <w:r>
        <w:rPr>
          <w:b w:val="0"/>
          <w:i w:val="0"/>
        </w:rPr>
        <w:t xml:space="preserve">风电投资曲线 </w:t>
      </w:r>
      <w:r>
        <w:rPr>
          <w:rFonts w:ascii="DejaVu Sans Mono" w:hAnsi="DejaVu Sans Mono"/>
          <w:b w:val="0"/>
          <w:i w:val="0"/>
          <w:sz w:val="17"/>
        </w:rPr>
        <w:t>_wind_profile</w:t>
      </w:r>
      <w:r>
        <w:rPr>
          <w:b w:val="0"/>
          <w:i w:val="0"/>
        </w:rPr>
        <w:t xml:space="preserve"> 叠加日内、29 日和年周期分量，并将系数限定在 0.08–0.92：</w:t>
      </w:r>
    </w:p>
    <w:p>
      <w:pPr>
        <w:spacing w:after="160"/>
        <w:jc w:val="center"/>
      </w:pPr>
      <w:r>
        <w:drawing>
          <wp:inline xmlns:a="http://schemas.openxmlformats.org/drawingml/2006/main" xmlns:pic="http://schemas.openxmlformats.org/drawingml/2006/picture">
            <wp:extent cx="5018074" cy="1104205"/>
            <wp:docPr id="9" name="Picture 9"/>
            <wp:cNvGraphicFramePr>
              <a:graphicFrameLocks noChangeAspect="1"/>
            </wp:cNvGraphicFramePr>
            <a:graphic>
              <a:graphicData uri="http://schemas.openxmlformats.org/drawingml/2006/picture">
                <pic:pic>
                  <pic:nvPicPr>
                    <pic:cNvPr id="0" name="eq-009.png"/>
                    <pic:cNvPicPr/>
                  </pic:nvPicPr>
                  <pic:blipFill>
                    <a:blip r:embed="rId19"/>
                    <a:stretch>
                      <a:fillRect/>
                    </a:stretch>
                  </pic:blipFill>
                  <pic:spPr>
                    <a:xfrm>
                      <a:off x="0" y="0"/>
                      <a:ext cx="5018074" cy="1104205"/>
                    </a:xfrm>
                    <a:prstGeom prst="rect"/>
                  </pic:spPr>
                </pic:pic>
              </a:graphicData>
            </a:graphic>
          </wp:inline>
        </w:drawing>
      </w:r>
    </w:p>
    <w:p>
      <w:r>
        <w:rPr>
          <w:b w:val="0"/>
          <w:i w:val="0"/>
        </w:rPr>
        <w:t xml:space="preserve">海风投资系数取 </w:t>
      </w:r>
      <w:r>
        <w:rPr>
          <w:rFonts w:ascii="DejaVu Sans Mono" w:hAnsi="DejaVu Sans Mono"/>
          <w:b w:val="0"/>
          <w:i w:val="0"/>
          <w:sz w:val="17"/>
        </w:rPr>
        <w:t>_wind_profile(period)</w:t>
      </w:r>
      <w:r>
        <w:rPr>
          <w:b w:val="0"/>
          <w:i w:val="0"/>
        </w:rPr>
        <w:t xml:space="preserve"> 的 1.08 倍，以 1 为上限，保留六位小数。三条序列分别保存为 </w:t>
      </w:r>
      <w:r>
        <w:rPr>
          <w:rFonts w:ascii="DejaVu Sans Mono" w:hAnsi="DejaVu Sans Mono"/>
          <w:b w:val="0"/>
          <w:i w:val="0"/>
          <w:sz w:val="17"/>
        </w:rPr>
        <w:t>profiles.vre_solar</w:t>
      </w:r>
      <w:r>
        <w:rPr>
          <w:b w:val="0"/>
          <w:i w:val="0"/>
        </w:rPr>
        <w:t>、</w:t>
      </w:r>
      <w:r>
        <w:rPr>
          <w:rFonts w:ascii="DejaVu Sans Mono" w:hAnsi="DejaVu Sans Mono"/>
          <w:b w:val="0"/>
          <w:i w:val="0"/>
          <w:sz w:val="17"/>
        </w:rPr>
        <w:t>profiles.vre_onshore</w:t>
      </w:r>
      <w:r>
        <w:rPr>
          <w:b w:val="0"/>
          <w:i w:val="0"/>
        </w:rPr>
        <w:t>、</w:t>
      </w:r>
      <w:r>
        <w:rPr>
          <w:rFonts w:ascii="DejaVu Sans Mono" w:hAnsi="DejaVu Sans Mono"/>
          <w:b w:val="0"/>
          <w:i w:val="0"/>
          <w:sz w:val="17"/>
        </w:rPr>
        <w:t>profiles.vre_offshore</w:t>
      </w:r>
      <w:r>
        <w:rPr>
          <w:b w:val="0"/>
          <w:i w:val="0"/>
        </w:rPr>
        <w:t>。</w:t>
      </w:r>
    </w:p>
    <w:p>
      <w:pPr>
        <w:keepNext/>
      </w:pPr>
      <w:r>
        <w:rPr>
          <w:b w:val="0"/>
          <w:i w:val="0"/>
        </w:rPr>
        <w:t xml:space="preserve">教学天气另在 52°N、0°E 的一个格点给定 8,760 小时序列。此处 </w:t>
      </w:r>
      <w:r>
        <w:rPr>
          <w:rFonts w:ascii="DejaVu Sans Mono" w:hAnsi="DejaVu Sans Mono"/>
          <w:b w:val="0"/>
          <w:i w:val="0"/>
          <w:sz w:val="17"/>
        </w:rPr>
        <w:t>hour</w:t>
      </w:r>
      <w:r>
        <w:rPr>
          <w:b w:val="0"/>
          <w:i w:val="0"/>
        </w:rPr>
        <w:t xml:space="preserve"> 为从零开始的全年小时编号；太阳数组 </w:t>
      </w:r>
      <w:r>
        <w:rPr>
          <w:rFonts w:ascii="DejaVu Sans Mono" w:hAnsi="DejaVu Sans Mono"/>
          <w:b w:val="0"/>
          <w:i w:val="0"/>
          <w:sz w:val="17"/>
        </w:rPr>
        <w:t>hourly_solar</w:t>
      </w:r>
      <w:r>
        <w:rPr>
          <w:b w:val="0"/>
          <w:i w:val="0"/>
        </w:rPr>
        <w:t xml:space="preserve"> 的单位为 J/m²，风速数组 </w:t>
      </w:r>
      <w:r>
        <w:rPr>
          <w:rFonts w:ascii="DejaVu Sans Mono" w:hAnsi="DejaVu Sans Mono"/>
          <w:b w:val="0"/>
          <w:i w:val="0"/>
          <w:sz w:val="17"/>
        </w:rPr>
        <w:t>hourly_wind</w:t>
      </w:r>
      <w:r>
        <w:rPr>
          <w:b w:val="0"/>
          <w:i w:val="0"/>
        </w:rPr>
        <w:t xml:space="preserve"> 的单位为 m/s：</w:t>
      </w:r>
    </w:p>
    <w:p>
      <w:pPr>
        <w:spacing w:after="160"/>
        <w:jc w:val="center"/>
      </w:pPr>
      <w:r>
        <w:drawing>
          <wp:inline xmlns:a="http://schemas.openxmlformats.org/drawingml/2006/main" xmlns:pic="http://schemas.openxmlformats.org/drawingml/2006/picture">
            <wp:extent cx="4581296" cy="621813"/>
            <wp:docPr id="10" name="Picture 10"/>
            <wp:cNvGraphicFramePr>
              <a:graphicFrameLocks noChangeAspect="1"/>
            </wp:cNvGraphicFramePr>
            <a:graphic>
              <a:graphicData uri="http://schemas.openxmlformats.org/drawingml/2006/picture">
                <pic:pic>
                  <pic:nvPicPr>
                    <pic:cNvPr id="0" name="eq-010.png"/>
                    <pic:cNvPicPr/>
                  </pic:nvPicPr>
                  <pic:blipFill>
                    <a:blip r:embed="rId20"/>
                    <a:stretch>
                      <a:fillRect/>
                    </a:stretch>
                  </pic:blipFill>
                  <pic:spPr>
                    <a:xfrm>
                      <a:off x="0" y="0"/>
                      <a:ext cx="4581296" cy="621813"/>
                    </a:xfrm>
                    <a:prstGeom prst="rect"/>
                  </pic:spPr>
                </pic:pic>
              </a:graphicData>
            </a:graphic>
          </wp:inline>
        </w:drawing>
      </w:r>
    </w:p>
    <w:p>
      <w:r>
        <w:rPr>
          <w:b w:val="0"/>
          <w:i w:val="0"/>
        </w:rPr>
        <w:t>天气风速经发电曲线转换后用于调度，技术曲线用于投资规则。法国边界进口上限为 12 MW、价格为 82 GBP/​MWh；其余四个边界交换容量为零，占位价格为 200 GBP/MWh。</w:t>
      </w:r>
      <w:r>
        <w:rPr>
          <w:rFonts w:ascii="DejaVu Sans Mono" w:hAnsi="DejaVu Sans Mono"/>
          <w:b w:val="0"/>
          <w:i w:val="0"/>
          <w:sz w:val="17"/>
        </w:rPr>
        <w:t>build_value_101_packs</w:t>
      </w:r>
      <w:r>
        <w:rPr>
          <w:b w:val="0"/>
          <w:i w:val="0"/>
        </w:rPr>
        <w:t xml:space="preserve"> 将上述需求、天气与市场序列写入教学数据包。</w:t>
      </w:r>
    </w:p>
    <w:p>
      <w:pPr>
        <w:pStyle w:val="Heading2"/>
      </w:pPr>
      <w:r>
        <w:rPr>
          <w:b w:val="0"/>
          <w:i w:val="0"/>
        </w:rPr>
        <w:t>数据资格与用户映射</w:t>
      </w:r>
    </w:p>
    <w:p>
      <w:r>
        <w:rPr>
          <w:b w:val="0"/>
          <w:i w:val="0"/>
        </w:rPr>
        <w:t xml:space="preserve">数据包校验区分结构有效性、时序和物理合理性。结构层决定数据包能否安装；时序层检查边界身份、价格币种、本地时间需求、已知行序问题、预测对齐及声明时间戳；合理性层采用 </w:t>
      </w:r>
      <w:r>
        <w:rPr>
          <w:rFonts w:ascii="DejaVu Sans Mono" w:hAnsi="DejaVu Sans Mono"/>
          <w:b w:val="0"/>
          <w:i w:val="0"/>
          <w:sz w:val="17"/>
        </w:rPr>
        <w:t>value_​data_​plausibility_​v1.json</w:t>
      </w:r>
      <w:r>
        <w:rPr>
          <w:b w:val="0"/>
          <w:i w:val="0"/>
        </w:rPr>
        <w:t xml:space="preserve"> 中的范围。</w:t>
      </w:r>
    </w:p>
    <w:p>
      <w:r>
        <w:rPr>
          <w:rFonts w:ascii="DejaVu Sans Mono" w:hAnsi="DejaVu Sans Mono"/>
          <w:b w:val="0"/>
          <w:i w:val="0"/>
          <w:sz w:val="17"/>
        </w:rPr>
        <w:t>profile_eligibility</w:t>
      </w:r>
      <w:r>
        <w:rPr>
          <w:b w:val="0"/>
          <w:i w:val="0"/>
        </w:rPr>
        <w:t xml:space="preserve"> 将这些发现与口径的数据包白名单共同用于资格判断。修正口径下，非工作区包的时序问题和科学参考包的合理性失败会阻止预检查通过。论文复现口径将其作为警告，同时由白名单排除用户工作区和 VALUE 101 网络包。数据包校验通过后仍需执行按角色读取，风光投资曲线的时钟要求在该步骤检查。</w:t>
      </w:r>
    </w:p>
    <w:p>
      <w:r>
        <w:rPr>
          <w:b w:val="0"/>
          <w:i w:val="0"/>
        </w:rPr>
        <w:t>用户需求映射声明列名、单位，并可提供 UTC 或 Europe/London 时间戳。本地时间戳逐行转换为 UTC。日期可声明为 DD/MM/YYYY 或 MM/​DD/​YYYY，其余情况由数据推断。不可读、重复、倒序、存在缺口或步长不规则的时间戳会阻止提交。</w:t>
      </w:r>
    </w:p>
    <w:p>
      <w:r>
        <w:rPr>
          <w:b w:val="0"/>
          <w:i w:val="0"/>
        </w:rPr>
        <w:t>映射序列按行序从模型年的 1 月 1 日 00:00 UTC 起使用，并在各模型年重复。源年份不同会产生提示，读取仍保留输入的行序、星期和节假日。逐时需求由 8,760 或 8,784 行、或 60 分钟时间戳步长识别，完成源单位换算后展开为半小时。短输入需确认重复补齐；替换需求的全年电量超过原序列的 1.5 倍或低于 0.67 倍时，提示同时列出两个全年电量。</w:t>
      </w:r>
    </w:p>
    <w:p>
      <w:r>
        <w:rPr>
          <w:b w:val="0"/>
          <w:i w:val="0"/>
        </w:rPr>
        <w:t>映射的欧元价格采用声明的汇率及其年均、月均或固定汇率依据。价格年份被记录，声明年份与 2025 年不同时给出提示，数值仅作币种换算。</w:t>
      </w:r>
    </w:p>
    <w:p>
      <w:pPr>
        <w:pStyle w:val="Heading2"/>
      </w:pPr>
      <w:r>
        <w:rPr>
          <w:b w:val="0"/>
          <w:i w:val="0"/>
        </w:rPr>
        <w:t>数据与实现对应</w:t>
      </w:r>
    </w:p>
    <w:p>
      <w:r>
        <w:rPr>
          <w:b w:val="0"/>
          <w:i w:val="0"/>
        </w:rPr>
        <w:t>需求来源为 NESO，项目来源为 DESNZ REPD，天气来源为 Copernicus ERA5 single levels，边界价格来源为 Ember 整理的 ENTSO-E 数据。</w:t>
      </w:r>
      <w:r>
        <w:rPr>
          <w:rFonts w:ascii="DejaVu Sans Mono" w:hAnsi="DejaVu Sans Mono"/>
          <w:b w:val="0"/>
          <w:i w:val="0"/>
          <w:sz w:val="17"/>
        </w:rPr>
        <w:t>import_scheme_c_1000twh</w:t>
      </w:r>
      <w:r>
        <w:rPr>
          <w:b w:val="0"/>
          <w:i w:val="0"/>
        </w:rPr>
        <w:t xml:space="preserve"> 完成项目规范化，</w:t>
      </w:r>
      <w:r>
        <w:rPr>
          <w:rFonts w:ascii="DejaVu Sans Mono" w:hAnsi="DejaVu Sans Mono"/>
          <w:b w:val="0"/>
          <w:i w:val="0"/>
          <w:sz w:val="17"/>
        </w:rPr>
        <w:t>series_reader.py</w:t>
      </w:r>
      <w:r>
        <w:rPr>
          <w:b w:val="0"/>
          <w:i w:val="0"/>
        </w:rPr>
        <w:t xml:space="preserve"> 和 </w:t>
      </w:r>
      <w:r>
        <w:rPr>
          <w:rFonts w:ascii="DejaVu Sans Mono" w:hAnsi="DejaVu Sans Mono"/>
          <w:b w:val="0"/>
          <w:i w:val="0"/>
          <w:sz w:val="17"/>
        </w:rPr>
        <w:t>data_method</w:t>
      </w:r>
      <w:r>
        <w:rPr>
          <w:b w:val="0"/>
          <w:i w:val="0"/>
        </w:rPr>
        <w:t xml:space="preserve"> 读取时序，</w:t>
      </w:r>
      <w:r>
        <w:rPr>
          <w:rFonts w:ascii="DejaVu Sans Mono" w:hAnsi="DejaVu Sans Mono"/>
          <w:b w:val="0"/>
          <w:i w:val="0"/>
          <w:sz w:val="17"/>
        </w:rPr>
        <w:t>interconnector_identity</w:t>
      </w:r>
      <w:r>
        <w:rPr>
          <w:b w:val="0"/>
          <w:i w:val="0"/>
        </w:rPr>
        <w:t xml:space="preserve"> 分配边界序列，</w:t>
      </w:r>
      <w:r>
        <w:rPr>
          <w:rFonts w:ascii="DejaVu Sans Mono" w:hAnsi="DejaVu Sans Mono"/>
          <w:b w:val="0"/>
          <w:i w:val="0"/>
          <w:sz w:val="17"/>
        </w:rPr>
        <w:t>known_​data_​objects_​v1.json</w:t>
      </w:r>
      <w:r>
        <w:rPr>
          <w:b w:val="0"/>
          <w:i w:val="0"/>
        </w:rPr>
        <w:t xml:space="preserve"> 将已识别输入文件与其声明及行变换关联。</w:t>
      </w:r>
      <w:r>
        <w:rPr>
          <w:rFonts w:ascii="DejaVu Sans Mono" w:hAnsi="DejaVu Sans Mono"/>
          <w:b w:val="0"/>
          <w:i w:val="0"/>
          <w:sz w:val="17"/>
        </w:rPr>
        <w:t>data_validation_layers</w:t>
      </w:r>
      <w:r>
        <w:rPr>
          <w:b w:val="0"/>
          <w:i w:val="0"/>
        </w:rPr>
        <w:t xml:space="preserve"> 判断数据包资格，</w:t>
      </w:r>
      <w:r>
        <w:rPr>
          <w:rFonts w:ascii="DejaVu Sans Mono" w:hAnsi="DejaVu Sans Mono"/>
          <w:b w:val="0"/>
          <w:i w:val="0"/>
          <w:sz w:val="17"/>
        </w:rPr>
        <w:t>model_clock</w:t>
      </w:r>
      <w:r>
        <w:rPr>
          <w:b w:val="0"/>
          <w:i w:val="0"/>
        </w:rPr>
        <w:t xml:space="preserve"> 定义 UTC 时段，</w:t>
      </w:r>
      <w:r>
        <w:rPr>
          <w:rFonts w:ascii="DejaVu Sans Mono" w:hAnsi="DejaVu Sans Mono"/>
          <w:b w:val="0"/>
          <w:i w:val="0"/>
          <w:sz w:val="17"/>
        </w:rPr>
        <w:t>zonal_demand_alignment</w:t>
      </w:r>
      <w:r>
        <w:rPr>
          <w:b w:val="0"/>
          <w:i w:val="0"/>
        </w:rPr>
        <w:t xml:space="preserve"> 将全国需求分配到各区。</w:t>
      </w:r>
    </w:p>
    <w:p>
      <w:pPr>
        <w:pStyle w:val="Heading1"/>
      </w:pPr>
      <w:r>
        <w:rPr>
          <w:b w:val="0"/>
          <w:i w:val="0"/>
        </w:rPr>
        <w:t>3 天气与可用出力</w:t>
      </w:r>
    </w:p>
    <w:p>
      <w:pPr>
        <w:keepNext/>
      </w:pPr>
      <w:r>
        <w:rPr>
          <w:b w:val="0"/>
          <w:i w:val="0"/>
        </w:rPr>
        <w:t xml:space="preserve">VALUE 用资产容量和代表点天气计算各资产逐时段可用的风光电量。调度字段 </w:t>
      </w:r>
      <w:r>
        <w:rPr>
          <w:rFonts w:ascii="DejaVu Sans Mono" w:hAnsi="DejaVu Sans Mono"/>
          <w:b w:val="0"/>
          <w:i w:val="0"/>
          <w:sz w:val="17"/>
        </w:rPr>
        <w:t>available_mw</w:t>
      </w:r>
      <w:r>
        <w:rPr>
          <w:b w:val="0"/>
          <w:i w:val="0"/>
        </w:rPr>
        <w:t xml:space="preserve"> 和 </w:t>
      </w:r>
      <w:r>
        <w:rPr>
          <w:rFonts w:ascii="DejaVu Sans Mono" w:hAnsi="DejaVu Sans Mono"/>
          <w:b w:val="0"/>
          <w:i w:val="0"/>
          <w:sz w:val="17"/>
        </w:rPr>
        <w:t>available_mwh</w:t>
      </w:r>
      <w:r>
        <w:rPr>
          <w:b w:val="0"/>
          <w:i w:val="0"/>
        </w:rPr>
        <w:t xml:space="preserve"> 分别表示可用功率（MW）和时段电量（MWh）；</w:t>
      </w:r>
      <w:r>
        <w:rPr>
          <w:rFonts w:ascii="DejaVu Sans Mono" w:hAnsi="DejaVu Sans Mono"/>
          <w:b w:val="0"/>
          <w:i w:val="0"/>
          <w:sz w:val="17"/>
        </w:rPr>
        <w:t>capacity_mw</w:t>
      </w:r>
      <w:r>
        <w:rPr>
          <w:b w:val="0"/>
          <w:i w:val="0"/>
        </w:rPr>
        <w:t xml:space="preserve"> 为装机功率，</w:t>
      </w:r>
      <w:r>
        <w:rPr>
          <w:rFonts w:ascii="DejaVu Sans Mono" w:hAnsi="DejaVu Sans Mono"/>
          <w:b w:val="0"/>
          <w:i w:val="0"/>
          <w:sz w:val="17"/>
        </w:rPr>
        <w:t>availability</w:t>
      </w:r>
      <w:r>
        <w:rPr>
          <w:b w:val="0"/>
          <w:i w:val="0"/>
        </w:rPr>
        <w:t xml:space="preserve"> 为天气决定的无量纲出力系数，</w:t>
      </w:r>
      <w:r>
        <w:rPr>
          <w:rFonts w:ascii="DejaVu Sans Mono" w:hAnsi="DejaVu Sans Mono"/>
          <w:b w:val="0"/>
          <w:i w:val="0"/>
          <w:sz w:val="17"/>
        </w:rPr>
        <w:t>period_hours</w:t>
      </w:r>
      <w:r>
        <w:rPr>
          <w:b w:val="0"/>
          <w:i w:val="0"/>
        </w:rPr>
        <w:t xml:space="preserve"> 为时段长度。对每个资产和时段，</w:t>
      </w:r>
    </w:p>
    <w:p>
      <w:pPr>
        <w:spacing w:after="160"/>
        <w:jc w:val="center"/>
      </w:pPr>
      <w:r>
        <w:drawing>
          <wp:inline xmlns:a="http://schemas.openxmlformats.org/drawingml/2006/main" xmlns:pic="http://schemas.openxmlformats.org/drawingml/2006/picture">
            <wp:extent cx="3837431" cy="621668"/>
            <wp:docPr id="11" name="Picture 11"/>
            <wp:cNvGraphicFramePr>
              <a:graphicFrameLocks noChangeAspect="1"/>
            </wp:cNvGraphicFramePr>
            <a:graphic>
              <a:graphicData uri="http://schemas.openxmlformats.org/drawingml/2006/picture">
                <pic:pic>
                  <pic:nvPicPr>
                    <pic:cNvPr id="0" name="eq-011.png"/>
                    <pic:cNvPicPr/>
                  </pic:nvPicPr>
                  <pic:blipFill>
                    <a:blip r:embed="rId21"/>
                    <a:stretch>
                      <a:fillRect/>
                    </a:stretch>
                  </pic:blipFill>
                  <pic:spPr>
                    <a:xfrm>
                      <a:off x="0" y="0"/>
                      <a:ext cx="3837431" cy="621668"/>
                    </a:xfrm>
                    <a:prstGeom prst="rect"/>
                  </pic:spPr>
                </pic:pic>
              </a:graphicData>
            </a:graphic>
          </wp:inline>
        </w:drawing>
      </w:r>
    </w:p>
    <w:p>
      <w:r>
        <w:rPr>
          <w:b w:val="0"/>
          <w:i w:val="0"/>
        </w:rPr>
        <w:t>市场出清在上述可用电量范围内接纳发电。年度扩张采用下文的技术平均投资曲线，或实验性物理可用出力规则。</w:t>
      </w:r>
    </w:p>
    <w:p>
      <w:pPr>
        <w:pStyle w:val="Heading2"/>
      </w:pPr>
      <w:r>
        <w:rPr>
          <w:b w:val="0"/>
          <w:i w:val="0"/>
        </w:rPr>
        <w:t>天气序列与代表点采样</w:t>
      </w:r>
    </w:p>
    <w:p>
      <w:r>
        <w:rPr>
          <w:b w:val="0"/>
          <w:i w:val="0"/>
        </w:rPr>
        <w:t>R029 将 2020–2024 年 ERA5 小时观测按月、日、小时取算术平均，形成各模型年复用的 365 日气候态。原始序列包含 43,848 小时。删除两次 2 月 29 日的 48 小时后，每个保留的日历小时有五个观测，平均后得到 8,760 小时。</w:t>
      </w:r>
    </w:p>
    <w:p>
      <w:r>
        <w:rPr>
          <w:b w:val="0"/>
          <w:i w:val="0"/>
        </w:rPr>
        <w:t>风速在原始小时尺度先由 100 m 风矢量求模，再作日历平均：</w:t>
      </w:r>
      <w:r>
        <w:rPr>
          <w:rFonts w:ascii="DejaVu Sans Mono" w:hAnsi="DejaVu Sans Mono"/>
          <w:b w:val="0"/>
          <w:i w:val="0"/>
          <w:sz w:val="17"/>
        </w:rPr>
        <w:t>wind_speed</w:t>
      </w:r>
      <w:r>
        <w:rPr>
          <w:b w:val="0"/>
          <w:i w:val="0"/>
        </w:rPr>
        <w:t xml:space="preserve"> 等于 </w:t>
      </w:r>
      <w:r>
        <w:rPr>
          <w:rFonts w:ascii="DejaVu Sans Mono" w:hAnsi="DejaVu Sans Mono"/>
          <w:b w:val="0"/>
          <w:i w:val="0"/>
          <w:sz w:val="17"/>
        </w:rPr>
        <w:t>u100</w:t>
      </w:r>
      <w:r>
        <w:rPr>
          <w:b w:val="0"/>
          <w:i w:val="0"/>
        </w:rPr>
        <w:t xml:space="preserve"> 的平方与 </w:t>
      </w:r>
      <w:r>
        <w:rPr>
          <w:rFonts w:ascii="DejaVu Sans Mono" w:hAnsi="DejaVu Sans Mono"/>
          <w:b w:val="0"/>
          <w:i w:val="0"/>
          <w:sz w:val="17"/>
        </w:rPr>
        <w:t>v100</w:t>
      </w:r>
      <w:r>
        <w:rPr>
          <w:b w:val="0"/>
          <w:i w:val="0"/>
        </w:rPr>
        <w:t xml:space="preserve"> 的平方之和的平方根。文件保留三个字段。</w:t>
      </w:r>
      <w:r>
        <w:rPr>
          <w:rFonts w:ascii="DejaVu Sans Mono" w:hAnsi="DejaVu Sans Mono"/>
          <w:b w:val="0"/>
          <w:i w:val="0"/>
          <w:sz w:val="17"/>
        </w:rPr>
        <w:t>hourly_unit_cf</w:t>
      </w:r>
      <w:r>
        <w:rPr>
          <w:b w:val="0"/>
          <w:i w:val="0"/>
        </w:rPr>
        <w:t xml:space="preserve"> 优先读取 </w:t>
      </w:r>
      <w:r>
        <w:rPr>
          <w:rFonts w:ascii="DejaVu Sans Mono" w:hAnsi="DejaVu Sans Mono"/>
          <w:b w:val="0"/>
          <w:i w:val="0"/>
          <w:sz w:val="17"/>
        </w:rPr>
        <w:t>wind_speed</w:t>
      </w:r>
      <w:r>
        <w:rPr>
          <w:b w:val="0"/>
          <w:i w:val="0"/>
        </w:rPr>
        <w:t xml:space="preserve">；输入只有 </w:t>
      </w:r>
      <w:r>
        <w:rPr>
          <w:rFonts w:ascii="DejaVu Sans Mono" w:hAnsi="DejaVu Sans Mono"/>
          <w:b w:val="0"/>
          <w:i w:val="0"/>
          <w:sz w:val="17"/>
        </w:rPr>
        <w:t>u100</w:t>
      </w:r>
      <w:r>
        <w:rPr>
          <w:b w:val="0"/>
          <w:i w:val="0"/>
        </w:rPr>
        <w:t xml:space="preserve"> 和 </w:t>
      </w:r>
      <w:r>
        <w:rPr>
          <w:rFonts w:ascii="DejaVu Sans Mono" w:hAnsi="DejaVu Sans Mono"/>
          <w:b w:val="0"/>
          <w:i w:val="0"/>
          <w:sz w:val="17"/>
        </w:rPr>
        <w:t>v100</w:t>
      </w:r>
      <w:r>
        <w:rPr>
          <w:b w:val="0"/>
          <w:i w:val="0"/>
        </w:rPr>
        <w:t xml:space="preserve"> 时，在输入时刻计算矢量模长。</w:t>
      </w:r>
    </w:p>
    <w:p>
      <w:r>
        <w:rPr>
          <w:b w:val="0"/>
          <w:i w:val="0"/>
        </w:rPr>
        <w:t xml:space="preserve">气候态保留英国及附近海域的 0.25° 网格。太阳文件以 </w:t>
      </w:r>
      <w:r>
        <w:rPr>
          <w:rFonts w:ascii="DejaVu Sans Mono" w:hAnsi="DejaVu Sans Mono"/>
          <w:b w:val="0"/>
          <w:i w:val="0"/>
          <w:sz w:val="17"/>
        </w:rPr>
        <w:t>ssrd</w:t>
      </w:r>
      <w:r>
        <w:rPr>
          <w:b w:val="0"/>
          <w:i w:val="0"/>
        </w:rPr>
        <w:t xml:space="preserve"> 表示向下太阳辐射，风文件提供 100 m 风信息；数组的空间与时间尺寸如下。</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2190"/>
        <w:gridCol w:w="2190"/>
        <w:gridCol w:w="3326"/>
      </w:tblGrid>
      <w:tr>
        <w:trPr>
          <w:cantSplit/>
          <w:tblHeader w:val="true"/>
        </w:trPr>
        <w:tc>
          <w:tcPr>
            <w:tcW w:type="dxa" w:w="2085"/>
            <w:vAlign w:val="center"/>
            <w:tcMar>
              <w:top w:w="90" w:type="dxa"/>
              <w:left w:w="90" w:type="dxa"/>
              <w:bottom w:w="90" w:type="dxa"/>
              <w:right w:w="90" w:type="dxa"/>
            </w:tcMar>
            <w:shd w:fill="EEEEEE"/>
          </w:tcPr>
          <w:p>
            <w:pPr>
              <w:spacing w:after="40" w:line="276" w:lineRule="auto"/>
            </w:pPr>
            <w:r>
              <w:rPr>
                <w:b/>
                <w:i w:val="0"/>
                <w:sz w:val="18"/>
              </w:rPr>
              <w:t>输入</w:t>
            </w:r>
          </w:p>
        </w:tc>
        <w:tc>
          <w:tcPr>
            <w:tcW w:type="dxa" w:w="2190"/>
            <w:vAlign w:val="center"/>
            <w:tcMar>
              <w:top w:w="90" w:type="dxa"/>
              <w:left w:w="90" w:type="dxa"/>
              <w:bottom w:w="90" w:type="dxa"/>
              <w:right w:w="90" w:type="dxa"/>
            </w:tcMar>
            <w:shd w:fill="EEEEEE"/>
          </w:tcPr>
          <w:p>
            <w:pPr>
              <w:spacing w:after="40" w:line="276" w:lineRule="auto"/>
            </w:pPr>
            <w:r>
              <w:rPr>
                <w:b/>
                <w:i w:val="0"/>
                <w:sz w:val="18"/>
              </w:rPr>
              <w:t>纬度范围</w:t>
            </w:r>
          </w:p>
        </w:tc>
        <w:tc>
          <w:tcPr>
            <w:tcW w:type="dxa" w:w="2190"/>
            <w:vAlign w:val="center"/>
            <w:tcMar>
              <w:top w:w="90" w:type="dxa"/>
              <w:left w:w="90" w:type="dxa"/>
              <w:bottom w:w="90" w:type="dxa"/>
              <w:right w:w="90" w:type="dxa"/>
            </w:tcMar>
            <w:shd w:fill="EEEEEE"/>
          </w:tcPr>
          <w:p>
            <w:pPr>
              <w:spacing w:after="40" w:line="276" w:lineRule="auto"/>
            </w:pPr>
            <w:r>
              <w:rPr>
                <w:b/>
                <w:i w:val="0"/>
                <w:sz w:val="18"/>
              </w:rPr>
              <w:t>经度范围</w:t>
            </w:r>
          </w:p>
        </w:tc>
        <w:tc>
          <w:tcPr>
            <w:tcW w:type="dxa" w:w="3326"/>
            <w:vAlign w:val="center"/>
            <w:tcMar>
              <w:top w:w="90" w:type="dxa"/>
              <w:left w:w="90" w:type="dxa"/>
              <w:bottom w:w="90" w:type="dxa"/>
              <w:right w:w="90" w:type="dxa"/>
            </w:tcMar>
            <w:shd w:fill="EEEEEE"/>
          </w:tcPr>
          <w:p>
            <w:pPr>
              <w:spacing w:after="40" w:line="276" w:lineRule="auto"/>
            </w:pPr>
            <w:r>
              <w:rPr>
                <w:b/>
                <w:i w:val="0"/>
                <w:sz w:val="18"/>
              </w:rPr>
              <w:t>纬度 × 经度 × 日 × 小时</w:t>
            </w:r>
          </w:p>
        </w:tc>
      </w:tr>
      <w:tr>
        <w:trPr>
          <w:cantSplit/>
        </w:trPr>
        <w:tc>
          <w:tcPr>
            <w:tcW w:type="dxa" w:w="2085"/>
            <w:vAlign w:val="center"/>
            <w:tcMar>
              <w:top w:w="90" w:type="dxa"/>
              <w:left w:w="90" w:type="dxa"/>
              <w:bottom w:w="90" w:type="dxa"/>
              <w:right w:w="90" w:type="dxa"/>
            </w:tcMar>
          </w:tcPr>
          <w:p>
            <w:pPr>
              <w:spacing w:after="40" w:line="276" w:lineRule="auto"/>
            </w:pPr>
            <w:r>
              <w:rPr>
                <w:b w:val="0"/>
                <w:i w:val="0"/>
                <w:sz w:val="18"/>
              </w:rPr>
              <w:t>太阳辐射</w:t>
            </w:r>
          </w:p>
        </w:tc>
        <w:tc>
          <w:tcPr>
            <w:tcW w:type="dxa" w:w="2190"/>
            <w:vAlign w:val="center"/>
            <w:tcMar>
              <w:top w:w="90" w:type="dxa"/>
              <w:left w:w="90" w:type="dxa"/>
              <w:bottom w:w="90" w:type="dxa"/>
              <w:right w:w="90" w:type="dxa"/>
            </w:tcMar>
          </w:tcPr>
          <w:p>
            <w:pPr>
              <w:spacing w:after="40" w:line="276" w:lineRule="auto"/>
            </w:pPr>
            <w:r>
              <w:rPr>
                <w:b w:val="0"/>
                <w:i w:val="0"/>
                <w:sz w:val="18"/>
              </w:rPr>
              <w:t>45°–65°N</w:t>
            </w:r>
          </w:p>
        </w:tc>
        <w:tc>
          <w:tcPr>
            <w:tcW w:type="dxa" w:w="2190"/>
            <w:vAlign w:val="center"/>
            <w:tcMar>
              <w:top w:w="90" w:type="dxa"/>
              <w:left w:w="90" w:type="dxa"/>
              <w:bottom w:w="90" w:type="dxa"/>
              <w:right w:w="90" w:type="dxa"/>
            </w:tcMar>
          </w:tcPr>
          <w:p>
            <w:pPr>
              <w:spacing w:after="40" w:line="276" w:lineRule="auto"/>
            </w:pPr>
            <w:r>
              <w:rPr>
                <w:b w:val="0"/>
                <w:i w:val="0"/>
                <w:sz w:val="18"/>
              </w:rPr>
              <w:t>14°W–4°E</w:t>
            </w:r>
          </w:p>
        </w:tc>
        <w:tc>
          <w:tcPr>
            <w:tcW w:type="dxa" w:w="3326"/>
            <w:vAlign w:val="center"/>
            <w:tcMar>
              <w:top w:w="90" w:type="dxa"/>
              <w:left w:w="90" w:type="dxa"/>
              <w:bottom w:w="90" w:type="dxa"/>
              <w:right w:w="90" w:type="dxa"/>
            </w:tcMar>
          </w:tcPr>
          <w:p>
            <w:pPr>
              <w:spacing w:after="40" w:line="276" w:lineRule="auto"/>
            </w:pPr>
            <w:r>
              <w:rPr>
                <w:b w:val="0"/>
                <w:i w:val="0"/>
                <w:sz w:val="18"/>
              </w:rPr>
              <w:t>81 × 73 × 365 × 24</w:t>
            </w:r>
          </w:p>
        </w:tc>
      </w:tr>
      <w:tr>
        <w:trPr>
          <w:cantSplit/>
        </w:trPr>
        <w:tc>
          <w:tcPr>
            <w:tcW w:type="dxa" w:w="2085"/>
            <w:vAlign w:val="center"/>
            <w:tcMar>
              <w:top w:w="90" w:type="dxa"/>
              <w:left w:w="90" w:type="dxa"/>
              <w:bottom w:w="90" w:type="dxa"/>
              <w:right w:w="90" w:type="dxa"/>
            </w:tcMar>
          </w:tcPr>
          <w:p>
            <w:pPr>
              <w:spacing w:after="40" w:line="276" w:lineRule="auto"/>
            </w:pPr>
            <w:r>
              <w:rPr>
                <w:b w:val="0"/>
                <w:i w:val="0"/>
                <w:sz w:val="18"/>
              </w:rPr>
              <w:t>100 m 风</w:t>
            </w:r>
          </w:p>
        </w:tc>
        <w:tc>
          <w:tcPr>
            <w:tcW w:type="dxa" w:w="2190"/>
            <w:vAlign w:val="center"/>
            <w:tcMar>
              <w:top w:w="90" w:type="dxa"/>
              <w:left w:w="90" w:type="dxa"/>
              <w:bottom w:w="90" w:type="dxa"/>
              <w:right w:w="90" w:type="dxa"/>
            </w:tcMar>
          </w:tcPr>
          <w:p>
            <w:pPr>
              <w:spacing w:after="40" w:line="276" w:lineRule="auto"/>
            </w:pPr>
            <w:r>
              <w:rPr>
                <w:b w:val="0"/>
                <w:i w:val="0"/>
                <w:sz w:val="18"/>
              </w:rPr>
              <w:t>46°–65°N</w:t>
            </w:r>
          </w:p>
        </w:tc>
        <w:tc>
          <w:tcPr>
            <w:tcW w:type="dxa" w:w="2190"/>
            <w:vAlign w:val="center"/>
            <w:tcMar>
              <w:top w:w="90" w:type="dxa"/>
              <w:left w:w="90" w:type="dxa"/>
              <w:bottom w:w="90" w:type="dxa"/>
              <w:right w:w="90" w:type="dxa"/>
            </w:tcMar>
          </w:tcPr>
          <w:p>
            <w:pPr>
              <w:spacing w:after="40" w:line="276" w:lineRule="auto"/>
            </w:pPr>
            <w:r>
              <w:rPr>
                <w:b w:val="0"/>
                <w:i w:val="0"/>
                <w:sz w:val="18"/>
              </w:rPr>
              <w:t>14°W–5°E</w:t>
            </w:r>
          </w:p>
        </w:tc>
        <w:tc>
          <w:tcPr>
            <w:tcW w:type="dxa" w:w="3326"/>
            <w:vAlign w:val="center"/>
            <w:tcMar>
              <w:top w:w="90" w:type="dxa"/>
              <w:left w:w="90" w:type="dxa"/>
              <w:bottom w:w="90" w:type="dxa"/>
              <w:right w:w="90" w:type="dxa"/>
            </w:tcMar>
          </w:tcPr>
          <w:p>
            <w:pPr>
              <w:spacing w:after="40" w:line="276" w:lineRule="auto"/>
            </w:pPr>
            <w:r>
              <w:rPr>
                <w:b w:val="0"/>
                <w:i w:val="0"/>
                <w:sz w:val="18"/>
              </w:rPr>
              <w:t>77 × 77 × 365 × 24</w:t>
            </w:r>
          </w:p>
        </w:tc>
      </w:tr>
    </w:tbl>
    <w:p>
      <w:pPr>
        <w:spacing w:after="20"/>
      </w:pPr>
    </w:p>
    <w:p>
      <w:pPr>
        <w:keepNext/>
      </w:pPr>
      <w:r>
        <w:rPr>
          <w:b w:val="0"/>
          <w:i w:val="0"/>
        </w:rPr>
        <w:t>每个代表点采用天气网格中最近的纬度和经度。</w:t>
      </w:r>
      <w:r>
        <w:rPr>
          <w:rFonts w:ascii="DejaVu Sans Mono" w:hAnsi="DejaVu Sans Mono"/>
          <w:b w:val="0"/>
          <w:i w:val="0"/>
          <w:sz w:val="17"/>
        </w:rPr>
        <w:t>point_series</w:t>
      </w:r>
      <w:r>
        <w:rPr>
          <w:b w:val="0"/>
          <w:i w:val="0"/>
        </w:rPr>
        <w:t xml:space="preserve"> 从坐标数组 </w:t>
      </w:r>
      <w:r>
        <w:rPr>
          <w:rFonts w:ascii="DejaVu Sans Mono" w:hAnsi="DejaVu Sans Mono"/>
          <w:b w:val="0"/>
          <w:i w:val="0"/>
          <w:sz w:val="17"/>
        </w:rPr>
        <w:t>lats</w:t>
      </w:r>
      <w:r>
        <w:rPr>
          <w:b w:val="0"/>
          <w:i w:val="0"/>
        </w:rPr>
        <w:t>、</w:t>
      </w:r>
      <w:r>
        <w:rPr>
          <w:rFonts w:ascii="DejaVu Sans Mono" w:hAnsi="DejaVu Sans Mono"/>
          <w:b w:val="0"/>
          <w:i w:val="0"/>
          <w:sz w:val="17"/>
        </w:rPr>
        <w:t>lons</w:t>
      </w:r>
      <w:r>
        <w:rPr>
          <w:b w:val="0"/>
          <w:i w:val="0"/>
        </w:rPr>
        <w:t xml:space="preserve"> 中选择 </w:t>
      </w:r>
      <w:r>
        <w:rPr>
          <w:rFonts w:ascii="DejaVu Sans Mono" w:hAnsi="DejaVu Sans Mono"/>
          <w:b w:val="0"/>
          <w:i w:val="0"/>
          <w:sz w:val="17"/>
        </w:rPr>
        <w:t>lat_index</w:t>
      </w:r>
      <w:r>
        <w:rPr>
          <w:b w:val="0"/>
          <w:i w:val="0"/>
        </w:rPr>
        <w:t>、</w:t>
      </w:r>
      <w:r>
        <w:rPr>
          <w:rFonts w:ascii="DejaVu Sans Mono" w:hAnsi="DejaVu Sans Mono"/>
          <w:b w:val="0"/>
          <w:i w:val="0"/>
          <w:sz w:val="17"/>
        </w:rPr>
        <w:t>lon_index</w:t>
      </w:r>
      <w:r>
        <w:rPr>
          <w:b w:val="0"/>
          <w:i w:val="0"/>
        </w:rPr>
        <w:t xml:space="preserve">，站点坐标 </w:t>
      </w:r>
      <w:r>
        <w:rPr>
          <w:rFonts w:ascii="DejaVu Sans Mono" w:hAnsi="DejaVu Sans Mono"/>
          <w:b w:val="0"/>
          <w:i w:val="0"/>
          <w:sz w:val="17"/>
        </w:rPr>
        <w:t>latitude</w:t>
      </w:r>
      <w:r>
        <w:rPr>
          <w:b w:val="0"/>
          <w:i w:val="0"/>
        </w:rPr>
        <w:t>、</w:t>
      </w:r>
      <w:r>
        <w:rPr>
          <w:rFonts w:ascii="DejaVu Sans Mono" w:hAnsi="DejaVu Sans Mono"/>
          <w:b w:val="0"/>
          <w:i w:val="0"/>
          <w:sz w:val="17"/>
        </w:rPr>
        <w:t>longitude</w:t>
      </w:r>
      <w:r>
        <w:rPr>
          <w:b w:val="0"/>
          <w:i w:val="0"/>
        </w:rPr>
        <w:t xml:space="preserve"> 以度表示：</w:t>
      </w:r>
    </w:p>
    <w:p>
      <w:pPr>
        <w:spacing w:after="160"/>
        <w:jc w:val="center"/>
      </w:pPr>
      <w:r>
        <w:drawing>
          <wp:inline xmlns:a="http://schemas.openxmlformats.org/drawingml/2006/main" xmlns:pic="http://schemas.openxmlformats.org/drawingml/2006/picture">
            <wp:extent cx="3346170" cy="665120"/>
            <wp:docPr id="12" name="Picture 12"/>
            <wp:cNvGraphicFramePr>
              <a:graphicFrameLocks noChangeAspect="1"/>
            </wp:cNvGraphicFramePr>
            <a:graphic>
              <a:graphicData uri="http://schemas.openxmlformats.org/drawingml/2006/picture">
                <pic:pic>
                  <pic:nvPicPr>
                    <pic:cNvPr id="0" name="eq-012.png"/>
                    <pic:cNvPicPr/>
                  </pic:nvPicPr>
                  <pic:blipFill>
                    <a:blip r:embed="rId22"/>
                    <a:stretch>
                      <a:fillRect/>
                    </a:stretch>
                  </pic:blipFill>
                  <pic:spPr>
                    <a:xfrm>
                      <a:off x="0" y="0"/>
                      <a:ext cx="3346170" cy="665120"/>
                    </a:xfrm>
                    <a:prstGeom prst="rect"/>
                  </pic:spPr>
                </pic:pic>
              </a:graphicData>
            </a:graphic>
          </wp:inline>
        </w:drawing>
      </w:r>
    </w:p>
    <w:p>
      <w:pPr>
        <w:keepNext/>
      </w:pPr>
      <w:r>
        <w:rPr>
          <w:rFonts w:ascii="DejaVu Sans Mono" w:hAnsi="DejaVu Sans Mono"/>
          <w:b w:val="0"/>
          <w:i w:val="0"/>
          <w:sz w:val="17"/>
        </w:rPr>
        <w:t>point_series</w:t>
      </w:r>
      <w:r>
        <w:rPr>
          <w:b w:val="0"/>
          <w:i w:val="0"/>
        </w:rPr>
        <w:t xml:space="preserve"> 接受“纬度—经度—日—小时”和“时间—纬度—经度”数组，将选定格点展平为小时序列。修正口径读取 </w:t>
      </w:r>
      <w:r>
        <w:rPr>
          <w:rFonts w:ascii="DejaVu Sans Mono" w:hAnsi="DejaVu Sans Mono"/>
          <w:b w:val="0"/>
          <w:i w:val="0"/>
          <w:sz w:val="17"/>
        </w:rPr>
        <w:t>time_convention</w:t>
      </w:r>
      <w:r>
        <w:rPr>
          <w:b w:val="0"/>
          <w:i w:val="0"/>
        </w:rPr>
        <w:t xml:space="preserve">；标记为 </w:t>
      </w:r>
      <w:r>
        <w:rPr>
          <w:rFonts w:ascii="DejaVu Sans Mono" w:hAnsi="DejaVu Sans Mono"/>
          <w:b w:val="0"/>
          <w:i w:val="0"/>
          <w:sz w:val="17"/>
        </w:rPr>
        <w:t>GRIB_stepType=accum</w:t>
      </w:r>
      <w:r>
        <w:rPr>
          <w:b w:val="0"/>
          <w:i w:val="0"/>
        </w:rPr>
        <w:t xml:space="preserve"> 的场采用小时区间末累计值，缺少两项声明的场采用瞬时值约定。</w:t>
      </w:r>
      <w:r>
        <w:rPr>
          <w:rFonts w:ascii="DejaVu Sans Mono" w:hAnsi="DejaVu Sans Mono"/>
          <w:b w:val="0"/>
          <w:i w:val="0"/>
          <w:sz w:val="17"/>
        </w:rPr>
        <w:t>hour_index</w:t>
      </w:r>
      <w:r>
        <w:rPr>
          <w:b w:val="0"/>
          <w:i w:val="0"/>
        </w:rPr>
        <w:t xml:space="preserve"> 按从零开始的半小时编号 </w:t>
      </w:r>
      <w:r>
        <w:rPr>
          <w:rFonts w:ascii="DejaVu Sans Mono" w:hAnsi="DejaVu Sans Mono"/>
          <w:b w:val="0"/>
          <w:i w:val="0"/>
          <w:sz w:val="17"/>
        </w:rPr>
        <w:t>t</w:t>
      </w:r>
      <w:r>
        <w:rPr>
          <w:b w:val="0"/>
          <w:i w:val="0"/>
        </w:rPr>
        <w:t xml:space="preserve"> 和源小时数 </w:t>
      </w:r>
      <w:r>
        <w:rPr>
          <w:rFonts w:ascii="DejaVu Sans Mono" w:hAnsi="DejaVu Sans Mono"/>
          <w:b w:val="0"/>
          <w:i w:val="0"/>
          <w:sz w:val="17"/>
        </w:rPr>
        <w:t>hours</w:t>
      </w:r>
      <w:r>
        <w:rPr>
          <w:b w:val="0"/>
          <w:i w:val="0"/>
        </w:rPr>
        <w:t xml:space="preserve"> 生成 </w:t>
      </w:r>
      <w:r>
        <w:rPr>
          <w:rFonts w:ascii="DejaVu Sans Mono" w:hAnsi="DejaVu Sans Mono"/>
          <w:b w:val="0"/>
          <w:i w:val="0"/>
          <w:sz w:val="17"/>
        </w:rPr>
        <w:t>index</w:t>
      </w:r>
      <w:r>
        <w:rPr>
          <w:b w:val="0"/>
          <w:i w:val="0"/>
        </w:rPr>
        <w:t>：</w:t>
      </w:r>
    </w:p>
    <w:p>
      <w:pPr>
        <w:spacing w:after="160"/>
        <w:jc w:val="center"/>
      </w:pPr>
      <w:r>
        <w:drawing>
          <wp:inline xmlns:a="http://schemas.openxmlformats.org/drawingml/2006/main" xmlns:pic="http://schemas.openxmlformats.org/drawingml/2006/picture">
            <wp:extent cx="4947894" cy="413849"/>
            <wp:docPr id="13" name="Picture 13"/>
            <wp:cNvGraphicFramePr>
              <a:graphicFrameLocks noChangeAspect="1"/>
            </wp:cNvGraphicFramePr>
            <a:graphic>
              <a:graphicData uri="http://schemas.openxmlformats.org/drawingml/2006/picture">
                <pic:pic>
                  <pic:nvPicPr>
                    <pic:cNvPr id="0" name="eq-013.png"/>
                    <pic:cNvPicPr/>
                  </pic:nvPicPr>
                  <pic:blipFill>
                    <a:blip r:embed="rId23"/>
                    <a:stretch>
                      <a:fillRect/>
                    </a:stretch>
                  </pic:blipFill>
                  <pic:spPr>
                    <a:xfrm>
                      <a:off x="0" y="0"/>
                      <a:ext cx="4947894" cy="413849"/>
                    </a:xfrm>
                    <a:prstGeom prst="rect"/>
                  </pic:spPr>
                </pic:pic>
              </a:graphicData>
            </a:graphic>
          </wp:inline>
        </w:drawing>
      </w:r>
    </w:p>
    <w:p>
      <w:r>
        <w:rPr>
          <w:b w:val="0"/>
          <w:i w:val="0"/>
        </w:rPr>
        <w:t>累计值约定将截至 01:00 的小时辐射量赋给始于 00:00 和 00:30 的两个时段，太阳几何位置按接收时段的中点计算。瞬时值约定将 00:00 的样本赋给 00:00 时段，将 01:00 的样本赋给 00:30 和 01:00 时段。</w:t>
      </w:r>
    </w:p>
    <w:p>
      <w:r>
        <w:rPr>
          <w:b w:val="0"/>
          <w:i w:val="0"/>
        </w:rPr>
        <w:t xml:space="preserve">论文复现口径采用 </w:t>
      </w:r>
      <w:r>
        <w:rPr>
          <w:rFonts w:ascii="DejaVu Sans Mono" w:hAnsi="DejaVu Sans Mono"/>
          <w:b w:val="0"/>
          <w:i w:val="0"/>
          <w:sz w:val="17"/>
        </w:rPr>
        <w:t>index = (t // 2) % hours</w:t>
      </w:r>
      <w:r>
        <w:rPr>
          <w:b w:val="0"/>
          <w:i w:val="0"/>
        </w:rPr>
        <w:t>，每个源小时值连续用于两个半小时。原始 GBP1 天气按年内日序号形成 366 日、8,784 小时序列，使用其中前 8,760 小时。R029 的 8,760 小时日历气候态在当前元数据中采用瞬时值约定。实验性 R029 调度路径保留逐小时重复时钟及原始发电曲线。</w:t>
      </w:r>
    </w:p>
    <w:p>
      <w:pPr>
        <w:pStyle w:val="Heading2"/>
      </w:pPr>
      <w:r>
        <w:rPr>
          <w:b w:val="0"/>
          <w:i w:val="0"/>
        </w:rPr>
        <w:t>风电转换与损失</w:t>
      </w:r>
    </w:p>
    <w:p>
      <w:pPr>
        <w:keepNext/>
      </w:pPr>
      <w:r>
        <w:rPr>
          <w:b w:val="0"/>
          <w:i w:val="0"/>
        </w:rPr>
        <w:t>风电可用系数采用切入、立方增长、额定和切出四段关系。</w:t>
      </w:r>
      <w:r>
        <w:rPr>
          <w:rFonts w:ascii="DejaVu Sans Mono" w:hAnsi="DejaVu Sans Mono"/>
          <w:b w:val="0"/>
          <w:i w:val="0"/>
          <w:sz w:val="17"/>
        </w:rPr>
        <w:t>wind_unit_output</w:t>
      </w:r>
      <w:r>
        <w:rPr>
          <w:b w:val="0"/>
          <w:i w:val="0"/>
        </w:rPr>
        <w:t xml:space="preserve"> 用 20 单位标度表达功率曲线，</w:t>
      </w:r>
      <w:r>
        <w:rPr>
          <w:rFonts w:ascii="DejaVu Sans Mono" w:hAnsi="DejaVu Sans Mono"/>
          <w:b w:val="0"/>
          <w:i w:val="0"/>
          <w:sz w:val="17"/>
        </w:rPr>
        <w:t>hourly_unit_cf</w:t>
      </w:r>
      <w:r>
        <w:rPr>
          <w:b w:val="0"/>
          <w:i w:val="0"/>
        </w:rPr>
        <w:t xml:space="preserve"> 将结果除以 20，得到无量纲小时系数 </w:t>
      </w:r>
      <w:r>
        <w:rPr>
          <w:rFonts w:ascii="DejaVu Sans Mono" w:hAnsi="DejaVu Sans Mono"/>
          <w:b w:val="0"/>
          <w:i w:val="0"/>
          <w:sz w:val="17"/>
        </w:rPr>
        <w:t>hourly</w:t>
      </w:r>
      <w:r>
        <w:rPr>
          <w:b w:val="0"/>
          <w:i w:val="0"/>
        </w:rPr>
        <w:t xml:space="preserve">。风速 </w:t>
      </w:r>
      <w:r>
        <w:rPr>
          <w:rFonts w:ascii="DejaVu Sans Mono" w:hAnsi="DejaVu Sans Mono"/>
          <w:b w:val="0"/>
          <w:i w:val="0"/>
          <w:sz w:val="17"/>
        </w:rPr>
        <w:t>speed</w:t>
      </w:r>
      <w:r>
        <w:rPr>
          <w:b w:val="0"/>
          <w:i w:val="0"/>
        </w:rPr>
        <w:t xml:space="preserve">、额定风速 </w:t>
      </w:r>
      <w:r>
        <w:rPr>
          <w:rFonts w:ascii="DejaVu Sans Mono" w:hAnsi="DejaVu Sans Mono"/>
          <w:b w:val="0"/>
          <w:i w:val="0"/>
          <w:sz w:val="17"/>
        </w:rPr>
        <w:t>rated</w:t>
      </w:r>
      <w:r>
        <w:rPr>
          <w:b w:val="0"/>
          <w:i w:val="0"/>
        </w:rPr>
        <w:t xml:space="preserve"> 和切出风速 </w:t>
      </w:r>
      <w:r>
        <w:rPr>
          <w:rFonts w:ascii="DejaVu Sans Mono" w:hAnsi="DejaVu Sans Mono"/>
          <w:b w:val="0"/>
          <w:i w:val="0"/>
          <w:sz w:val="17"/>
        </w:rPr>
        <w:t>cut_out</w:t>
      </w:r>
      <w:r>
        <w:rPr>
          <w:b w:val="0"/>
          <w:i w:val="0"/>
        </w:rPr>
        <w:t xml:space="preserve"> 均以 m/s 表示：</w:t>
      </w:r>
    </w:p>
    <w:p>
      <w:pPr>
        <w:spacing w:after="160"/>
        <w:jc w:val="center"/>
      </w:pPr>
      <w:r>
        <w:drawing>
          <wp:inline xmlns:a="http://schemas.openxmlformats.org/drawingml/2006/main" xmlns:pic="http://schemas.openxmlformats.org/drawingml/2006/picture">
            <wp:extent cx="6170066" cy="820694"/>
            <wp:docPr id="14" name="Picture 14"/>
            <wp:cNvGraphicFramePr>
              <a:graphicFrameLocks noChangeAspect="1"/>
            </wp:cNvGraphicFramePr>
            <a:graphic>
              <a:graphicData uri="http://schemas.openxmlformats.org/drawingml/2006/picture">
                <pic:pic>
                  <pic:nvPicPr>
                    <pic:cNvPr id="0" name="eq-014.png"/>
                    <pic:cNvPicPr/>
                  </pic:nvPicPr>
                  <pic:blipFill>
                    <a:blip r:embed="rId24"/>
                    <a:stretch>
                      <a:fillRect/>
                    </a:stretch>
                  </pic:blipFill>
                  <pic:spPr>
                    <a:xfrm>
                      <a:off x="0" y="0"/>
                      <a:ext cx="6170066" cy="820694"/>
                    </a:xfrm>
                    <a:prstGeom prst="rect"/>
                  </pic:spPr>
                </pic:pic>
              </a:graphicData>
            </a:graphic>
          </wp:inline>
        </w:drawing>
      </w:r>
    </w:p>
    <w:p>
      <w:r>
        <w:rPr>
          <w:b w:val="0"/>
          <w:i w:val="0"/>
        </w:rPr>
        <w:t xml:space="preserve">陆风采用 </w:t>
      </w:r>
      <w:r>
        <w:rPr>
          <w:rFonts w:ascii="DejaVu Sans Mono" w:hAnsi="DejaVu Sans Mono"/>
          <w:b w:val="0"/>
          <w:i w:val="0"/>
          <w:sz w:val="17"/>
        </w:rPr>
        <w:t>rated = 9.7</w:t>
      </w:r>
      <w:r>
        <w:rPr>
          <w:b w:val="0"/>
          <w:i w:val="0"/>
        </w:rPr>
        <w:t>、</w:t>
      </w:r>
      <w:r>
        <w:rPr>
          <w:rFonts w:ascii="DejaVu Sans Mono" w:hAnsi="DejaVu Sans Mono"/>
          <w:b w:val="0"/>
          <w:i w:val="0"/>
          <w:sz w:val="17"/>
        </w:rPr>
        <w:t>cut_out = 25</w:t>
      </w:r>
      <w:r>
        <w:rPr>
          <w:b w:val="0"/>
          <w:i w:val="0"/>
        </w:rPr>
        <w:t xml:space="preserve">，海风采用 </w:t>
      </w:r>
      <w:r>
        <w:rPr>
          <w:rFonts w:ascii="DejaVu Sans Mono" w:hAnsi="DejaVu Sans Mono"/>
          <w:b w:val="0"/>
          <w:i w:val="0"/>
          <w:sz w:val="17"/>
        </w:rPr>
        <w:t>rated = 10.5</w:t>
      </w:r>
      <w:r>
        <w:rPr>
          <w:b w:val="0"/>
          <w:i w:val="0"/>
        </w:rPr>
        <w:t>、</w:t>
      </w:r>
      <w:r>
        <w:rPr>
          <w:rFonts w:ascii="DejaVu Sans Mono" w:hAnsi="DejaVu Sans Mono"/>
          <w:b w:val="0"/>
          <w:i w:val="0"/>
          <w:sz w:val="17"/>
        </w:rPr>
        <w:t>cut_out = 30</w:t>
      </w:r>
      <w:r>
        <w:rPr>
          <w:b w:val="0"/>
          <w:i w:val="0"/>
        </w:rPr>
        <w:t xml:space="preserve">。修正口径将 </w:t>
      </w:r>
      <w:r>
        <w:rPr>
          <w:rFonts w:ascii="DejaVu Sans Mono" w:hAnsi="DejaVu Sans Mono"/>
          <w:b w:val="0"/>
          <w:i w:val="0"/>
          <w:sz w:val="17"/>
        </w:rPr>
        <w:t>hourly[index]</w:t>
      </w:r>
      <w:r>
        <w:rPr>
          <w:b w:val="0"/>
          <w:i w:val="0"/>
        </w:rPr>
        <w:t xml:space="preserve"> 乘以 </w:t>
      </w:r>
      <w:r>
        <w:rPr>
          <w:rFonts w:ascii="DejaVu Sans Mono" w:hAnsi="DejaVu Sans Mono"/>
          <w:b w:val="0"/>
          <w:i w:val="0"/>
          <w:sz w:val="17"/>
        </w:rPr>
        <w:t>multiplier</w:t>
      </w:r>
      <w:r>
        <w:rPr>
          <w:b w:val="0"/>
          <w:i w:val="0"/>
        </w:rPr>
        <w:t xml:space="preserve">，其数值为 </w:t>
      </w:r>
      <w:r>
        <w:rPr>
          <w:rFonts w:ascii="DejaVu Sans Mono" w:hAnsi="DejaVu Sans Mono"/>
          <w:b w:val="0"/>
          <w:i w:val="0"/>
          <w:sz w:val="17"/>
        </w:rPr>
        <w:t>value_​uk_​vre_​loss_​factors_​v1.json</w:t>
      </w:r>
      <w:r>
        <w:rPr>
          <w:b w:val="0"/>
          <w:i w:val="0"/>
        </w:rPr>
        <w:t xml:space="preserve"> 中尾流、能量可用率和电气系数的乘积。</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21"/>
        <w:gridCol w:w="1821"/>
        <w:gridCol w:w="2267"/>
        <w:gridCol w:w="1821"/>
        <w:gridCol w:w="2061"/>
      </w:tblGrid>
      <w:tr>
        <w:trPr>
          <w:cantSplit/>
          <w:tblHeader w:val="true"/>
        </w:trPr>
        <w:tc>
          <w:tcPr>
            <w:tcW w:type="dxa" w:w="1821"/>
            <w:vAlign w:val="center"/>
            <w:tcMar>
              <w:top w:w="90" w:type="dxa"/>
              <w:left w:w="90" w:type="dxa"/>
              <w:bottom w:w="90" w:type="dxa"/>
              <w:right w:w="90" w:type="dxa"/>
            </w:tcMar>
            <w:shd w:fill="EEEEEE"/>
          </w:tcPr>
          <w:p>
            <w:pPr>
              <w:spacing w:after="40" w:line="276" w:lineRule="auto"/>
            </w:pPr>
            <w:r>
              <w:rPr>
                <w:b/>
                <w:i w:val="0"/>
                <w:sz w:val="18"/>
              </w:rPr>
              <w:t>技术</w:t>
            </w:r>
          </w:p>
        </w:tc>
        <w:tc>
          <w:tcPr>
            <w:tcW w:type="dxa" w:w="1821"/>
            <w:vAlign w:val="center"/>
            <w:tcMar>
              <w:top w:w="90" w:type="dxa"/>
              <w:left w:w="90" w:type="dxa"/>
              <w:bottom w:w="90" w:type="dxa"/>
              <w:right w:w="90" w:type="dxa"/>
            </w:tcMar>
            <w:shd w:fill="EEEEEE"/>
          </w:tcPr>
          <w:p>
            <w:pPr>
              <w:spacing w:after="40" w:line="276" w:lineRule="auto"/>
            </w:pPr>
            <w:r>
              <w:rPr>
                <w:b/>
                <w:i w:val="0"/>
                <w:sz w:val="18"/>
              </w:rPr>
              <w:t>尾流系数</w:t>
            </w:r>
          </w:p>
        </w:tc>
        <w:tc>
          <w:tcPr>
            <w:tcW w:type="dxa" w:w="2267"/>
            <w:vAlign w:val="center"/>
            <w:tcMar>
              <w:top w:w="90" w:type="dxa"/>
              <w:left w:w="90" w:type="dxa"/>
              <w:bottom w:w="90" w:type="dxa"/>
              <w:right w:w="90" w:type="dxa"/>
            </w:tcMar>
            <w:shd w:fill="EEEEEE"/>
          </w:tcPr>
          <w:p>
            <w:pPr>
              <w:spacing w:after="40" w:line="276" w:lineRule="auto"/>
            </w:pPr>
            <w:r>
              <w:rPr>
                <w:b/>
                <w:i w:val="0"/>
                <w:sz w:val="18"/>
              </w:rPr>
              <w:t>能量可用率系数</w:t>
            </w:r>
          </w:p>
        </w:tc>
        <w:tc>
          <w:tcPr>
            <w:tcW w:type="dxa" w:w="1821"/>
            <w:vAlign w:val="center"/>
            <w:tcMar>
              <w:top w:w="90" w:type="dxa"/>
              <w:left w:w="90" w:type="dxa"/>
              <w:bottom w:w="90" w:type="dxa"/>
              <w:right w:w="90" w:type="dxa"/>
            </w:tcMar>
            <w:shd w:fill="EEEEEE"/>
          </w:tcPr>
          <w:p>
            <w:pPr>
              <w:spacing w:after="40" w:line="276" w:lineRule="auto"/>
            </w:pPr>
            <w:r>
              <w:rPr>
                <w:b/>
                <w:i w:val="0"/>
                <w:sz w:val="18"/>
              </w:rPr>
              <w:t>电气系数</w:t>
            </w:r>
          </w:p>
        </w:tc>
        <w:tc>
          <w:tcPr>
            <w:tcW w:type="dxa" w:w="2061"/>
            <w:vAlign w:val="center"/>
            <w:tcMar>
              <w:top w:w="90" w:type="dxa"/>
              <w:left w:w="90" w:type="dxa"/>
              <w:bottom w:w="90" w:type="dxa"/>
              <w:right w:w="90" w:type="dxa"/>
            </w:tcMar>
            <w:shd w:fill="EEEEEE"/>
          </w:tcPr>
          <w:p>
            <w:pPr>
              <w:spacing w:after="40" w:line="276" w:lineRule="auto"/>
            </w:pPr>
            <w:r>
              <w:rPr>
                <w:rFonts w:ascii="DejaVu Sans Mono" w:hAnsi="DejaVu Sans Mono"/>
                <w:b/>
                <w:i w:val="0"/>
                <w:sz w:val="18"/>
              </w:rPr>
              <w:t>multiplier</w:t>
            </w:r>
          </w:p>
        </w:tc>
      </w:tr>
      <w:tr>
        <w:trPr>
          <w:cantSplit/>
        </w:trPr>
        <w:tc>
          <w:tcPr>
            <w:tcW w:type="dxa" w:w="1821"/>
            <w:vAlign w:val="center"/>
            <w:tcMar>
              <w:top w:w="90" w:type="dxa"/>
              <w:left w:w="90" w:type="dxa"/>
              <w:bottom w:w="90" w:type="dxa"/>
              <w:right w:w="90" w:type="dxa"/>
            </w:tcMar>
          </w:tcPr>
          <w:p>
            <w:pPr>
              <w:spacing w:after="40" w:line="276" w:lineRule="auto"/>
            </w:pPr>
            <w:r>
              <w:rPr>
                <w:b w:val="0"/>
                <w:i w:val="0"/>
                <w:sz w:val="18"/>
              </w:rPr>
              <w:t>陆上风电</w:t>
            </w:r>
          </w:p>
        </w:tc>
        <w:tc>
          <w:tcPr>
            <w:tcW w:type="dxa" w:w="1821"/>
            <w:vAlign w:val="center"/>
            <w:tcMar>
              <w:top w:w="90" w:type="dxa"/>
              <w:left w:w="90" w:type="dxa"/>
              <w:bottom w:w="90" w:type="dxa"/>
              <w:right w:w="90" w:type="dxa"/>
            </w:tcMar>
          </w:tcPr>
          <w:p>
            <w:pPr>
              <w:spacing w:after="40" w:line="276" w:lineRule="auto"/>
            </w:pPr>
            <w:r>
              <w:rPr>
                <w:b w:val="0"/>
                <w:i w:val="0"/>
                <w:sz w:val="18"/>
              </w:rPr>
              <w:t>0.95</w:t>
            </w:r>
          </w:p>
        </w:tc>
        <w:tc>
          <w:tcPr>
            <w:tcW w:type="dxa" w:w="2267"/>
            <w:vAlign w:val="center"/>
            <w:tcMar>
              <w:top w:w="90" w:type="dxa"/>
              <w:left w:w="90" w:type="dxa"/>
              <w:bottom w:w="90" w:type="dxa"/>
              <w:right w:w="90" w:type="dxa"/>
            </w:tcMar>
          </w:tcPr>
          <w:p>
            <w:pPr>
              <w:spacing w:after="40" w:line="276" w:lineRule="auto"/>
            </w:pPr>
            <w:r>
              <w:rPr>
                <w:b w:val="0"/>
                <w:i w:val="0"/>
                <w:sz w:val="18"/>
              </w:rPr>
              <w:t>0.97</w:t>
            </w:r>
          </w:p>
        </w:tc>
        <w:tc>
          <w:tcPr>
            <w:tcW w:type="dxa" w:w="1821"/>
            <w:vAlign w:val="center"/>
            <w:tcMar>
              <w:top w:w="90" w:type="dxa"/>
              <w:left w:w="90" w:type="dxa"/>
              <w:bottom w:w="90" w:type="dxa"/>
              <w:right w:w="90" w:type="dxa"/>
            </w:tcMar>
          </w:tcPr>
          <w:p>
            <w:pPr>
              <w:spacing w:after="40" w:line="276" w:lineRule="auto"/>
            </w:pPr>
            <w:r>
              <w:rPr>
                <w:b w:val="0"/>
                <w:i w:val="0"/>
                <w:sz w:val="18"/>
              </w:rPr>
              <w:t>0.98</w:t>
            </w:r>
          </w:p>
        </w:tc>
        <w:tc>
          <w:tcPr>
            <w:tcW w:type="dxa" w:w="2061"/>
            <w:vAlign w:val="center"/>
            <w:tcMar>
              <w:top w:w="90" w:type="dxa"/>
              <w:left w:w="90" w:type="dxa"/>
              <w:bottom w:w="90" w:type="dxa"/>
              <w:right w:w="90" w:type="dxa"/>
            </w:tcMar>
          </w:tcPr>
          <w:p>
            <w:pPr>
              <w:spacing w:after="40" w:line="276" w:lineRule="auto"/>
            </w:pPr>
            <w:r>
              <w:rPr>
                <w:b w:val="0"/>
                <w:i w:val="0"/>
                <w:sz w:val="18"/>
              </w:rPr>
              <w:t>0.90307</w:t>
            </w:r>
          </w:p>
        </w:tc>
      </w:tr>
      <w:tr>
        <w:trPr>
          <w:cantSplit/>
        </w:trPr>
        <w:tc>
          <w:tcPr>
            <w:tcW w:type="dxa" w:w="1821"/>
            <w:vAlign w:val="center"/>
            <w:tcMar>
              <w:top w:w="90" w:type="dxa"/>
              <w:left w:w="90" w:type="dxa"/>
              <w:bottom w:w="90" w:type="dxa"/>
              <w:right w:w="90" w:type="dxa"/>
            </w:tcMar>
          </w:tcPr>
          <w:p>
            <w:pPr>
              <w:spacing w:after="40" w:line="276" w:lineRule="auto"/>
            </w:pPr>
            <w:r>
              <w:rPr>
                <w:b w:val="0"/>
                <w:i w:val="0"/>
                <w:sz w:val="18"/>
              </w:rPr>
              <w:t>海上风电</w:t>
            </w:r>
          </w:p>
        </w:tc>
        <w:tc>
          <w:tcPr>
            <w:tcW w:type="dxa" w:w="1821"/>
            <w:vAlign w:val="center"/>
            <w:tcMar>
              <w:top w:w="90" w:type="dxa"/>
              <w:left w:w="90" w:type="dxa"/>
              <w:bottom w:w="90" w:type="dxa"/>
              <w:right w:w="90" w:type="dxa"/>
            </w:tcMar>
          </w:tcPr>
          <w:p>
            <w:pPr>
              <w:spacing w:after="40" w:line="276" w:lineRule="auto"/>
            </w:pPr>
            <w:r>
              <w:rPr>
                <w:b w:val="0"/>
                <w:i w:val="0"/>
                <w:sz w:val="18"/>
              </w:rPr>
              <w:t>0.88</w:t>
            </w:r>
          </w:p>
        </w:tc>
        <w:tc>
          <w:tcPr>
            <w:tcW w:type="dxa" w:w="2267"/>
            <w:vAlign w:val="center"/>
            <w:tcMar>
              <w:top w:w="90" w:type="dxa"/>
              <w:left w:w="90" w:type="dxa"/>
              <w:bottom w:w="90" w:type="dxa"/>
              <w:right w:w="90" w:type="dxa"/>
            </w:tcMar>
          </w:tcPr>
          <w:p>
            <w:pPr>
              <w:spacing w:after="40" w:line="276" w:lineRule="auto"/>
            </w:pPr>
            <w:r>
              <w:rPr>
                <w:b w:val="0"/>
                <w:i w:val="0"/>
                <w:sz w:val="18"/>
              </w:rPr>
              <w:t>0.945</w:t>
            </w:r>
          </w:p>
        </w:tc>
        <w:tc>
          <w:tcPr>
            <w:tcW w:type="dxa" w:w="1821"/>
            <w:vAlign w:val="center"/>
            <w:tcMar>
              <w:top w:w="90" w:type="dxa"/>
              <w:left w:w="90" w:type="dxa"/>
              <w:bottom w:w="90" w:type="dxa"/>
              <w:right w:w="90" w:type="dxa"/>
            </w:tcMar>
          </w:tcPr>
          <w:p>
            <w:pPr>
              <w:spacing w:after="40" w:line="276" w:lineRule="auto"/>
            </w:pPr>
            <w:r>
              <w:rPr>
                <w:b w:val="0"/>
                <w:i w:val="0"/>
                <w:sz w:val="18"/>
              </w:rPr>
              <w:t>0.98</w:t>
            </w:r>
          </w:p>
        </w:tc>
        <w:tc>
          <w:tcPr>
            <w:tcW w:type="dxa" w:w="2061"/>
            <w:vAlign w:val="center"/>
            <w:tcMar>
              <w:top w:w="90" w:type="dxa"/>
              <w:left w:w="90" w:type="dxa"/>
              <w:bottom w:w="90" w:type="dxa"/>
              <w:right w:w="90" w:type="dxa"/>
            </w:tcMar>
          </w:tcPr>
          <w:p>
            <w:pPr>
              <w:spacing w:after="40" w:line="276" w:lineRule="auto"/>
            </w:pPr>
            <w:r>
              <w:rPr>
                <w:b w:val="0"/>
                <w:i w:val="0"/>
                <w:sz w:val="18"/>
              </w:rPr>
              <w:t>0.814968</w:t>
            </w:r>
          </w:p>
        </w:tc>
      </w:tr>
    </w:tbl>
    <w:p>
      <w:pPr>
        <w:spacing w:after="20"/>
      </w:pPr>
    </w:p>
    <w:p>
      <w:r>
        <w:rPr>
          <w:b w:val="0"/>
          <w:i w:val="0"/>
        </w:rPr>
        <w:t>风速为 8 m/s 时，陆风原始系数为 0.5476061707，修正后约为 0.49453，因此 100 MW 资产的可用功率约为 49.453 MW。论文复现口径采用原始曲线，损失乘数为 1；独立的 R029 实验路径也保留原始曲线。</w:t>
      </w:r>
    </w:p>
    <w:p>
      <w:pPr>
        <w:pStyle w:val="Heading2"/>
      </w:pPr>
      <w:r>
        <w:rPr>
          <w:b w:val="0"/>
          <w:i w:val="0"/>
        </w:rPr>
        <w:t>太阳辐射与阵列平面转换</w:t>
      </w:r>
    </w:p>
    <w:p>
      <w:pPr>
        <w:keepNext/>
      </w:pPr>
      <w:r>
        <w:rPr>
          <w:b w:val="0"/>
          <w:i w:val="0"/>
        </w:rPr>
        <w:t>修正口径将 ERA5 水平累计辐射转换为朝南倾斜面的辐照度，再应用 0.83 的性能比和 1 的出力系数上限。</w:t>
      </w:r>
      <w:r>
        <w:rPr>
          <w:rFonts w:ascii="DejaVu Sans Mono" w:hAnsi="DejaVu Sans Mono"/>
          <w:b w:val="0"/>
          <w:i w:val="0"/>
          <w:sz w:val="17"/>
        </w:rPr>
        <w:t>hourly_unit_cf</w:t>
      </w:r>
      <w:r>
        <w:rPr>
          <w:b w:val="0"/>
          <w:i w:val="0"/>
        </w:rPr>
        <w:t xml:space="preserve"> 将 </w:t>
      </w:r>
      <w:r>
        <w:rPr>
          <w:rFonts w:ascii="DejaVu Sans Mono" w:hAnsi="DejaVu Sans Mono"/>
          <w:b w:val="0"/>
          <w:i w:val="0"/>
          <w:sz w:val="17"/>
        </w:rPr>
        <w:t>ssrd</w:t>
      </w:r>
      <w:r>
        <w:rPr>
          <w:b w:val="0"/>
          <w:i w:val="0"/>
        </w:rPr>
        <w:t xml:space="preserve"> 读入 </w:t>
      </w:r>
      <w:r>
        <w:rPr>
          <w:rFonts w:ascii="DejaVu Sans Mono" w:hAnsi="DejaVu Sans Mono"/>
          <w:b w:val="0"/>
          <w:i w:val="0"/>
          <w:sz w:val="17"/>
        </w:rPr>
        <w:t>raw</w:t>
      </w:r>
      <w:r>
        <w:rPr>
          <w:b w:val="0"/>
          <w:i w:val="0"/>
        </w:rPr>
        <w:t xml:space="preserve">，单位为 J/m²，并将各值转换为以 kW/m² 表示的 </w:t>
      </w:r>
      <w:r>
        <w:rPr>
          <w:rFonts w:ascii="DejaVu Sans Mono" w:hAnsi="DejaVu Sans Mono"/>
          <w:b w:val="0"/>
          <w:i w:val="0"/>
          <w:sz w:val="17"/>
        </w:rPr>
        <w:t>hourly</w:t>
      </w:r>
      <w:r>
        <w:rPr>
          <w:b w:val="0"/>
          <w:i w:val="0"/>
        </w:rPr>
        <w:t>：</w:t>
      </w:r>
    </w:p>
    <w:p>
      <w:pPr>
        <w:spacing w:after="160"/>
        <w:jc w:val="center"/>
      </w:pPr>
      <w:r>
        <w:drawing>
          <wp:inline xmlns:a="http://schemas.openxmlformats.org/drawingml/2006/main" xmlns:pic="http://schemas.openxmlformats.org/drawingml/2006/picture">
            <wp:extent cx="4136974" cy="413697"/>
            <wp:docPr id="15" name="Picture 15"/>
            <wp:cNvGraphicFramePr>
              <a:graphicFrameLocks noChangeAspect="1"/>
            </wp:cNvGraphicFramePr>
            <a:graphic>
              <a:graphicData uri="http://schemas.openxmlformats.org/drawingml/2006/picture">
                <pic:pic>
                  <pic:nvPicPr>
                    <pic:cNvPr id="0" name="eq-015.png"/>
                    <pic:cNvPicPr/>
                  </pic:nvPicPr>
                  <pic:blipFill>
                    <a:blip r:embed="rId25"/>
                    <a:stretch>
                      <a:fillRect/>
                    </a:stretch>
                  </pic:blipFill>
                  <pic:spPr>
                    <a:xfrm>
                      <a:off x="0" y="0"/>
                      <a:ext cx="4136974" cy="413697"/>
                    </a:xfrm>
                    <a:prstGeom prst="rect"/>
                  </pic:spPr>
                </pic:pic>
              </a:graphicData>
            </a:graphic>
          </wp:inline>
        </w:drawing>
      </w:r>
    </w:p>
    <w:p>
      <w:pPr>
        <w:keepNext/>
      </w:pPr>
      <w:r>
        <w:rPr>
          <w:b w:val="0"/>
          <w:i w:val="0"/>
        </w:rPr>
        <w:t>阵列倾角由纬度决定。</w:t>
      </w:r>
      <w:r>
        <w:rPr>
          <w:rFonts w:ascii="DejaVu Sans Mono" w:hAnsi="DejaVu Sans Mono"/>
          <w:b w:val="0"/>
          <w:i w:val="0"/>
          <w:sz w:val="17"/>
        </w:rPr>
        <w:t>optimal_​tilt_​jacobson_​jadhav</w:t>
      </w:r>
      <w:r>
        <w:rPr>
          <w:b w:val="0"/>
          <w:i w:val="0"/>
        </w:rPr>
        <w:t xml:space="preserve"> 中的 </w:t>
      </w:r>
      <w:r>
        <w:rPr>
          <w:rFonts w:ascii="DejaVu Sans Mono" w:hAnsi="DejaVu Sans Mono"/>
          <w:b w:val="0"/>
          <w:i w:val="0"/>
          <w:sz w:val="17"/>
        </w:rPr>
        <w:t>phi</w:t>
      </w:r>
      <w:r>
        <w:rPr>
          <w:b w:val="0"/>
          <w:i w:val="0"/>
        </w:rPr>
        <w:t xml:space="preserve"> 为北纬度数，该函数采用 </w:t>
      </w:r>
      <w:r>
        <w:rPr>
          <w:b w:val="0"/>
          <w:i w:val="0"/>
        </w:rPr>
        <w:t>Jacobson 和 Jadhav（2018），Solar Energy 169，55–66</w:t>
      </w:r>
      <w:r>
        <w:rPr>
          <w:b w:val="0"/>
          <w:i w:val="0"/>
        </w:rPr>
        <w:t xml:space="preserve"> 的 0°–65°N 拟合式。返回值在 </w:t>
      </w:r>
      <w:r>
        <w:rPr>
          <w:rFonts w:ascii="DejaVu Sans Mono" w:hAnsi="DejaVu Sans Mono"/>
          <w:b w:val="0"/>
          <w:i w:val="0"/>
          <w:sz w:val="17"/>
        </w:rPr>
        <w:t>plane_of_array</w:t>
      </w:r>
      <w:r>
        <w:rPr>
          <w:b w:val="0"/>
          <w:i w:val="0"/>
        </w:rPr>
        <w:t xml:space="preserve"> 中记为 </w:t>
      </w:r>
      <w:r>
        <w:rPr>
          <w:rFonts w:ascii="DejaVu Sans Mono" w:hAnsi="DejaVu Sans Mono"/>
          <w:b w:val="0"/>
          <w:i w:val="0"/>
          <w:sz w:val="17"/>
        </w:rPr>
        <w:t>tilt</w:t>
      </w:r>
      <w:r>
        <w:rPr>
          <w:b w:val="0"/>
          <w:i w:val="0"/>
        </w:rPr>
        <w:t>，单位为度：</w:t>
      </w:r>
    </w:p>
    <w:p>
      <w:pPr>
        <w:spacing w:after="160"/>
        <w:jc w:val="center"/>
      </w:pPr>
      <w:r>
        <w:drawing>
          <wp:inline xmlns:a="http://schemas.openxmlformats.org/drawingml/2006/main" xmlns:pic="http://schemas.openxmlformats.org/drawingml/2006/picture">
            <wp:extent cx="5439308" cy="205775"/>
            <wp:docPr id="16" name="Picture 16"/>
            <wp:cNvGraphicFramePr>
              <a:graphicFrameLocks noChangeAspect="1"/>
            </wp:cNvGraphicFramePr>
            <a:graphic>
              <a:graphicData uri="http://schemas.openxmlformats.org/drawingml/2006/picture">
                <pic:pic>
                  <pic:nvPicPr>
                    <pic:cNvPr id="0" name="eq-016.png"/>
                    <pic:cNvPicPr/>
                  </pic:nvPicPr>
                  <pic:blipFill>
                    <a:blip r:embed="rId26"/>
                    <a:stretch>
                      <a:fillRect/>
                    </a:stretch>
                  </pic:blipFill>
                  <pic:spPr>
                    <a:xfrm>
                      <a:off x="0" y="0"/>
                      <a:ext cx="5439308" cy="205775"/>
                    </a:xfrm>
                    <a:prstGeom prst="rect"/>
                  </pic:spPr>
                </pic:pic>
              </a:graphicData>
            </a:graphic>
          </wp:inline>
        </w:drawing>
      </w:r>
    </w:p>
    <w:p>
      <w:pPr>
        <w:keepNext/>
      </w:pPr>
      <w:r>
        <w:rPr>
          <w:b w:val="0"/>
          <w:i w:val="0"/>
        </w:rPr>
        <w:t>太阳几何位置按半小时时段中点计算。</w:t>
      </w:r>
      <w:r>
        <w:rPr>
          <w:rFonts w:ascii="DejaVu Sans Mono" w:hAnsi="DejaVu Sans Mono"/>
          <w:b w:val="0"/>
          <w:i w:val="0"/>
          <w:sz w:val="17"/>
        </w:rPr>
        <w:t>period_clock</w:t>
      </w:r>
      <w:r>
        <w:rPr>
          <w:b w:val="0"/>
          <w:i w:val="0"/>
        </w:rPr>
        <w:t xml:space="preserve"> 由从零开始的时段编号 </w:t>
      </w:r>
      <w:r>
        <w:rPr>
          <w:rFonts w:ascii="DejaVu Sans Mono" w:hAnsi="DejaVu Sans Mono"/>
          <w:b w:val="0"/>
          <w:i w:val="0"/>
          <w:sz w:val="17"/>
        </w:rPr>
        <w:t>t</w:t>
      </w:r>
      <w:r>
        <w:rPr>
          <w:b w:val="0"/>
          <w:i w:val="0"/>
        </w:rPr>
        <w:t xml:space="preserve"> 生成 </w:t>
      </w:r>
      <w:r>
        <w:rPr>
          <w:rFonts w:ascii="DejaVu Sans Mono" w:hAnsi="DejaVu Sans Mono"/>
          <w:b w:val="0"/>
          <w:i w:val="0"/>
          <w:sz w:val="17"/>
        </w:rPr>
        <w:t>day_of_year</w:t>
      </w:r>
      <w:r>
        <w:rPr>
          <w:b w:val="0"/>
          <w:i w:val="0"/>
        </w:rPr>
        <w:t xml:space="preserve"> 和 </w:t>
      </w:r>
      <w:r>
        <w:rPr>
          <w:rFonts w:ascii="DejaVu Sans Mono" w:hAnsi="DejaVu Sans Mono"/>
          <w:b w:val="0"/>
          <w:i w:val="0"/>
          <w:sz w:val="17"/>
        </w:rPr>
        <w:t>utc_hours</w:t>
      </w:r>
      <w:r>
        <w:rPr>
          <w:b w:val="0"/>
          <w:i w:val="0"/>
        </w:rPr>
        <w:t>，</w:t>
      </w:r>
      <w:r>
        <w:rPr>
          <w:rFonts w:ascii="DejaVu Sans Mono" w:hAnsi="DejaVu Sans Mono"/>
          <w:b w:val="0"/>
          <w:i w:val="0"/>
          <w:sz w:val="17"/>
        </w:rPr>
        <w:t>day_angle</w:t>
      </w:r>
      <w:r>
        <w:rPr>
          <w:b w:val="0"/>
          <w:i w:val="0"/>
        </w:rPr>
        <w:t xml:space="preserve"> 给出年角 </w:t>
      </w:r>
      <w:r>
        <w:rPr>
          <w:rFonts w:ascii="DejaVu Sans Mono" w:hAnsi="DejaVu Sans Mono"/>
          <w:b w:val="0"/>
          <w:i w:val="0"/>
          <w:sz w:val="17"/>
        </w:rPr>
        <w:t>g</w:t>
      </w:r>
      <w:r>
        <w:rPr>
          <w:b w:val="0"/>
          <w:i w:val="0"/>
        </w:rPr>
        <w:t>。</w:t>
      </w:r>
      <w:r>
        <w:rPr>
          <w:rFonts w:ascii="DejaVu Sans Mono" w:hAnsi="DejaVu Sans Mono"/>
          <w:b w:val="0"/>
          <w:i w:val="0"/>
          <w:sz w:val="17"/>
        </w:rPr>
        <w:t>declination</w:t>
      </w:r>
      <w:r>
        <w:rPr>
          <w:b w:val="0"/>
          <w:i w:val="0"/>
        </w:rPr>
        <w:t>、</w:t>
      </w:r>
      <w:r>
        <w:rPr>
          <w:rFonts w:ascii="DejaVu Sans Mono" w:hAnsi="DejaVu Sans Mono"/>
          <w:b w:val="0"/>
          <w:i w:val="0"/>
          <w:sz w:val="17"/>
        </w:rPr>
        <w:t>equation_​of_​time_​minutes</w:t>
      </w:r>
      <w:r>
        <w:rPr>
          <w:b w:val="0"/>
          <w:i w:val="0"/>
        </w:rPr>
        <w:t xml:space="preserve"> 和 </w:t>
      </w:r>
      <w:r>
        <w:rPr>
          <w:rFonts w:ascii="DejaVu Sans Mono" w:hAnsi="DejaVu Sans Mono"/>
          <w:b w:val="0"/>
          <w:i w:val="0"/>
          <w:sz w:val="17"/>
        </w:rPr>
        <w:t>eccentricity_factor</w:t>
      </w:r>
      <w:r>
        <w:rPr>
          <w:b w:val="0"/>
          <w:i w:val="0"/>
        </w:rPr>
        <w:t xml:space="preserve"> 采用以下实现系数，输出依次为以弧度表示的赤纬 </w:t>
      </w:r>
      <w:r>
        <w:rPr>
          <w:rFonts w:ascii="DejaVu Sans Mono" w:hAnsi="DejaVu Sans Mono"/>
          <w:b w:val="0"/>
          <w:i w:val="0"/>
          <w:sz w:val="17"/>
        </w:rPr>
        <w:t>decl</w:t>
      </w:r>
      <w:r>
        <w:rPr>
          <w:b w:val="0"/>
          <w:i w:val="0"/>
        </w:rPr>
        <w:t>、以分钟表示的时差和无量纲轨道距离系数：</w:t>
      </w:r>
    </w:p>
    <w:p>
      <w:pPr>
        <w:spacing w:after="160"/>
        <w:jc w:val="center"/>
      </w:pPr>
      <w:r>
        <w:drawing>
          <wp:inline xmlns:a="http://schemas.openxmlformats.org/drawingml/2006/main" xmlns:pic="http://schemas.openxmlformats.org/drawingml/2006/picture">
            <wp:extent cx="3229356" cy="621645"/>
            <wp:docPr id="17" name="Picture 17"/>
            <wp:cNvGraphicFramePr>
              <a:graphicFrameLocks noChangeAspect="1"/>
            </wp:cNvGraphicFramePr>
            <a:graphic>
              <a:graphicData uri="http://schemas.openxmlformats.org/drawingml/2006/picture">
                <pic:pic>
                  <pic:nvPicPr>
                    <pic:cNvPr id="0" name="eq-017.png"/>
                    <pic:cNvPicPr/>
                  </pic:nvPicPr>
                  <pic:blipFill>
                    <a:blip r:embed="rId27"/>
                    <a:stretch>
                      <a:fillRect/>
                    </a:stretch>
                  </pic:blipFill>
                  <pic:spPr>
                    <a:xfrm>
                      <a:off x="0" y="0"/>
                      <a:ext cx="3229356" cy="621645"/>
                    </a:xfrm>
                    <a:prstGeom prst="rect"/>
                  </pic:spPr>
                </pic:pic>
              </a:graphicData>
            </a:graphic>
          </wp:inline>
        </w:drawing>
      </w:r>
    </w:p>
    <w:p>
      <w:pPr>
        <w:spacing w:after="160"/>
        <w:jc w:val="center"/>
      </w:pPr>
      <w:r>
        <w:drawing>
          <wp:inline xmlns:a="http://schemas.openxmlformats.org/drawingml/2006/main" xmlns:pic="http://schemas.openxmlformats.org/drawingml/2006/picture">
            <wp:extent cx="3705682" cy="621805"/>
            <wp:docPr id="18" name="Picture 18"/>
            <wp:cNvGraphicFramePr>
              <a:graphicFrameLocks noChangeAspect="1"/>
            </wp:cNvGraphicFramePr>
            <a:graphic>
              <a:graphicData uri="http://schemas.openxmlformats.org/drawingml/2006/picture">
                <pic:pic>
                  <pic:nvPicPr>
                    <pic:cNvPr id="0" name="eq-018.png"/>
                    <pic:cNvPicPr/>
                  </pic:nvPicPr>
                  <pic:blipFill>
                    <a:blip r:embed="rId28"/>
                    <a:stretch>
                      <a:fillRect/>
                    </a:stretch>
                  </pic:blipFill>
                  <pic:spPr>
                    <a:xfrm>
                      <a:off x="0" y="0"/>
                      <a:ext cx="3705682" cy="621805"/>
                    </a:xfrm>
                    <a:prstGeom prst="rect"/>
                  </pic:spPr>
                </pic:pic>
              </a:graphicData>
            </a:graphic>
          </wp:inline>
        </w:drawing>
      </w:r>
    </w:p>
    <w:p>
      <w:pPr>
        <w:spacing w:after="160"/>
        <w:jc w:val="center"/>
      </w:pPr>
      <w:r>
        <w:drawing>
          <wp:inline xmlns:a="http://schemas.openxmlformats.org/drawingml/2006/main" xmlns:pic="http://schemas.openxmlformats.org/drawingml/2006/picture">
            <wp:extent cx="5353050" cy="690273"/>
            <wp:docPr id="19" name="Picture 19"/>
            <wp:cNvGraphicFramePr>
              <a:graphicFrameLocks noChangeAspect="1"/>
            </wp:cNvGraphicFramePr>
            <a:graphic>
              <a:graphicData uri="http://schemas.openxmlformats.org/drawingml/2006/picture">
                <pic:pic>
                  <pic:nvPicPr>
                    <pic:cNvPr id="0" name="eq-019.png"/>
                    <pic:cNvPicPr/>
                  </pic:nvPicPr>
                  <pic:blipFill>
                    <a:blip r:embed="rId29"/>
                    <a:stretch>
                      <a:fillRect/>
                    </a:stretch>
                  </pic:blipFill>
                  <pic:spPr>
                    <a:xfrm>
                      <a:off x="0" y="0"/>
                      <a:ext cx="5353050" cy="690273"/>
                    </a:xfrm>
                    <a:prstGeom prst="rect"/>
                  </pic:spPr>
                </pic:pic>
              </a:graphicData>
            </a:graphic>
          </wp:inline>
        </w:drawing>
      </w:r>
    </w:p>
    <w:p>
      <w:pPr>
        <w:spacing w:after="160"/>
        <w:jc w:val="center"/>
      </w:pPr>
      <w:r>
        <w:drawing>
          <wp:inline xmlns:a="http://schemas.openxmlformats.org/drawingml/2006/main" xmlns:pic="http://schemas.openxmlformats.org/drawingml/2006/picture">
            <wp:extent cx="4900498" cy="621705"/>
            <wp:docPr id="20" name="Picture 20"/>
            <wp:cNvGraphicFramePr>
              <a:graphicFrameLocks noChangeAspect="1"/>
            </wp:cNvGraphicFramePr>
            <a:graphic>
              <a:graphicData uri="http://schemas.openxmlformats.org/drawingml/2006/picture">
                <pic:pic>
                  <pic:nvPicPr>
                    <pic:cNvPr id="0" name="eq-020.png"/>
                    <pic:cNvPicPr/>
                  </pic:nvPicPr>
                  <pic:blipFill>
                    <a:blip r:embed="rId30"/>
                    <a:stretch>
                      <a:fillRect/>
                    </a:stretch>
                  </pic:blipFill>
                  <pic:spPr>
                    <a:xfrm>
                      <a:off x="0" y="0"/>
                      <a:ext cx="4900498" cy="621705"/>
                    </a:xfrm>
                    <a:prstGeom prst="rect"/>
                  </pic:spPr>
                </pic:pic>
              </a:graphicData>
            </a:graphic>
          </wp:inline>
        </w:drawing>
      </w:r>
    </w:p>
    <w:p>
      <w:pPr>
        <w:keepNext/>
      </w:pPr>
      <w:r>
        <w:rPr>
          <w:b w:val="0"/>
          <w:i w:val="0"/>
        </w:rPr>
        <w:t xml:space="preserve">经度与时差决定当地太阳时 </w:t>
      </w:r>
      <w:r>
        <w:rPr>
          <w:rFonts w:ascii="DejaVu Sans Mono" w:hAnsi="DejaVu Sans Mono"/>
          <w:b w:val="0"/>
          <w:i w:val="0"/>
          <w:sz w:val="17"/>
        </w:rPr>
        <w:t>solar_time</w:t>
      </w:r>
      <w:r>
        <w:rPr>
          <w:b w:val="0"/>
          <w:i w:val="0"/>
        </w:rPr>
        <w:t xml:space="preserve"> 和小时角 </w:t>
      </w:r>
      <w:r>
        <w:rPr>
          <w:rFonts w:ascii="DejaVu Sans Mono" w:hAnsi="DejaVu Sans Mono"/>
          <w:b w:val="0"/>
          <w:i w:val="0"/>
          <w:sz w:val="17"/>
        </w:rPr>
        <w:t>omega</w:t>
      </w:r>
      <w:r>
        <w:rPr>
          <w:b w:val="0"/>
          <w:i w:val="0"/>
        </w:rPr>
        <w:t>。</w:t>
      </w:r>
      <w:r>
        <w:rPr>
          <w:rFonts w:ascii="DejaVu Sans Mono" w:hAnsi="DejaVu Sans Mono"/>
          <w:b w:val="0"/>
          <w:i w:val="0"/>
          <w:sz w:val="17"/>
        </w:rPr>
        <w:t>incidence_cosines</w:t>
      </w:r>
      <w:r>
        <w:rPr>
          <w:b w:val="0"/>
          <w:i w:val="0"/>
        </w:rPr>
        <w:t xml:space="preserve"> 将纬度、倾角转换为以弧度表示的 </w:t>
      </w:r>
      <w:r>
        <w:rPr>
          <w:rFonts w:ascii="DejaVu Sans Mono" w:hAnsi="DejaVu Sans Mono"/>
          <w:b w:val="0"/>
          <w:i w:val="0"/>
          <w:sz w:val="17"/>
        </w:rPr>
        <w:t>phi</w:t>
      </w:r>
      <w:r>
        <w:rPr>
          <w:b w:val="0"/>
          <w:i w:val="0"/>
        </w:rPr>
        <w:t>、</w:t>
      </w:r>
      <w:r>
        <w:rPr>
          <w:rFonts w:ascii="DejaVu Sans Mono" w:hAnsi="DejaVu Sans Mono"/>
          <w:b w:val="0"/>
          <w:i w:val="0"/>
          <w:sz w:val="17"/>
        </w:rPr>
        <w:t>beta</w:t>
      </w:r>
      <w:r>
        <w:rPr>
          <w:b w:val="0"/>
          <w:i w:val="0"/>
        </w:rPr>
        <w:t xml:space="preserve">；返回值分别记为 </w:t>
      </w:r>
      <w:r>
        <w:rPr>
          <w:rFonts w:ascii="DejaVu Sans Mono" w:hAnsi="DejaVu Sans Mono"/>
          <w:b w:val="0"/>
          <w:i w:val="0"/>
          <w:sz w:val="17"/>
        </w:rPr>
        <w:t>cos_z</w:t>
      </w:r>
      <w:r>
        <w:rPr>
          <w:b w:val="0"/>
          <w:i w:val="0"/>
        </w:rPr>
        <w:t xml:space="preserve"> 和 </w:t>
      </w:r>
      <w:r>
        <w:rPr>
          <w:rFonts w:ascii="DejaVu Sans Mono" w:hAnsi="DejaVu Sans Mono"/>
          <w:b w:val="0"/>
          <w:i w:val="0"/>
          <w:sz w:val="17"/>
        </w:rPr>
        <w:t>cos_theta</w:t>
      </w:r>
      <w:r>
        <w:rPr>
          <w:b w:val="0"/>
          <w:i w:val="0"/>
        </w:rPr>
        <w:t>，表示天顶角与入射角的余弦：</w:t>
      </w:r>
    </w:p>
    <w:p>
      <w:pPr>
        <w:spacing w:after="160"/>
        <w:jc w:val="center"/>
      </w:pPr>
      <w:r>
        <w:drawing>
          <wp:inline xmlns:a="http://schemas.openxmlformats.org/drawingml/2006/main" xmlns:pic="http://schemas.openxmlformats.org/drawingml/2006/picture">
            <wp:extent cx="4954219" cy="1518044"/>
            <wp:docPr id="21" name="Picture 21"/>
            <wp:cNvGraphicFramePr>
              <a:graphicFrameLocks noChangeAspect="1"/>
            </wp:cNvGraphicFramePr>
            <a:graphic>
              <a:graphicData uri="http://schemas.openxmlformats.org/drawingml/2006/picture">
                <pic:pic>
                  <pic:nvPicPr>
                    <pic:cNvPr id="0" name="eq-021.png"/>
                    <pic:cNvPicPr/>
                  </pic:nvPicPr>
                  <pic:blipFill>
                    <a:blip r:embed="rId31"/>
                    <a:stretch>
                      <a:fillRect/>
                    </a:stretch>
                  </pic:blipFill>
                  <pic:spPr>
                    <a:xfrm>
                      <a:off x="0" y="0"/>
                      <a:ext cx="4954219" cy="1518044"/>
                    </a:xfrm>
                    <a:prstGeom prst="rect"/>
                  </pic:spPr>
                </pic:pic>
              </a:graphicData>
            </a:graphic>
          </wp:inline>
        </w:drawing>
      </w:r>
    </w:p>
    <w:p>
      <w:pPr>
        <w:keepNext/>
      </w:pPr>
      <w:r>
        <w:rPr>
          <w:b w:val="0"/>
          <w:i w:val="0"/>
        </w:rPr>
        <w:t xml:space="preserve">水平辐照度 </w:t>
      </w:r>
      <w:r>
        <w:rPr>
          <w:rFonts w:ascii="DejaVu Sans Mono" w:hAnsi="DejaVu Sans Mono"/>
          <w:b w:val="0"/>
          <w:i w:val="0"/>
          <w:sz w:val="17"/>
        </w:rPr>
        <w:t>ghi</w:t>
      </w:r>
      <w:r>
        <w:rPr>
          <w:b w:val="0"/>
          <w:i w:val="0"/>
        </w:rPr>
        <w:t xml:space="preserve"> 采用 </w:t>
      </w:r>
      <w:r>
        <w:rPr>
          <w:b w:val="0"/>
          <w:i w:val="0"/>
        </w:rPr>
        <w:t>Erbs、Klein 和 Duffie（1982），Solar Energy 28(4)，293–302</w:t>
      </w:r>
      <w:r>
        <w:rPr>
          <w:b w:val="0"/>
          <w:i w:val="0"/>
        </w:rPr>
        <w:t xml:space="preserve"> 的小时关系分解为直射和散射分量。</w:t>
      </w:r>
      <w:r>
        <w:rPr>
          <w:rFonts w:ascii="DejaVu Sans Mono" w:hAnsi="DejaVu Sans Mono"/>
          <w:b w:val="0"/>
          <w:i w:val="0"/>
          <w:sz w:val="17"/>
        </w:rPr>
        <w:t>extraterrestrial_normal</w:t>
      </w:r>
      <w:r>
        <w:rPr>
          <w:b w:val="0"/>
          <w:i w:val="0"/>
        </w:rPr>
        <w:t xml:space="preserve"> 等于 1.361 kW/m² 乘以 </w:t>
      </w:r>
      <w:r>
        <w:rPr>
          <w:rFonts w:ascii="DejaVu Sans Mono" w:hAnsi="DejaVu Sans Mono"/>
          <w:b w:val="0"/>
          <w:i w:val="0"/>
          <w:sz w:val="17"/>
        </w:rPr>
        <w:t>eccentricity_​factor(day_​of_​year)</w:t>
      </w:r>
      <w:r>
        <w:rPr>
          <w:b w:val="0"/>
          <w:i w:val="0"/>
        </w:rPr>
        <w:t xml:space="preserve">。当 </w:t>
      </w:r>
      <w:r>
        <w:rPr>
          <w:rFonts w:ascii="DejaVu Sans Mono" w:hAnsi="DejaVu Sans Mono"/>
          <w:b w:val="0"/>
          <w:i w:val="0"/>
          <w:sz w:val="17"/>
        </w:rPr>
        <w:t>ghi</w:t>
      </w:r>
      <w:r>
        <w:rPr>
          <w:b w:val="0"/>
          <w:i w:val="0"/>
        </w:rPr>
        <w:t xml:space="preserve"> 为正且天顶角小于 87° 时，晴朗指数 </w:t>
      </w:r>
      <w:r>
        <w:rPr>
          <w:rFonts w:ascii="DejaVu Sans Mono" w:hAnsi="DejaVu Sans Mono"/>
          <w:b w:val="0"/>
          <w:i w:val="0"/>
          <w:sz w:val="17"/>
        </w:rPr>
        <w:t>kt</w:t>
      </w:r>
      <w:r>
        <w:rPr>
          <w:b w:val="0"/>
          <w:i w:val="0"/>
        </w:rPr>
        <w:t xml:space="preserve"> 与散射比例 </w:t>
      </w:r>
      <w:r>
        <w:rPr>
          <w:rFonts w:ascii="DejaVu Sans Mono" w:hAnsi="DejaVu Sans Mono"/>
          <w:b w:val="0"/>
          <w:i w:val="0"/>
          <w:sz w:val="17"/>
        </w:rPr>
        <w:t>kd</w:t>
      </w:r>
      <w:r>
        <w:rPr>
          <w:b w:val="0"/>
          <w:i w:val="0"/>
        </w:rPr>
        <w:t xml:space="preserve"> 为</w:t>
      </w:r>
    </w:p>
    <w:p>
      <w:pPr>
        <w:spacing w:after="160"/>
        <w:jc w:val="center"/>
      </w:pPr>
      <w:r>
        <w:drawing>
          <wp:inline xmlns:a="http://schemas.openxmlformats.org/drawingml/2006/main" xmlns:pic="http://schemas.openxmlformats.org/drawingml/2006/picture">
            <wp:extent cx="4778654" cy="413845"/>
            <wp:docPr id="22" name="Picture 22"/>
            <wp:cNvGraphicFramePr>
              <a:graphicFrameLocks noChangeAspect="1"/>
            </wp:cNvGraphicFramePr>
            <a:graphic>
              <a:graphicData uri="http://schemas.openxmlformats.org/drawingml/2006/picture">
                <pic:pic>
                  <pic:nvPicPr>
                    <pic:cNvPr id="0" name="eq-022.png"/>
                    <pic:cNvPicPr/>
                  </pic:nvPicPr>
                  <pic:blipFill>
                    <a:blip r:embed="rId32"/>
                    <a:stretch>
                      <a:fillRect/>
                    </a:stretch>
                  </pic:blipFill>
                  <pic:spPr>
                    <a:xfrm>
                      <a:off x="0" y="0"/>
                      <a:ext cx="4778654" cy="413845"/>
                    </a:xfrm>
                    <a:prstGeom prst="rect"/>
                  </pic:spPr>
                </pic:pic>
              </a:graphicData>
            </a:graphic>
          </wp:inline>
        </w:drawing>
      </w:r>
    </w:p>
    <w:p>
      <w:pPr>
        <w:spacing w:after="160"/>
        <w:jc w:val="center"/>
      </w:pPr>
      <w:r>
        <w:drawing>
          <wp:inline xmlns:a="http://schemas.openxmlformats.org/drawingml/2006/main" xmlns:pic="http://schemas.openxmlformats.org/drawingml/2006/picture">
            <wp:extent cx="3232861" cy="1081431"/>
            <wp:docPr id="23" name="Picture 23"/>
            <wp:cNvGraphicFramePr>
              <a:graphicFrameLocks noChangeAspect="1"/>
            </wp:cNvGraphicFramePr>
            <a:graphic>
              <a:graphicData uri="http://schemas.openxmlformats.org/drawingml/2006/picture">
                <pic:pic>
                  <pic:nvPicPr>
                    <pic:cNvPr id="0" name="eq-023.png"/>
                    <pic:cNvPicPr/>
                  </pic:nvPicPr>
                  <pic:blipFill>
                    <a:blip r:embed="rId33"/>
                    <a:stretch>
                      <a:fillRect/>
                    </a:stretch>
                  </pic:blipFill>
                  <pic:spPr>
                    <a:xfrm>
                      <a:off x="0" y="0"/>
                      <a:ext cx="3232861" cy="1081431"/>
                    </a:xfrm>
                    <a:prstGeom prst="rect"/>
                  </pic:spPr>
                </pic:pic>
              </a:graphicData>
            </a:graphic>
          </wp:inline>
        </w:drawing>
      </w:r>
    </w:p>
    <w:p>
      <w:pPr>
        <w:keepNext/>
      </w:pPr>
      <w:r>
        <w:rPr>
          <w:b w:val="0"/>
          <w:i w:val="0"/>
        </w:rPr>
        <w:t>Hay–Davies（1980）倾斜面转换</w:t>
      </w:r>
      <w:r>
        <w:rPr>
          <w:b w:val="0"/>
          <w:i w:val="0"/>
        </w:rPr>
        <w:t xml:space="preserve"> 汇总直射、各向异性天空散射及地面反射。</w:t>
      </w:r>
      <w:r>
        <w:rPr>
          <w:rFonts w:ascii="DejaVu Sans Mono" w:hAnsi="DejaVu Sans Mono"/>
          <w:b w:val="0"/>
          <w:i w:val="0"/>
          <w:sz w:val="17"/>
        </w:rPr>
        <w:t>dhi</w:t>
      </w:r>
      <w:r>
        <w:rPr>
          <w:b w:val="0"/>
          <w:i w:val="0"/>
        </w:rPr>
        <w:t>、</w:t>
      </w:r>
      <w:r>
        <w:rPr>
          <w:rFonts w:ascii="DejaVu Sans Mono" w:hAnsi="DejaVu Sans Mono"/>
          <w:b w:val="0"/>
          <w:i w:val="0"/>
          <w:sz w:val="17"/>
        </w:rPr>
        <w:t>bhi</w:t>
      </w:r>
      <w:r>
        <w:rPr>
          <w:b w:val="0"/>
          <w:i w:val="0"/>
        </w:rPr>
        <w:t>、</w:t>
      </w:r>
      <w:r>
        <w:rPr>
          <w:rFonts w:ascii="DejaVu Sans Mono" w:hAnsi="DejaVu Sans Mono"/>
          <w:b w:val="0"/>
          <w:i w:val="0"/>
          <w:sz w:val="17"/>
        </w:rPr>
        <w:t>dni</w:t>
      </w:r>
      <w:r>
        <w:rPr>
          <w:b w:val="0"/>
          <w:i w:val="0"/>
        </w:rPr>
        <w:t xml:space="preserve"> 分别表示水平散射、水平直射和法向直射辐照度，单位为 kW/m²；</w:t>
      </w:r>
      <w:r>
        <w:rPr>
          <w:rFonts w:ascii="DejaVu Sans Mono" w:hAnsi="DejaVu Sans Mono"/>
          <w:b w:val="0"/>
          <w:i w:val="0"/>
          <w:sz w:val="17"/>
        </w:rPr>
        <w:t>anisotropy</w:t>
      </w:r>
      <w:r>
        <w:rPr>
          <w:b w:val="0"/>
          <w:i w:val="0"/>
        </w:rPr>
        <w:t>、</w:t>
      </w:r>
      <w:r>
        <w:rPr>
          <w:rFonts w:ascii="DejaVu Sans Mono" w:hAnsi="DejaVu Sans Mono"/>
          <w:b w:val="0"/>
          <w:i w:val="0"/>
          <w:sz w:val="17"/>
        </w:rPr>
        <w:t>beam_ratio</w:t>
      </w:r>
      <w:r>
        <w:rPr>
          <w:b w:val="0"/>
          <w:i w:val="0"/>
        </w:rPr>
        <w:t>、</w:t>
      </w:r>
      <w:r>
        <w:rPr>
          <w:rFonts w:ascii="DejaVu Sans Mono" w:hAnsi="DejaVu Sans Mono"/>
          <w:b w:val="0"/>
          <w:i w:val="0"/>
          <w:sz w:val="17"/>
        </w:rPr>
        <w:t>sky_view</w:t>
      </w:r>
      <w:r>
        <w:rPr>
          <w:b w:val="0"/>
          <w:i w:val="0"/>
        </w:rPr>
        <w:t>、</w:t>
      </w:r>
      <w:r>
        <w:rPr>
          <w:rFonts w:ascii="DejaVu Sans Mono" w:hAnsi="DejaVu Sans Mono"/>
          <w:b w:val="0"/>
          <w:i w:val="0"/>
          <w:sz w:val="17"/>
        </w:rPr>
        <w:t>ground_view</w:t>
      </w:r>
      <w:r>
        <w:rPr>
          <w:b w:val="0"/>
          <w:i w:val="0"/>
        </w:rPr>
        <w:t xml:space="preserve"> 均为无量纲系数。采用 </w:t>
      </w:r>
      <w:r>
        <w:rPr>
          <w:rFonts w:ascii="DejaVu Sans Mono" w:hAnsi="DejaVu Sans Mono"/>
          <w:b w:val="0"/>
          <w:i w:val="0"/>
          <w:sz w:val="17"/>
        </w:rPr>
        <w:t>albedo = 0.2</w:t>
      </w:r>
      <w:r>
        <w:rPr>
          <w:b w:val="0"/>
          <w:i w:val="0"/>
        </w:rPr>
        <w:t xml:space="preserve"> 时，阵列平面辐照度 </w:t>
      </w:r>
      <w:r>
        <w:rPr>
          <w:rFonts w:ascii="DejaVu Sans Mono" w:hAnsi="DejaVu Sans Mono"/>
          <w:b w:val="0"/>
          <w:i w:val="0"/>
          <w:sz w:val="17"/>
        </w:rPr>
        <w:t>poa</w:t>
      </w:r>
      <w:r>
        <w:rPr>
          <w:b w:val="0"/>
          <w:i w:val="0"/>
        </w:rPr>
        <w:t xml:space="preserve"> 为</w:t>
      </w:r>
    </w:p>
    <w:p>
      <w:pPr>
        <w:spacing w:after="160"/>
        <w:jc w:val="center"/>
      </w:pPr>
      <w:r>
        <w:drawing>
          <wp:inline xmlns:a="http://schemas.openxmlformats.org/drawingml/2006/main" xmlns:pic="http://schemas.openxmlformats.org/drawingml/2006/picture">
            <wp:extent cx="4915052" cy="2482673"/>
            <wp:docPr id="24" name="Picture 24"/>
            <wp:cNvGraphicFramePr>
              <a:graphicFrameLocks noChangeAspect="1"/>
            </wp:cNvGraphicFramePr>
            <a:graphic>
              <a:graphicData uri="http://schemas.openxmlformats.org/drawingml/2006/picture">
                <pic:pic>
                  <pic:nvPicPr>
                    <pic:cNvPr id="0" name="eq-024.png"/>
                    <pic:cNvPicPr/>
                  </pic:nvPicPr>
                  <pic:blipFill>
                    <a:blip r:embed="rId34"/>
                    <a:stretch>
                      <a:fillRect/>
                    </a:stretch>
                  </pic:blipFill>
                  <pic:spPr>
                    <a:xfrm>
                      <a:off x="0" y="0"/>
                      <a:ext cx="4915052" cy="2482673"/>
                    </a:xfrm>
                    <a:prstGeom prst="rect"/>
                  </pic:spPr>
                </pic:pic>
              </a:graphicData>
            </a:graphic>
          </wp:inline>
        </w:drawing>
      </w:r>
    </w:p>
    <w:p>
      <w:pPr>
        <w:keepNext/>
      </w:pPr>
      <w:r>
        <w:rPr>
          <w:b w:val="0"/>
          <w:i w:val="0"/>
        </w:rPr>
        <w:t xml:space="preserve">天顶角达到或超过 87°，或 </w:t>
      </w:r>
      <w:r>
        <w:rPr>
          <w:rFonts w:ascii="DejaVu Sans Mono" w:hAnsi="DejaVu Sans Mono"/>
          <w:b w:val="0"/>
          <w:i w:val="0"/>
          <w:sz w:val="17"/>
        </w:rPr>
        <w:t>ghi</w:t>
      </w:r>
      <w:r>
        <w:rPr>
          <w:b w:val="0"/>
          <w:i w:val="0"/>
        </w:rPr>
        <w:t xml:space="preserve"> 为零时，计算设定 </w:t>
      </w:r>
      <w:r>
        <w:rPr>
          <w:rFonts w:ascii="DejaVu Sans Mono" w:hAnsi="DejaVu Sans Mono"/>
          <w:b w:val="0"/>
          <w:i w:val="0"/>
          <w:sz w:val="17"/>
        </w:rPr>
        <w:t>kd = 1</w:t>
      </w:r>
      <w:r>
        <w:rPr>
          <w:b w:val="0"/>
          <w:i w:val="0"/>
        </w:rPr>
        <w:t>、</w:t>
      </w:r>
      <w:r>
        <w:rPr>
          <w:rFonts w:ascii="DejaVu Sans Mono" w:hAnsi="DejaVu Sans Mono"/>
          <w:b w:val="0"/>
          <w:i w:val="0"/>
          <w:sz w:val="17"/>
        </w:rPr>
        <w:t>dhi = ghi</w:t>
      </w:r>
      <w:r>
        <w:rPr>
          <w:b w:val="0"/>
          <w:i w:val="0"/>
        </w:rPr>
        <w:t>、</w:t>
      </w:r>
      <w:r>
        <w:rPr>
          <w:rFonts w:ascii="DejaVu Sans Mono" w:hAnsi="DejaVu Sans Mono"/>
          <w:b w:val="0"/>
          <w:i w:val="0"/>
          <w:sz w:val="17"/>
        </w:rPr>
        <w:t>bhi = 0</w:t>
      </w:r>
      <w:r>
        <w:rPr>
          <w:b w:val="0"/>
          <w:i w:val="0"/>
        </w:rPr>
        <w:t>、</w:t>
      </w:r>
      <w:r>
        <w:rPr>
          <w:rFonts w:ascii="DejaVu Sans Mono" w:hAnsi="DejaVu Sans Mono"/>
          <w:b w:val="0"/>
          <w:i w:val="0"/>
          <w:sz w:val="17"/>
        </w:rPr>
        <w:t>dni = 0</w:t>
      </w:r>
      <w:r>
        <w:rPr>
          <w:b w:val="0"/>
          <w:i w:val="0"/>
        </w:rPr>
        <w:t>、</w:t>
      </w:r>
      <w:r>
        <w:rPr>
          <w:rFonts w:ascii="DejaVu Sans Mono" w:hAnsi="DejaVu Sans Mono"/>
          <w:b w:val="0"/>
          <w:i w:val="0"/>
          <w:sz w:val="17"/>
        </w:rPr>
        <w:t>anisotropy = 0</w:t>
      </w:r>
      <w:r>
        <w:rPr>
          <w:b w:val="0"/>
          <w:i w:val="0"/>
        </w:rPr>
        <w:t>、</w:t>
      </w:r>
      <w:r>
        <w:rPr>
          <w:rFonts w:ascii="DejaVu Sans Mono" w:hAnsi="DejaVu Sans Mono"/>
          <w:b w:val="0"/>
          <w:i w:val="0"/>
          <w:sz w:val="17"/>
        </w:rPr>
        <w:t>beam_ratio = 0</w:t>
      </w:r>
      <w:r>
        <w:rPr>
          <w:b w:val="0"/>
          <w:i w:val="0"/>
        </w:rPr>
        <w:t>。同一阵列平面求和式保留散射和地面反射。对于修正口径的累计输入，</w:t>
      </w:r>
      <w:r>
        <w:rPr>
          <w:rFonts w:ascii="DejaVu Sans Mono" w:hAnsi="DejaVu Sans Mono"/>
          <w:b w:val="0"/>
          <w:i w:val="0"/>
          <w:sz w:val="17"/>
        </w:rPr>
        <w:t>site_cf_by_source</w:t>
      </w:r>
      <w:r>
        <w:rPr>
          <w:b w:val="0"/>
          <w:i w:val="0"/>
        </w:rPr>
        <w:t xml:space="preserve"> 将 </w:t>
      </w:r>
      <w:r>
        <w:rPr>
          <w:rFonts w:ascii="DejaVu Sans Mono" w:hAnsi="DejaVu Sans Mono"/>
          <w:b w:val="0"/>
          <w:i w:val="0"/>
          <w:sz w:val="17"/>
        </w:rPr>
        <w:t>poa</w:t>
      </w:r>
      <w:r>
        <w:rPr>
          <w:b w:val="0"/>
          <w:i w:val="0"/>
        </w:rPr>
        <w:t xml:space="preserve"> 转换为出力系数 </w:t>
      </w:r>
      <w:r>
        <w:rPr>
          <w:rFonts w:ascii="DejaVu Sans Mono" w:hAnsi="DejaVu Sans Mono"/>
          <w:b w:val="0"/>
          <w:i w:val="0"/>
          <w:sz w:val="17"/>
        </w:rPr>
        <w:t>values</w:t>
      </w:r>
      <w:r>
        <w:rPr>
          <w:b w:val="0"/>
          <w:i w:val="0"/>
        </w:rPr>
        <w:t>：</w:t>
      </w:r>
    </w:p>
    <w:p>
      <w:pPr>
        <w:spacing w:after="160"/>
        <w:jc w:val="center"/>
      </w:pPr>
      <w:r>
        <w:drawing>
          <wp:inline xmlns:a="http://schemas.openxmlformats.org/drawingml/2006/main" xmlns:pic="http://schemas.openxmlformats.org/drawingml/2006/picture">
            <wp:extent cx="1983333" cy="171371"/>
            <wp:docPr id="25" name="Picture 25"/>
            <wp:cNvGraphicFramePr>
              <a:graphicFrameLocks noChangeAspect="1"/>
            </wp:cNvGraphicFramePr>
            <a:graphic>
              <a:graphicData uri="http://schemas.openxmlformats.org/drawingml/2006/picture">
                <pic:pic>
                  <pic:nvPicPr>
                    <pic:cNvPr id="0" name="eq-025.png"/>
                    <pic:cNvPicPr/>
                  </pic:nvPicPr>
                  <pic:blipFill>
                    <a:blip r:embed="rId35"/>
                    <a:stretch>
                      <a:fillRect/>
                    </a:stretch>
                  </pic:blipFill>
                  <pic:spPr>
                    <a:xfrm>
                      <a:off x="0" y="0"/>
                      <a:ext cx="1983333" cy="171371"/>
                    </a:xfrm>
                    <a:prstGeom prst="rect"/>
                  </pic:spPr>
                </pic:pic>
              </a:graphicData>
            </a:graphic>
          </wp:inline>
        </w:drawing>
      </w:r>
    </w:p>
    <w:p>
      <w:r>
        <w:rPr>
          <w:b w:val="0"/>
          <w:i w:val="0"/>
        </w:rPr>
        <w:t>累计输入约定采用阵列平面转换。修正口径的瞬时输入，包括当前 R029 日历气候态和 VALUE 101 合成输入，直接将水平辐照度乘以 0.83。论文复现口径和实验性 R029 路径保留水平转换，乘数为 1。以下伪代码采用实现中的函数名和变量名：</w:t>
      </w:r>
    </w:p>
    <w:p>
      <w:pPr>
        <w:keepLines/>
        <w:spacing w:line="276" w:lineRule="auto" w:after="160"/>
      </w:pPr>
      <w:r>
        <w:rPr>
          <w:rFonts w:ascii="DejaVu Sans Mono" w:hAnsi="DejaVu Sans Mono"/>
          <w:b w:val="0"/>
          <w:i w:val="0"/>
          <w:sz w:val="17"/>
        </w:rPr>
        <w:t>hourly, evidence = hourly_unit_cf(ds, technology, latitude, longitude, binding)</w:t>
        <w:br/>
        <w:t>index = hour_index(periods, len(hourly), method.clock, evidence["time_​convention"])</w:t>
        <w:br/>
        <w:t>values = hourly[index]</w:t>
        <w:br/>
        <w:t>poa_applied = False</w:t>
        <w:br/>
        <w:t>if technology == "solar" and method.plane_of_array:</w:t>
        <w:br/>
        <w:t xml:space="preserve">    poa_applied, reason = plane_​of_​array_​applies(method, evidence["time_​convention"])</w:t>
        <w:br/>
        <w:t xml:space="preserve">    if poa_applied:</w:t>
        <w:br/>
        <w:t xml:space="preserve">        values, poa_evidence = plane_of_array(values, latitude_deg=latitude,</w:t>
        <w:br/>
        <w:t xml:space="preserve">            longitude_​deg=longitude, parameters=plane_​of_​array_​parameters())</w:t>
        <w:br/>
        <w:t>multiplier = method.multiplier(technology)</w:t>
        <w:br/>
        <w:t>values = values * multiplier</w:t>
        <w:br/>
        <w:t>if poa_applied:</w:t>
        <w:br/>
        <w:t xml:space="preserve">    values = minimum(values, 1.0)</w:t>
        <w:br/>
        <w:t>return values</w:t>
        <w:br/>
      </w:r>
    </w:p>
    <w:p>
      <w:pPr>
        <w:pStyle w:val="Heading2"/>
      </w:pPr>
      <w:r>
        <w:rPr>
          <w:b w:val="0"/>
          <w:i w:val="0"/>
        </w:rPr>
        <w:t>与观测负荷率的比较</w:t>
      </w:r>
    </w:p>
    <w:p>
      <w:r>
        <w:rPr>
          <w:b w:val="0"/>
          <w:i w:val="0"/>
        </w:rPr>
        <w:t xml:space="preserve">GBP1 代表点天气计算可与 </w:t>
      </w:r>
      <w:r>
        <w:rPr>
          <w:b w:val="0"/>
          <w:i w:val="0"/>
        </w:rPr>
        <w:t>DUKES 表 6.3</w:t>
      </w:r>
      <w:r>
        <w:rPr>
          <w:b w:val="0"/>
          <w:i w:val="0"/>
        </w:rPr>
        <w:t xml:space="preserve"> 的全国负荷率比较。下表模型值为各代表点在 17,520 个半小时时段内、弃电前可用出力系数的非加权均值。DUKES 以全国发电量除以年初和年末装机容量的均值及全年小时数；两项定义共同确定比较范围。</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13"/>
        <w:gridCol w:w="1500"/>
        <w:gridCol w:w="1763"/>
        <w:gridCol w:w="1763"/>
        <w:gridCol w:w="1833"/>
        <w:gridCol w:w="1620"/>
      </w:tblGrid>
      <w:tr>
        <w:trPr>
          <w:cantSplit/>
          <w:tblHeader w:val="true"/>
        </w:trPr>
        <w:tc>
          <w:tcPr>
            <w:tcW w:type="dxa" w:w="1313"/>
            <w:vAlign w:val="center"/>
            <w:tcMar>
              <w:top w:w="90" w:type="dxa"/>
              <w:left w:w="90" w:type="dxa"/>
              <w:bottom w:w="90" w:type="dxa"/>
              <w:right w:w="90" w:type="dxa"/>
            </w:tcMar>
            <w:shd w:fill="EEEEEE"/>
          </w:tcPr>
          <w:p>
            <w:pPr>
              <w:spacing w:after="40" w:line="276" w:lineRule="auto"/>
            </w:pPr>
            <w:r>
              <w:rPr>
                <w:b/>
                <w:i w:val="0"/>
                <w:sz w:val="18"/>
              </w:rPr>
              <w:t>技术</w:t>
            </w:r>
          </w:p>
        </w:tc>
        <w:tc>
          <w:tcPr>
            <w:tcW w:type="dxa" w:w="1500"/>
            <w:vAlign w:val="center"/>
            <w:tcMar>
              <w:top w:w="90" w:type="dxa"/>
              <w:left w:w="90" w:type="dxa"/>
              <w:bottom w:w="90" w:type="dxa"/>
              <w:right w:w="90" w:type="dxa"/>
            </w:tcMar>
            <w:shd w:fill="EEEEEE"/>
          </w:tcPr>
          <w:p>
            <w:pPr>
              <w:spacing w:after="40" w:line="276" w:lineRule="auto"/>
            </w:pPr>
            <w:r>
              <w:rPr>
                <w:b/>
                <w:i w:val="0"/>
                <w:sz w:val="18"/>
              </w:rPr>
              <w:t>GBP1 修正口径</w:t>
            </w:r>
          </w:p>
        </w:tc>
        <w:tc>
          <w:tcPr>
            <w:tcW w:type="dxa" w:w="1763"/>
            <w:vAlign w:val="center"/>
            <w:tcMar>
              <w:top w:w="90" w:type="dxa"/>
              <w:left w:w="90" w:type="dxa"/>
              <w:bottom w:w="90" w:type="dxa"/>
              <w:right w:w="90" w:type="dxa"/>
            </w:tcMar>
            <w:shd w:fill="EEEEEE"/>
          </w:tcPr>
          <w:p>
            <w:pPr>
              <w:spacing w:after="40" w:line="276" w:lineRule="auto"/>
            </w:pPr>
            <w:r>
              <w:rPr>
                <w:b/>
                <w:i w:val="0"/>
                <w:sz w:val="18"/>
              </w:rPr>
              <w:t>DUKES 2019–2024 均值</w:t>
            </w:r>
          </w:p>
        </w:tc>
        <w:tc>
          <w:tcPr>
            <w:tcW w:type="dxa" w:w="1763"/>
            <w:vAlign w:val="center"/>
            <w:tcMar>
              <w:top w:w="90" w:type="dxa"/>
              <w:left w:w="90" w:type="dxa"/>
              <w:bottom w:w="90" w:type="dxa"/>
              <w:right w:w="90" w:type="dxa"/>
            </w:tcMar>
            <w:shd w:fill="EEEEEE"/>
          </w:tcPr>
          <w:p>
            <w:pPr>
              <w:spacing w:after="40" w:line="276" w:lineRule="auto"/>
            </w:pPr>
            <w:r>
              <w:rPr>
                <w:b/>
                <w:i w:val="0"/>
                <w:sz w:val="18"/>
              </w:rPr>
              <w:t>DUKES 2020–2024 均值</w:t>
            </w:r>
          </w:p>
        </w:tc>
        <w:tc>
          <w:tcPr>
            <w:tcW w:type="dxa" w:w="1833"/>
            <w:vAlign w:val="center"/>
            <w:tcMar>
              <w:top w:w="90" w:type="dxa"/>
              <w:left w:w="90" w:type="dxa"/>
              <w:bottom w:w="90" w:type="dxa"/>
              <w:right w:w="90" w:type="dxa"/>
            </w:tcMar>
            <w:shd w:fill="EEEEEE"/>
          </w:tcPr>
          <w:p>
            <w:pPr>
              <w:spacing w:after="40" w:line="276" w:lineRule="auto"/>
            </w:pPr>
            <w:r>
              <w:rPr>
                <w:b/>
                <w:i w:val="0"/>
                <w:sz w:val="18"/>
              </w:rPr>
              <w:t>修正值 / 2020–2024 均值</w:t>
            </w:r>
          </w:p>
        </w:tc>
        <w:tc>
          <w:tcPr>
            <w:tcW w:type="dxa" w:w="1620"/>
            <w:vAlign w:val="center"/>
            <w:tcMar>
              <w:top w:w="90" w:type="dxa"/>
              <w:left w:w="90" w:type="dxa"/>
              <w:bottom w:w="90" w:type="dxa"/>
              <w:right w:w="90" w:type="dxa"/>
            </w:tcMar>
            <w:shd w:fill="EEEEEE"/>
          </w:tcPr>
          <w:p>
            <w:pPr>
              <w:spacing w:after="40" w:line="276" w:lineRule="auto"/>
            </w:pPr>
            <w:r>
              <w:rPr>
                <w:b/>
                <w:i w:val="0"/>
                <w:sz w:val="18"/>
              </w:rPr>
              <w:t>GBP1 论文复现口径</w:t>
            </w:r>
          </w:p>
        </w:tc>
      </w:tr>
      <w:tr>
        <w:trPr>
          <w:cantSplit/>
        </w:trPr>
        <w:tc>
          <w:tcPr>
            <w:tcW w:type="dxa" w:w="1313"/>
            <w:vAlign w:val="center"/>
            <w:tcMar>
              <w:top w:w="90" w:type="dxa"/>
              <w:left w:w="90" w:type="dxa"/>
              <w:bottom w:w="90" w:type="dxa"/>
              <w:right w:w="90" w:type="dxa"/>
            </w:tcMar>
          </w:tcPr>
          <w:p>
            <w:pPr>
              <w:spacing w:after="40" w:line="276" w:lineRule="auto"/>
            </w:pPr>
            <w:r>
              <w:rPr>
                <w:b w:val="0"/>
                <w:i w:val="0"/>
                <w:sz w:val="18"/>
              </w:rPr>
              <w:t>陆上风电</w:t>
            </w:r>
          </w:p>
        </w:tc>
        <w:tc>
          <w:tcPr>
            <w:tcW w:type="dxa" w:w="1500"/>
            <w:vAlign w:val="center"/>
            <w:tcMar>
              <w:top w:w="90" w:type="dxa"/>
              <w:left w:w="90" w:type="dxa"/>
              <w:bottom w:w="90" w:type="dxa"/>
              <w:right w:w="90" w:type="dxa"/>
            </w:tcMar>
          </w:tcPr>
          <w:p>
            <w:pPr>
              <w:spacing w:after="40" w:line="276" w:lineRule="auto"/>
            </w:pPr>
            <w:r>
              <w:rPr>
                <w:b w:val="0"/>
                <w:i w:val="0"/>
                <w:sz w:val="18"/>
              </w:rPr>
              <w:t>0.4026</w:t>
            </w:r>
          </w:p>
        </w:tc>
        <w:tc>
          <w:tcPr>
            <w:tcW w:type="dxa" w:w="1763"/>
            <w:vAlign w:val="center"/>
            <w:tcMar>
              <w:top w:w="90" w:type="dxa"/>
              <w:left w:w="90" w:type="dxa"/>
              <w:bottom w:w="90" w:type="dxa"/>
              <w:right w:w="90" w:type="dxa"/>
            </w:tcMar>
          </w:tcPr>
          <w:p>
            <w:pPr>
              <w:spacing w:after="40" w:line="276" w:lineRule="auto"/>
            </w:pPr>
            <w:r>
              <w:rPr>
                <w:b w:val="0"/>
                <w:i w:val="0"/>
                <w:sz w:val="18"/>
              </w:rPr>
              <w:t>0.2593</w:t>
            </w:r>
          </w:p>
        </w:tc>
        <w:tc>
          <w:tcPr>
            <w:tcW w:type="dxa" w:w="1763"/>
            <w:vAlign w:val="center"/>
            <w:tcMar>
              <w:top w:w="90" w:type="dxa"/>
              <w:left w:w="90" w:type="dxa"/>
              <w:bottom w:w="90" w:type="dxa"/>
              <w:right w:w="90" w:type="dxa"/>
            </w:tcMar>
          </w:tcPr>
          <w:p>
            <w:pPr>
              <w:spacing w:after="40" w:line="276" w:lineRule="auto"/>
            </w:pPr>
            <w:r>
              <w:rPr>
                <w:b w:val="0"/>
                <w:i w:val="0"/>
                <w:sz w:val="18"/>
              </w:rPr>
              <w:t>0.2582</w:t>
            </w:r>
          </w:p>
        </w:tc>
        <w:tc>
          <w:tcPr>
            <w:tcW w:type="dxa" w:w="1833"/>
            <w:vAlign w:val="center"/>
            <w:tcMar>
              <w:top w:w="90" w:type="dxa"/>
              <w:left w:w="90" w:type="dxa"/>
              <w:bottom w:w="90" w:type="dxa"/>
              <w:right w:w="90" w:type="dxa"/>
            </w:tcMar>
          </w:tcPr>
          <w:p>
            <w:pPr>
              <w:spacing w:after="40" w:line="276" w:lineRule="auto"/>
            </w:pPr>
            <w:r>
              <w:rPr>
                <w:b w:val="0"/>
                <w:i w:val="0"/>
                <w:sz w:val="18"/>
              </w:rPr>
              <w:t>1.56</w:t>
            </w:r>
          </w:p>
        </w:tc>
        <w:tc>
          <w:tcPr>
            <w:tcW w:type="dxa" w:w="1620"/>
            <w:vAlign w:val="center"/>
            <w:tcMar>
              <w:top w:w="90" w:type="dxa"/>
              <w:left w:w="90" w:type="dxa"/>
              <w:bottom w:w="90" w:type="dxa"/>
              <w:right w:w="90" w:type="dxa"/>
            </w:tcMar>
          </w:tcPr>
          <w:p>
            <w:pPr>
              <w:spacing w:after="40" w:line="276" w:lineRule="auto"/>
            </w:pPr>
            <w:r>
              <w:rPr>
                <w:b w:val="0"/>
                <w:i w:val="0"/>
                <w:sz w:val="18"/>
              </w:rPr>
              <w:t>0.4458</w:t>
            </w:r>
          </w:p>
        </w:tc>
      </w:tr>
      <w:tr>
        <w:trPr>
          <w:cantSplit/>
        </w:trPr>
        <w:tc>
          <w:tcPr>
            <w:tcW w:type="dxa" w:w="1313"/>
            <w:vAlign w:val="center"/>
            <w:tcMar>
              <w:top w:w="90" w:type="dxa"/>
              <w:left w:w="90" w:type="dxa"/>
              <w:bottom w:w="90" w:type="dxa"/>
              <w:right w:w="90" w:type="dxa"/>
            </w:tcMar>
          </w:tcPr>
          <w:p>
            <w:pPr>
              <w:spacing w:after="40" w:line="276" w:lineRule="auto"/>
            </w:pPr>
            <w:r>
              <w:rPr>
                <w:b w:val="0"/>
                <w:i w:val="0"/>
                <w:sz w:val="18"/>
              </w:rPr>
              <w:t>海上风电</w:t>
            </w:r>
          </w:p>
        </w:tc>
        <w:tc>
          <w:tcPr>
            <w:tcW w:type="dxa" w:w="1500"/>
            <w:vAlign w:val="center"/>
            <w:tcMar>
              <w:top w:w="90" w:type="dxa"/>
              <w:left w:w="90" w:type="dxa"/>
              <w:bottom w:w="90" w:type="dxa"/>
              <w:right w:w="90" w:type="dxa"/>
            </w:tcMar>
          </w:tcPr>
          <w:p>
            <w:pPr>
              <w:spacing w:after="40" w:line="276" w:lineRule="auto"/>
            </w:pPr>
            <w:r>
              <w:rPr>
                <w:b w:val="0"/>
                <w:i w:val="0"/>
                <w:sz w:val="18"/>
              </w:rPr>
              <w:t>0.4913</w:t>
            </w:r>
          </w:p>
        </w:tc>
        <w:tc>
          <w:tcPr>
            <w:tcW w:type="dxa" w:w="1763"/>
            <w:vAlign w:val="center"/>
            <w:tcMar>
              <w:top w:w="90" w:type="dxa"/>
              <w:left w:w="90" w:type="dxa"/>
              <w:bottom w:w="90" w:type="dxa"/>
              <w:right w:w="90" w:type="dxa"/>
            </w:tcMar>
          </w:tcPr>
          <w:p>
            <w:pPr>
              <w:spacing w:after="40" w:line="276" w:lineRule="auto"/>
            </w:pPr>
            <w:r>
              <w:rPr>
                <w:b w:val="0"/>
                <w:i w:val="0"/>
                <w:sz w:val="18"/>
              </w:rPr>
              <w:t>0.4016</w:t>
            </w:r>
          </w:p>
        </w:tc>
        <w:tc>
          <w:tcPr>
            <w:tcW w:type="dxa" w:w="1763"/>
            <w:vAlign w:val="center"/>
            <w:tcMar>
              <w:top w:w="90" w:type="dxa"/>
              <w:left w:w="90" w:type="dxa"/>
              <w:bottom w:w="90" w:type="dxa"/>
              <w:right w:w="90" w:type="dxa"/>
            </w:tcMar>
          </w:tcPr>
          <w:p>
            <w:pPr>
              <w:spacing w:after="40" w:line="276" w:lineRule="auto"/>
            </w:pPr>
            <w:r>
              <w:rPr>
                <w:b w:val="0"/>
                <w:i w:val="0"/>
                <w:sz w:val="18"/>
              </w:rPr>
              <w:t>0.4009</w:t>
            </w:r>
          </w:p>
        </w:tc>
        <w:tc>
          <w:tcPr>
            <w:tcW w:type="dxa" w:w="1833"/>
            <w:vAlign w:val="center"/>
            <w:tcMar>
              <w:top w:w="90" w:type="dxa"/>
              <w:left w:w="90" w:type="dxa"/>
              <w:bottom w:w="90" w:type="dxa"/>
              <w:right w:w="90" w:type="dxa"/>
            </w:tcMar>
          </w:tcPr>
          <w:p>
            <w:pPr>
              <w:spacing w:after="40" w:line="276" w:lineRule="auto"/>
            </w:pPr>
            <w:r>
              <w:rPr>
                <w:b w:val="0"/>
                <w:i w:val="0"/>
                <w:sz w:val="18"/>
              </w:rPr>
              <w:t>1.23</w:t>
            </w:r>
          </w:p>
        </w:tc>
        <w:tc>
          <w:tcPr>
            <w:tcW w:type="dxa" w:w="1620"/>
            <w:vAlign w:val="center"/>
            <w:tcMar>
              <w:top w:w="90" w:type="dxa"/>
              <w:left w:w="90" w:type="dxa"/>
              <w:bottom w:w="90" w:type="dxa"/>
              <w:right w:w="90" w:type="dxa"/>
            </w:tcMar>
          </w:tcPr>
          <w:p>
            <w:pPr>
              <w:spacing w:after="40" w:line="276" w:lineRule="auto"/>
            </w:pPr>
            <w:r>
              <w:rPr>
                <w:b w:val="0"/>
                <w:i w:val="0"/>
                <w:sz w:val="18"/>
              </w:rPr>
              <w:t>0.6028</w:t>
            </w:r>
          </w:p>
        </w:tc>
      </w:tr>
      <w:tr>
        <w:trPr>
          <w:cantSplit/>
        </w:trPr>
        <w:tc>
          <w:tcPr>
            <w:tcW w:type="dxa" w:w="1313"/>
            <w:vAlign w:val="center"/>
            <w:tcMar>
              <w:top w:w="90" w:type="dxa"/>
              <w:left w:w="90" w:type="dxa"/>
              <w:bottom w:w="90" w:type="dxa"/>
              <w:right w:w="90" w:type="dxa"/>
            </w:tcMar>
          </w:tcPr>
          <w:p>
            <w:pPr>
              <w:spacing w:after="40" w:line="276" w:lineRule="auto"/>
            </w:pPr>
            <w:r>
              <w:rPr>
                <w:b w:val="0"/>
                <w:i w:val="0"/>
                <w:sz w:val="18"/>
              </w:rPr>
              <w:t>光伏</w:t>
            </w:r>
          </w:p>
        </w:tc>
        <w:tc>
          <w:tcPr>
            <w:tcW w:type="dxa" w:w="1500"/>
            <w:vAlign w:val="center"/>
            <w:tcMar>
              <w:top w:w="90" w:type="dxa"/>
              <w:left w:w="90" w:type="dxa"/>
              <w:bottom w:w="90" w:type="dxa"/>
              <w:right w:w="90" w:type="dxa"/>
            </w:tcMar>
          </w:tcPr>
          <w:p>
            <w:pPr>
              <w:spacing w:after="40" w:line="276" w:lineRule="auto"/>
            </w:pPr>
            <w:r>
              <w:rPr>
                <w:b w:val="0"/>
                <w:i w:val="0"/>
                <w:sz w:val="18"/>
              </w:rPr>
              <w:t>0.1065</w:t>
            </w:r>
          </w:p>
        </w:tc>
        <w:tc>
          <w:tcPr>
            <w:tcW w:type="dxa" w:w="1763"/>
            <w:vAlign w:val="center"/>
            <w:tcMar>
              <w:top w:w="90" w:type="dxa"/>
              <w:left w:w="90" w:type="dxa"/>
              <w:bottom w:w="90" w:type="dxa"/>
              <w:right w:w="90" w:type="dxa"/>
            </w:tcMar>
          </w:tcPr>
          <w:p>
            <w:pPr>
              <w:spacing w:after="40" w:line="276" w:lineRule="auto"/>
            </w:pPr>
            <w:r>
              <w:rPr>
                <w:b w:val="0"/>
                <w:i w:val="0"/>
                <w:sz w:val="18"/>
              </w:rPr>
              <w:t>0.1033</w:t>
            </w:r>
          </w:p>
        </w:tc>
        <w:tc>
          <w:tcPr>
            <w:tcW w:type="dxa" w:w="1763"/>
            <w:vAlign w:val="center"/>
            <w:tcMar>
              <w:top w:w="90" w:type="dxa"/>
              <w:left w:w="90" w:type="dxa"/>
              <w:bottom w:w="90" w:type="dxa"/>
              <w:right w:w="90" w:type="dxa"/>
            </w:tcMar>
          </w:tcPr>
          <w:p>
            <w:pPr>
              <w:spacing w:after="40" w:line="276" w:lineRule="auto"/>
            </w:pPr>
            <w:r>
              <w:rPr>
                <w:b w:val="0"/>
                <w:i w:val="0"/>
                <w:sz w:val="18"/>
              </w:rPr>
              <w:t>0.1025</w:t>
            </w:r>
          </w:p>
        </w:tc>
        <w:tc>
          <w:tcPr>
            <w:tcW w:type="dxa" w:w="1833"/>
            <w:vAlign w:val="center"/>
            <w:tcMar>
              <w:top w:w="90" w:type="dxa"/>
              <w:left w:w="90" w:type="dxa"/>
              <w:bottom w:w="90" w:type="dxa"/>
              <w:right w:w="90" w:type="dxa"/>
            </w:tcMar>
          </w:tcPr>
          <w:p>
            <w:pPr>
              <w:spacing w:after="40" w:line="276" w:lineRule="auto"/>
            </w:pPr>
            <w:r>
              <w:rPr>
                <w:b w:val="0"/>
                <w:i w:val="0"/>
                <w:sz w:val="18"/>
              </w:rPr>
              <w:t>1.04</w:t>
            </w:r>
          </w:p>
        </w:tc>
        <w:tc>
          <w:tcPr>
            <w:tcW w:type="dxa" w:w="1620"/>
            <w:vAlign w:val="center"/>
            <w:tcMar>
              <w:top w:w="90" w:type="dxa"/>
              <w:left w:w="90" w:type="dxa"/>
              <w:bottom w:w="90" w:type="dxa"/>
              <w:right w:w="90" w:type="dxa"/>
            </w:tcMar>
          </w:tcPr>
          <w:p>
            <w:pPr>
              <w:spacing w:after="40" w:line="276" w:lineRule="auto"/>
            </w:pPr>
            <w:r>
              <w:rPr>
                <w:b w:val="0"/>
                <w:i w:val="0"/>
                <w:sz w:val="18"/>
              </w:rPr>
              <w:t>0.1201</w:t>
            </w:r>
          </w:p>
        </w:tc>
      </w:tr>
    </w:tbl>
    <w:p>
      <w:pPr>
        <w:spacing w:after="20"/>
      </w:pPr>
    </w:p>
    <w:p>
      <w:r>
        <w:rPr>
          <w:b w:val="0"/>
          <w:i w:val="0"/>
        </w:rPr>
        <w:t>修正口径的风电值仍高于全国观测均值。计算采用原始 ERA5 风速、各风电技术的一条功率曲线及固定损失乘数；DUKES 则记录实际机组组合的发电量，包含调度和机组构成的影响。该表为上述参数设定提供外部比较。</w:t>
      </w:r>
    </w:p>
    <w:p>
      <w:r>
        <w:rPr>
          <w:b w:val="0"/>
          <w:i w:val="0"/>
        </w:rPr>
        <w:t>光伏计算对气候态辐射序列执行非线性分解和倾斜面转换。GBP1 代表点得到的散射比例约为 0.63–0.75，阵列平面与水平面辐射量之比约为 1.05–1.10。这些量对应所采用的气候态及转换，特定年份的模拟需要相应年份的天气输入。</w:t>
      </w:r>
    </w:p>
    <w:p>
      <w:pPr>
        <w:pStyle w:val="Heading2"/>
      </w:pPr>
      <w:r>
        <w:rPr>
          <w:b w:val="0"/>
          <w:i w:val="0"/>
        </w:rPr>
        <w:t>项目位置、资产聚合与分区</w:t>
      </w:r>
    </w:p>
    <w:p>
      <w:r>
        <w:rPr>
          <w:b w:val="0"/>
          <w:i w:val="0"/>
        </w:rPr>
        <w:t xml:space="preserve">风光项目通过同技术代表点建立空间天气对应。英国初始模板包含 11 个光伏和 11 个陆风代表点，以及 21 个海风代表点名称；R029 的 2025 年初始设定包含 11 个光伏、11 个陆风和 18 个海风正容量资产。代表点位置由 </w:t>
      </w:r>
      <w:r>
        <w:rPr>
          <w:rFonts w:ascii="DejaVu Sans Mono" w:hAnsi="DejaVu Sans Mono"/>
          <w:b w:val="0"/>
          <w:i w:val="0"/>
          <w:sz w:val="17"/>
        </w:rPr>
        <w:t>fleet.locations</w:t>
      </w:r>
      <w:r>
        <w:rPr>
          <w:b w:val="0"/>
          <w:i w:val="0"/>
        </w:rPr>
        <w:t xml:space="preserve"> 和机组名称共同给出。</w:t>
      </w:r>
    </w:p>
    <w:p>
      <w:pPr>
        <w:keepNext/>
      </w:pPr>
      <w:r>
        <w:rPr>
          <w:b w:val="0"/>
          <w:i w:val="0"/>
        </w:rPr>
        <w:t>具有明确坐标的项目采用同技术的最近代表点。</w:t>
      </w:r>
      <w:r>
        <w:rPr>
          <w:rFonts w:ascii="DejaVu Sans Mono" w:hAnsi="DejaVu Sans Mono"/>
          <w:b w:val="0"/>
          <w:i w:val="0"/>
          <w:sz w:val="17"/>
        </w:rPr>
        <w:t>nearest_site</w:t>
      </w:r>
      <w:r>
        <w:rPr>
          <w:b w:val="0"/>
          <w:i w:val="0"/>
        </w:rPr>
        <w:t xml:space="preserve"> 将项目纬度、经度转换为以弧度表示的 </w:t>
      </w:r>
      <w:r>
        <w:rPr>
          <w:rFonts w:ascii="DejaVu Sans Mono" w:hAnsi="DejaVu Sans Mono"/>
          <w:b w:val="0"/>
          <w:i w:val="0"/>
          <w:sz w:val="17"/>
        </w:rPr>
        <w:t>lat1</w:t>
      </w:r>
      <w:r>
        <w:rPr>
          <w:b w:val="0"/>
          <w:i w:val="0"/>
        </w:rPr>
        <w:t>、</w:t>
      </w:r>
      <w:r>
        <w:rPr>
          <w:rFonts w:ascii="DejaVu Sans Mono" w:hAnsi="DejaVu Sans Mono"/>
          <w:b w:val="0"/>
          <w:i w:val="0"/>
          <w:sz w:val="17"/>
        </w:rPr>
        <w:t>lon1</w:t>
      </w:r>
      <w:r>
        <w:rPr>
          <w:b w:val="0"/>
          <w:i w:val="0"/>
        </w:rPr>
        <w:t xml:space="preserve">，候选点坐标记为 </w:t>
      </w:r>
      <w:r>
        <w:rPr>
          <w:rFonts w:ascii="DejaVu Sans Mono" w:hAnsi="DejaVu Sans Mono"/>
          <w:b w:val="0"/>
          <w:i w:val="0"/>
          <w:sz w:val="17"/>
        </w:rPr>
        <w:t>lat2</w:t>
      </w:r>
      <w:r>
        <w:rPr>
          <w:b w:val="0"/>
          <w:i w:val="0"/>
        </w:rPr>
        <w:t>、</w:t>
      </w:r>
      <w:r>
        <w:rPr>
          <w:rFonts w:ascii="DejaVu Sans Mono" w:hAnsi="DejaVu Sans Mono"/>
          <w:b w:val="0"/>
          <w:i w:val="0"/>
          <w:sz w:val="17"/>
        </w:rPr>
        <w:t>lon2</w:t>
      </w:r>
      <w:r>
        <w:rPr>
          <w:b w:val="0"/>
          <w:i w:val="0"/>
        </w:rPr>
        <w:t>，球面距离为</w:t>
      </w:r>
    </w:p>
    <w:p>
      <w:pPr>
        <w:spacing w:after="160"/>
        <w:jc w:val="center"/>
      </w:pPr>
      <w:r>
        <w:drawing>
          <wp:inline xmlns:a="http://schemas.openxmlformats.org/drawingml/2006/main" xmlns:pic="http://schemas.openxmlformats.org/drawingml/2006/picture">
            <wp:extent cx="4308805" cy="985196"/>
            <wp:docPr id="26" name="Picture 26"/>
            <wp:cNvGraphicFramePr>
              <a:graphicFrameLocks noChangeAspect="1"/>
            </wp:cNvGraphicFramePr>
            <a:graphic>
              <a:graphicData uri="http://schemas.openxmlformats.org/drawingml/2006/picture">
                <pic:pic>
                  <pic:nvPicPr>
                    <pic:cNvPr id="0" name="eq-026.png"/>
                    <pic:cNvPicPr/>
                  </pic:nvPicPr>
                  <pic:blipFill>
                    <a:blip r:embed="rId36"/>
                    <a:stretch>
                      <a:fillRect/>
                    </a:stretch>
                  </pic:blipFill>
                  <pic:spPr>
                    <a:xfrm>
                      <a:off x="0" y="0"/>
                      <a:ext cx="4308805" cy="985196"/>
                    </a:xfrm>
                    <a:prstGeom prst="rect"/>
                  </pic:spPr>
                </pic:pic>
              </a:graphicData>
            </a:graphic>
          </wp:inline>
        </w:drawing>
      </w:r>
    </w:p>
    <w:p>
      <w:r>
        <w:rPr>
          <w:b w:val="0"/>
          <w:i w:val="0"/>
        </w:rPr>
        <w:t>距离相同时，映射保留候选表中先出现的点。缺少明确位置的光伏和陆风项目先按 REPD 地区映射至下表代表点。</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22"/>
        <w:gridCol w:w="4070"/>
      </w:tblGrid>
      <w:tr>
        <w:trPr>
          <w:cantSplit/>
          <w:tblHeader w:val="true"/>
        </w:trPr>
        <w:tc>
          <w:tcPr>
            <w:tcW w:type="dxa" w:w="5722"/>
            <w:vAlign w:val="center"/>
            <w:tcMar>
              <w:top w:w="90" w:type="dxa"/>
              <w:left w:w="90" w:type="dxa"/>
              <w:bottom w:w="90" w:type="dxa"/>
              <w:right w:w="90" w:type="dxa"/>
            </w:tcMar>
            <w:shd w:fill="EEEEEE"/>
          </w:tcPr>
          <w:p>
            <w:pPr>
              <w:spacing w:after="40" w:line="276" w:lineRule="auto"/>
            </w:pPr>
            <w:r>
              <w:rPr>
                <w:b/>
                <w:i w:val="0"/>
                <w:sz w:val="18"/>
              </w:rPr>
              <w:t>REPD 地区</w:t>
            </w:r>
          </w:p>
        </w:tc>
        <w:tc>
          <w:tcPr>
            <w:tcW w:type="dxa" w:w="4070"/>
            <w:vAlign w:val="center"/>
            <w:tcMar>
              <w:top w:w="90" w:type="dxa"/>
              <w:left w:w="90" w:type="dxa"/>
              <w:bottom w:w="90" w:type="dxa"/>
              <w:right w:w="90" w:type="dxa"/>
            </w:tcMar>
            <w:shd w:fill="EEEEEE"/>
          </w:tcPr>
          <w:p>
            <w:pPr>
              <w:spacing w:after="40" w:line="276" w:lineRule="auto"/>
            </w:pPr>
            <w:r>
              <w:rPr>
                <w:b/>
                <w:i w:val="0"/>
                <w:sz w:val="18"/>
              </w:rPr>
              <w:t>代表点</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East Midlands</w:t>
            </w:r>
          </w:p>
        </w:tc>
        <w:tc>
          <w:tcPr>
            <w:tcW w:type="dxa" w:w="4070"/>
            <w:vAlign w:val="center"/>
            <w:tcMar>
              <w:top w:w="90" w:type="dxa"/>
              <w:left w:w="90" w:type="dxa"/>
              <w:bottom w:w="90" w:type="dxa"/>
              <w:right w:w="90" w:type="dxa"/>
            </w:tcMar>
          </w:tcPr>
          <w:p>
            <w:pPr>
              <w:spacing w:after="40" w:line="276" w:lineRule="auto"/>
            </w:pPr>
            <w:r>
              <w:rPr>
                <w:b w:val="0"/>
                <w:i w:val="0"/>
                <w:sz w:val="18"/>
              </w:rPr>
              <w:t>Nottingham</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Eastern</w:t>
            </w:r>
          </w:p>
        </w:tc>
        <w:tc>
          <w:tcPr>
            <w:tcW w:type="dxa" w:w="4070"/>
            <w:vAlign w:val="center"/>
            <w:tcMar>
              <w:top w:w="90" w:type="dxa"/>
              <w:left w:w="90" w:type="dxa"/>
              <w:bottom w:w="90" w:type="dxa"/>
              <w:right w:w="90" w:type="dxa"/>
            </w:tcMar>
          </w:tcPr>
          <w:p>
            <w:pPr>
              <w:spacing w:after="40" w:line="276" w:lineRule="auto"/>
            </w:pPr>
            <w:r>
              <w:rPr>
                <w:b w:val="0"/>
                <w:i w:val="0"/>
                <w:sz w:val="18"/>
              </w:rPr>
              <w:t>Ipswich</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London</w:t>
            </w:r>
          </w:p>
        </w:tc>
        <w:tc>
          <w:tcPr>
            <w:tcW w:type="dxa" w:w="4070"/>
            <w:vAlign w:val="center"/>
            <w:tcMar>
              <w:top w:w="90" w:type="dxa"/>
              <w:left w:w="90" w:type="dxa"/>
              <w:bottom w:w="90" w:type="dxa"/>
              <w:right w:w="90" w:type="dxa"/>
            </w:tcMar>
          </w:tcPr>
          <w:p>
            <w:pPr>
              <w:spacing w:after="40" w:line="276" w:lineRule="auto"/>
            </w:pPr>
            <w:r>
              <w:rPr>
                <w:b w:val="0"/>
                <w:i w:val="0"/>
                <w:sz w:val="18"/>
              </w:rPr>
              <w:t>London</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North East</w:t>
            </w:r>
          </w:p>
        </w:tc>
        <w:tc>
          <w:tcPr>
            <w:tcW w:type="dxa" w:w="4070"/>
            <w:vAlign w:val="center"/>
            <w:tcMar>
              <w:top w:w="90" w:type="dxa"/>
              <w:left w:w="90" w:type="dxa"/>
              <w:bottom w:w="90" w:type="dxa"/>
              <w:right w:w="90" w:type="dxa"/>
            </w:tcMar>
          </w:tcPr>
          <w:p>
            <w:pPr>
              <w:spacing w:after="40" w:line="276" w:lineRule="auto"/>
            </w:pPr>
            <w:r>
              <w:rPr>
                <w:b w:val="0"/>
                <w:i w:val="0"/>
                <w:sz w:val="18"/>
              </w:rPr>
              <w:t>Newcastle</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North West</w:t>
            </w:r>
          </w:p>
        </w:tc>
        <w:tc>
          <w:tcPr>
            <w:tcW w:type="dxa" w:w="4070"/>
            <w:vAlign w:val="center"/>
            <w:tcMar>
              <w:top w:w="90" w:type="dxa"/>
              <w:left w:w="90" w:type="dxa"/>
              <w:bottom w:w="90" w:type="dxa"/>
              <w:right w:w="90" w:type="dxa"/>
            </w:tcMar>
          </w:tcPr>
          <w:p>
            <w:pPr>
              <w:spacing w:after="40" w:line="276" w:lineRule="auto"/>
            </w:pPr>
            <w:r>
              <w:rPr>
                <w:b w:val="0"/>
                <w:i w:val="0"/>
                <w:sz w:val="18"/>
              </w:rPr>
              <w:t>Manchester</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Scotland</w:t>
            </w:r>
          </w:p>
        </w:tc>
        <w:tc>
          <w:tcPr>
            <w:tcW w:type="dxa" w:w="4070"/>
            <w:vAlign w:val="center"/>
            <w:tcMar>
              <w:top w:w="90" w:type="dxa"/>
              <w:left w:w="90" w:type="dxa"/>
              <w:bottom w:w="90" w:type="dxa"/>
              <w:right w:w="90" w:type="dxa"/>
            </w:tcMar>
          </w:tcPr>
          <w:p>
            <w:pPr>
              <w:spacing w:after="40" w:line="276" w:lineRule="auto"/>
            </w:pPr>
            <w:r>
              <w:rPr>
                <w:b w:val="0"/>
                <w:i w:val="0"/>
                <w:sz w:val="18"/>
              </w:rPr>
              <w:t>Edinburgh</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South East</w:t>
            </w:r>
          </w:p>
        </w:tc>
        <w:tc>
          <w:tcPr>
            <w:tcW w:type="dxa" w:w="4070"/>
            <w:vAlign w:val="center"/>
            <w:tcMar>
              <w:top w:w="90" w:type="dxa"/>
              <w:left w:w="90" w:type="dxa"/>
              <w:bottom w:w="90" w:type="dxa"/>
              <w:right w:w="90" w:type="dxa"/>
            </w:tcMar>
          </w:tcPr>
          <w:p>
            <w:pPr>
              <w:spacing w:after="40" w:line="276" w:lineRule="auto"/>
            </w:pPr>
            <w:r>
              <w:rPr>
                <w:b w:val="0"/>
                <w:i w:val="0"/>
                <w:sz w:val="18"/>
              </w:rPr>
              <w:t>Portsmouth</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South West</w:t>
            </w:r>
          </w:p>
        </w:tc>
        <w:tc>
          <w:tcPr>
            <w:tcW w:type="dxa" w:w="4070"/>
            <w:vAlign w:val="center"/>
            <w:tcMar>
              <w:top w:w="90" w:type="dxa"/>
              <w:left w:w="90" w:type="dxa"/>
              <w:bottom w:w="90" w:type="dxa"/>
              <w:right w:w="90" w:type="dxa"/>
            </w:tcMar>
          </w:tcPr>
          <w:p>
            <w:pPr>
              <w:spacing w:after="40" w:line="276" w:lineRule="auto"/>
            </w:pPr>
            <w:r>
              <w:rPr>
                <w:b w:val="0"/>
                <w:i w:val="0"/>
                <w:sz w:val="18"/>
              </w:rPr>
              <w:t>Bournemouth</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Wales</w:t>
            </w:r>
          </w:p>
        </w:tc>
        <w:tc>
          <w:tcPr>
            <w:tcW w:type="dxa" w:w="4070"/>
            <w:vAlign w:val="center"/>
            <w:tcMar>
              <w:top w:w="90" w:type="dxa"/>
              <w:left w:w="90" w:type="dxa"/>
              <w:bottom w:w="90" w:type="dxa"/>
              <w:right w:w="90" w:type="dxa"/>
            </w:tcMar>
          </w:tcPr>
          <w:p>
            <w:pPr>
              <w:spacing w:after="40" w:line="276" w:lineRule="auto"/>
            </w:pPr>
            <w:r>
              <w:rPr>
                <w:b w:val="0"/>
                <w:i w:val="0"/>
                <w:sz w:val="18"/>
              </w:rPr>
              <w:t>Cardiff</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West Midlands</w:t>
            </w:r>
          </w:p>
        </w:tc>
        <w:tc>
          <w:tcPr>
            <w:tcW w:type="dxa" w:w="4070"/>
            <w:vAlign w:val="center"/>
            <w:tcMar>
              <w:top w:w="90" w:type="dxa"/>
              <w:left w:w="90" w:type="dxa"/>
              <w:bottom w:w="90" w:type="dxa"/>
              <w:right w:w="90" w:type="dxa"/>
            </w:tcMar>
          </w:tcPr>
          <w:p>
            <w:pPr>
              <w:spacing w:after="40" w:line="276" w:lineRule="auto"/>
            </w:pPr>
            <w:r>
              <w:rPr>
                <w:b w:val="0"/>
                <w:i w:val="0"/>
                <w:sz w:val="18"/>
              </w:rPr>
              <w:t>Birmingham</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Yorkshire and Humber</w:t>
            </w:r>
          </w:p>
        </w:tc>
        <w:tc>
          <w:tcPr>
            <w:tcW w:type="dxa" w:w="4070"/>
            <w:vAlign w:val="center"/>
            <w:tcMar>
              <w:top w:w="90" w:type="dxa"/>
              <w:left w:w="90" w:type="dxa"/>
              <w:bottom w:w="90" w:type="dxa"/>
              <w:right w:w="90" w:type="dxa"/>
            </w:tcMar>
          </w:tcPr>
          <w:p>
            <w:pPr>
              <w:spacing w:after="40" w:line="276" w:lineRule="auto"/>
            </w:pPr>
            <w:r>
              <w:rPr>
                <w:b w:val="0"/>
                <w:i w:val="0"/>
                <w:sz w:val="18"/>
              </w:rPr>
              <w:t>Sheffield</w:t>
            </w:r>
          </w:p>
        </w:tc>
      </w:tr>
    </w:tbl>
    <w:p>
      <w:pPr>
        <w:spacing w:after="20"/>
      </w:pPr>
    </w:p>
    <w:p>
      <w:r>
        <w:rPr>
          <w:b w:val="0"/>
          <w:i w:val="0"/>
        </w:rPr>
        <w:t>其余未定位项目按同技术既有容量分配。</w:t>
      </w:r>
      <w:r>
        <w:rPr>
          <w:rFonts w:ascii="DejaVu Sans Mono" w:hAnsi="DejaVu Sans Mono"/>
          <w:b w:val="0"/>
          <w:i w:val="0"/>
          <w:sz w:val="17"/>
        </w:rPr>
        <w:t>commissioned_​project_​weather</w:t>
      </w:r>
      <w:r>
        <w:rPr>
          <w:b w:val="0"/>
          <w:i w:val="0"/>
        </w:rPr>
        <w:t xml:space="preserve"> 中的 </w:t>
      </w:r>
      <w:r>
        <w:rPr>
          <w:rFonts w:ascii="DejaVu Sans Mono" w:hAnsi="DejaVu Sans Mono"/>
          <w:b w:val="0"/>
          <w:i w:val="0"/>
          <w:sz w:val="17"/>
        </w:rPr>
        <w:t>stock[name]</w:t>
      </w:r>
      <w:r>
        <w:rPr>
          <w:b w:val="0"/>
          <w:i w:val="0"/>
        </w:rPr>
        <w:t xml:space="preserve"> 为代表点运营容量，</w:t>
      </w:r>
      <w:r>
        <w:rPr>
          <w:rFonts w:ascii="DejaVu Sans Mono" w:hAnsi="DejaVu Sans Mono"/>
          <w:b w:val="0"/>
          <w:i w:val="0"/>
          <w:sz w:val="17"/>
        </w:rPr>
        <w:t>total_stock</w:t>
      </w:r>
      <w:r>
        <w:rPr>
          <w:b w:val="0"/>
          <w:i w:val="0"/>
        </w:rPr>
        <w:t xml:space="preserve"> 为该技术各点之和；同年投运且位置明确的项目先计入容量。其余各点获得 </w:t>
      </w:r>
      <w:r>
        <w:rPr>
          <w:rFonts w:ascii="DejaVu Sans Mono" w:hAnsi="DejaVu Sans Mono"/>
          <w:b w:val="0"/>
          <w:i w:val="0"/>
          <w:sz w:val="17"/>
        </w:rPr>
        <w:t>total_new * stock[name] / total_stock</w:t>
      </w:r>
      <w:r>
        <w:rPr>
          <w:b w:val="0"/>
          <w:i w:val="0"/>
        </w:rPr>
        <w:t xml:space="preserve"> MW，最后一点接收余量。总容量为零时选择第一个代表点；分配量小于或等于 0.000001 MW 时，该份额的天气权重为零。</w:t>
      </w:r>
    </w:p>
    <w:p>
      <w:pPr>
        <w:keepNext/>
      </w:pPr>
      <w:r>
        <w:rPr>
          <w:b w:val="0"/>
          <w:i w:val="0"/>
        </w:rPr>
        <w:t xml:space="preserve">资产沿用投运时确定的 </w:t>
      </w:r>
      <w:r>
        <w:rPr>
          <w:rFonts w:ascii="DejaVu Sans Mono" w:hAnsi="DejaVu Sans Mono"/>
          <w:b w:val="0"/>
          <w:i w:val="0"/>
          <w:sz w:val="17"/>
        </w:rPr>
        <w:t>weather_source_weights</w:t>
      </w:r>
      <w:r>
        <w:rPr>
          <w:b w:val="0"/>
          <w:i w:val="0"/>
        </w:rPr>
        <w:t>。</w:t>
      </w:r>
      <w:r>
        <w:rPr>
          <w:rFonts w:ascii="DejaVu Sans Mono" w:hAnsi="DejaVu Sans Mono"/>
          <w:b w:val="0"/>
          <w:i w:val="0"/>
          <w:sz w:val="17"/>
        </w:rPr>
        <w:t>source_weights</w:t>
      </w:r>
      <w:r>
        <w:rPr>
          <w:b w:val="0"/>
          <w:i w:val="0"/>
        </w:rPr>
        <w:t xml:space="preserve"> 提供映射 </w:t>
      </w:r>
      <w:r>
        <w:rPr>
          <w:rFonts w:ascii="DejaVu Sans Mono" w:hAnsi="DejaVu Sans Mono"/>
          <w:b w:val="0"/>
          <w:i w:val="0"/>
          <w:sz w:val="17"/>
        </w:rPr>
        <w:t>weights</w:t>
      </w:r>
      <w:r>
        <w:rPr>
          <w:b w:val="0"/>
          <w:i w:val="0"/>
        </w:rPr>
        <w:t>，</w:t>
      </w:r>
      <w:r>
        <w:rPr>
          <w:rFonts w:ascii="DejaVu Sans Mono" w:hAnsi="DejaVu Sans Mono"/>
          <w:b w:val="0"/>
          <w:i w:val="0"/>
          <w:sz w:val="17"/>
        </w:rPr>
        <w:t>_map_lineages</w:t>
      </w:r>
      <w:r>
        <w:rPr>
          <w:b w:val="0"/>
          <w:i w:val="0"/>
        </w:rPr>
        <w:t xml:space="preserve"> 按各来源曲线 </w:t>
      </w:r>
      <w:r>
        <w:rPr>
          <w:rFonts w:ascii="DejaVu Sans Mono" w:hAnsi="DejaVu Sans Mono"/>
          <w:b w:val="0"/>
          <w:i w:val="0"/>
          <w:sz w:val="17"/>
        </w:rPr>
        <w:t>values</w:t>
      </w:r>
      <w:r>
        <w:rPr>
          <w:b w:val="0"/>
          <w:i w:val="0"/>
        </w:rPr>
        <w:t xml:space="preserve"> 及其 </w:t>
      </w:r>
      <w:r>
        <w:rPr>
          <w:rFonts w:ascii="DejaVu Sans Mono" w:hAnsi="DejaVu Sans Mono"/>
          <w:b w:val="0"/>
          <w:i w:val="0"/>
          <w:sz w:val="17"/>
        </w:rPr>
        <w:t>weight</w:t>
      </w:r>
      <w:r>
        <w:rPr>
          <w:b w:val="0"/>
          <w:i w:val="0"/>
        </w:rPr>
        <w:t xml:space="preserve"> 求和，得到无量纲曲线 </w:t>
      </w:r>
      <w:r>
        <w:rPr>
          <w:rFonts w:ascii="DejaVu Sans Mono" w:hAnsi="DejaVu Sans Mono"/>
          <w:b w:val="0"/>
          <w:i w:val="0"/>
          <w:sz w:val="17"/>
        </w:rPr>
        <w:t>combined</w:t>
      </w:r>
      <w:r>
        <w:rPr>
          <w:b w:val="0"/>
          <w:i w:val="0"/>
        </w:rPr>
        <w:t>：</w:t>
      </w:r>
    </w:p>
    <w:p>
      <w:pPr>
        <w:spacing w:after="160"/>
        <w:jc w:val="center"/>
      </w:pPr>
      <w:r>
        <w:drawing>
          <wp:inline xmlns:a="http://schemas.openxmlformats.org/drawingml/2006/main" xmlns:pic="http://schemas.openxmlformats.org/drawingml/2006/picture">
            <wp:extent cx="3718407" cy="363385"/>
            <wp:docPr id="27" name="Picture 27"/>
            <wp:cNvGraphicFramePr>
              <a:graphicFrameLocks noChangeAspect="1"/>
            </wp:cNvGraphicFramePr>
            <a:graphic>
              <a:graphicData uri="http://schemas.openxmlformats.org/drawingml/2006/picture">
                <pic:pic>
                  <pic:nvPicPr>
                    <pic:cNvPr id="0" name="eq-027.png"/>
                    <pic:cNvPicPr/>
                  </pic:nvPicPr>
                  <pic:blipFill>
                    <a:blip r:embed="rId37"/>
                    <a:stretch>
                      <a:fillRect/>
                    </a:stretch>
                  </pic:blipFill>
                  <pic:spPr>
                    <a:xfrm>
                      <a:off x="0" y="0"/>
                      <a:ext cx="3718407" cy="363385"/>
                    </a:xfrm>
                    <a:prstGeom prst="rect"/>
                  </pic:spPr>
                </pic:pic>
              </a:graphicData>
            </a:graphic>
          </wp:inline>
        </w:drawing>
      </w:r>
    </w:p>
    <w:p>
      <w:r>
        <w:rPr>
          <w:b w:val="0"/>
          <w:i w:val="0"/>
        </w:rPr>
        <w:t>天气读取器检查来源技术及权重的有限性、非负性。权重之和为 1，并保留 0.000001 MW 分配规则产生的有界缺口。后续容量变化沿用这些权重。</w:t>
      </w:r>
    </w:p>
    <w:p>
      <w:r>
        <w:rPr>
          <w:b w:val="0"/>
          <w:i w:val="0"/>
        </w:rPr>
        <w:t>当前全国市场将年度资产映射到固定的市场主体与代表天气拓扑。映射优先采用相同资产编号，其次选择同技术且地区匹配的主体，并按已有映射容量分配；容量为零时依次采用模板容量和等权分配。每个市场主体的最终容量等于归属于它的年度资产容量之和。</w:t>
      </w:r>
    </w:p>
    <w:p>
      <w:r>
        <w:rPr>
          <w:b w:val="0"/>
          <w:i w:val="0"/>
        </w:rPr>
        <w:t xml:space="preserve">分区运行按 </w:t>
      </w:r>
      <w:r>
        <w:rPr>
          <w:rFonts w:ascii="DejaVu Sans Mono" w:hAnsi="DejaVu Sans Mono"/>
          <w:b w:val="0"/>
          <w:i w:val="0"/>
          <w:sz w:val="17"/>
        </w:rPr>
        <w:t>zone_share</w:t>
      </w:r>
      <w:r>
        <w:rPr>
          <w:b w:val="0"/>
          <w:i w:val="0"/>
        </w:rPr>
        <w:t xml:space="preserve"> 划分资产容量，保留其天气曲线和经济所有者。</w:t>
      </w:r>
      <w:r>
        <w:rPr>
          <w:rFonts w:ascii="DejaVu Sans Mono" w:hAnsi="DejaVu Sans Mono"/>
          <w:b w:val="0"/>
          <w:i w:val="0"/>
          <w:sz w:val="17"/>
        </w:rPr>
        <w:t>StagedBidAtCostPSM</w:t>
      </w:r>
      <w:r>
        <w:rPr>
          <w:b w:val="0"/>
          <w:i w:val="0"/>
        </w:rPr>
        <w:t xml:space="preserve"> 将各区资源的 </w:t>
      </w:r>
      <w:r>
        <w:rPr>
          <w:rFonts w:ascii="DejaVu Sans Mono" w:hAnsi="DejaVu Sans Mono"/>
          <w:b w:val="0"/>
          <w:i w:val="0"/>
          <w:sz w:val="17"/>
        </w:rPr>
        <w:t>capacity_mw</w:t>
      </w:r>
      <w:r>
        <w:rPr>
          <w:b w:val="0"/>
          <w:i w:val="0"/>
        </w:rPr>
        <w:t xml:space="preserve"> 设为原 </w:t>
      </w:r>
      <w:r>
        <w:rPr>
          <w:rFonts w:ascii="DejaVu Sans Mono" w:hAnsi="DejaVu Sans Mono"/>
          <w:b w:val="0"/>
          <w:i w:val="0"/>
          <w:sz w:val="17"/>
        </w:rPr>
        <w:t>resource.capacity_mw</w:t>
      </w:r>
      <w:r>
        <w:rPr>
          <w:b w:val="0"/>
          <w:i w:val="0"/>
        </w:rPr>
        <w:t xml:space="preserve"> 乘以 </w:t>
      </w:r>
      <w:r>
        <w:rPr>
          <w:rFonts w:ascii="DejaVu Sans Mono" w:hAnsi="DejaVu Sans Mono"/>
          <w:b w:val="0"/>
          <w:i w:val="0"/>
          <w:sz w:val="17"/>
        </w:rPr>
        <w:t>share</w:t>
      </w:r>
      <w:r>
        <w:rPr>
          <w:b w:val="0"/>
          <w:i w:val="0"/>
        </w:rPr>
        <w:t xml:space="preserve">，各份额之和为 1。储能的 </w:t>
      </w:r>
      <w:r>
        <w:rPr>
          <w:rFonts w:ascii="DejaVu Sans Mono" w:hAnsi="DejaVu Sans Mono"/>
          <w:b w:val="0"/>
          <w:i w:val="0"/>
          <w:sz w:val="17"/>
        </w:rPr>
        <w:t>charge_power_mw</w:t>
      </w:r>
      <w:r>
        <w:rPr>
          <w:b w:val="0"/>
          <w:i w:val="0"/>
        </w:rPr>
        <w:t>、</w:t>
      </w:r>
      <w:r>
        <w:rPr>
          <w:rFonts w:ascii="DejaVu Sans Mono" w:hAnsi="DejaVu Sans Mono"/>
          <w:b w:val="0"/>
          <w:i w:val="0"/>
          <w:sz w:val="17"/>
        </w:rPr>
        <w:t>discharge_power_mw</w:t>
      </w:r>
      <w:r>
        <w:rPr>
          <w:b w:val="0"/>
          <w:i w:val="0"/>
        </w:rPr>
        <w:t>、</w:t>
      </w:r>
      <w:r>
        <w:rPr>
          <w:rFonts w:ascii="DejaVu Sans Mono" w:hAnsi="DejaVu Sans Mono"/>
          <w:b w:val="0"/>
          <w:i w:val="0"/>
          <w:sz w:val="17"/>
        </w:rPr>
        <w:t>energy_capacity_mwh</w:t>
      </w:r>
      <w:r>
        <w:rPr>
          <w:b w:val="0"/>
          <w:i w:val="0"/>
        </w:rPr>
        <w:t>、</w:t>
      </w:r>
      <w:r>
        <w:rPr>
          <w:rFonts w:ascii="DejaVu Sans Mono" w:hAnsi="DejaVu Sans Mono"/>
          <w:b w:val="0"/>
          <w:i w:val="0"/>
          <w:sz w:val="17"/>
        </w:rPr>
        <w:t>initial_soc_mwh</w:t>
      </w:r>
      <w:r>
        <w:rPr>
          <w:b w:val="0"/>
          <w:i w:val="0"/>
        </w:rPr>
        <w:t xml:space="preserve"> 采用相同乘法，保持全国总量。</w:t>
      </w:r>
    </w:p>
    <w:p>
      <w:pPr>
        <w:keepNext/>
      </w:pPr>
      <w:r>
        <w:rPr>
          <w:b w:val="0"/>
          <w:i w:val="0"/>
        </w:rPr>
        <w:t xml:space="preserve">独立聚合接口 </w:t>
      </w:r>
      <w:r>
        <w:rPr>
          <w:rFonts w:ascii="DejaVu Sans Mono" w:hAnsi="DejaVu Sans Mono"/>
          <w:b w:val="0"/>
          <w:i w:val="0"/>
          <w:sz w:val="17"/>
        </w:rPr>
        <w:t>REPDERA5AggregatedWeather.build</w:t>
      </w:r>
      <w:r>
        <w:rPr>
          <w:b w:val="0"/>
          <w:i w:val="0"/>
        </w:rPr>
        <w:t xml:space="preserve"> 在同一所有者、技术和分区内，合并预先计算的项目曲线。分配记录集合记为 </w:t>
      </w:r>
      <w:r>
        <w:rPr>
          <w:rFonts w:ascii="DejaVu Sans Mono" w:hAnsi="DejaVu Sans Mono"/>
          <w:b w:val="0"/>
          <w:i w:val="0"/>
          <w:sz w:val="17"/>
        </w:rPr>
        <w:t>rows</w:t>
      </w:r>
      <w:r>
        <w:rPr>
          <w:b w:val="0"/>
          <w:i w:val="0"/>
        </w:rPr>
        <w:t xml:space="preserve">，其 </w:t>
      </w:r>
      <w:r>
        <w:rPr>
          <w:rFonts w:ascii="DejaVu Sans Mono" w:hAnsi="DejaVu Sans Mono"/>
          <w:b w:val="0"/>
          <w:i w:val="0"/>
          <w:sz w:val="17"/>
        </w:rPr>
        <w:t>capacity_mw</w:t>
      </w:r>
      <w:r>
        <w:rPr>
          <w:b w:val="0"/>
          <w:i w:val="0"/>
        </w:rPr>
        <w:t xml:space="preserve"> 之和为 </w:t>
      </w:r>
      <w:r>
        <w:rPr>
          <w:rFonts w:ascii="DejaVu Sans Mono" w:hAnsi="DejaVu Sans Mono"/>
          <w:b w:val="0"/>
          <w:i w:val="0"/>
          <w:sz w:val="17"/>
        </w:rPr>
        <w:t>total</w:t>
      </w:r>
      <w:r>
        <w:rPr>
          <w:b w:val="0"/>
          <w:i w:val="0"/>
        </w:rPr>
        <w:t xml:space="preserve">，单位为 MW；各来源曲线记为 </w:t>
      </w:r>
      <w:r>
        <w:rPr>
          <w:rFonts w:ascii="DejaVu Sans Mono" w:hAnsi="DejaVu Sans Mono"/>
          <w:b w:val="0"/>
          <w:i w:val="0"/>
          <w:sz w:val="17"/>
        </w:rPr>
        <w:t>values</w:t>
      </w:r>
      <w:r>
        <w:rPr>
          <w:b w:val="0"/>
          <w:i w:val="0"/>
        </w:rPr>
        <w:t xml:space="preserve">，组合曲线 </w:t>
      </w:r>
      <w:r>
        <w:rPr>
          <w:rFonts w:ascii="DejaVu Sans Mono" w:hAnsi="DejaVu Sans Mono"/>
          <w:b w:val="0"/>
          <w:i w:val="0"/>
          <w:sz w:val="17"/>
        </w:rPr>
        <w:t>weighted</w:t>
      </w:r>
      <w:r>
        <w:rPr>
          <w:b w:val="0"/>
          <w:i w:val="0"/>
        </w:rPr>
        <w:t xml:space="preserve"> 为</w:t>
      </w:r>
    </w:p>
    <w:p>
      <w:pPr>
        <w:spacing w:after="160"/>
        <w:jc w:val="center"/>
      </w:pPr>
      <w:r>
        <w:drawing>
          <wp:inline xmlns:a="http://schemas.openxmlformats.org/drawingml/2006/main" xmlns:pic="http://schemas.openxmlformats.org/drawingml/2006/picture">
            <wp:extent cx="4298441" cy="845970"/>
            <wp:docPr id="28" name="Picture 28"/>
            <wp:cNvGraphicFramePr>
              <a:graphicFrameLocks noChangeAspect="1"/>
            </wp:cNvGraphicFramePr>
            <a:graphic>
              <a:graphicData uri="http://schemas.openxmlformats.org/drawingml/2006/picture">
                <pic:pic>
                  <pic:nvPicPr>
                    <pic:cNvPr id="0" name="eq-028.png"/>
                    <pic:cNvPicPr/>
                  </pic:nvPicPr>
                  <pic:blipFill>
                    <a:blip r:embed="rId38"/>
                    <a:stretch>
                      <a:fillRect/>
                    </a:stretch>
                  </pic:blipFill>
                  <pic:spPr>
                    <a:xfrm>
                      <a:off x="0" y="0"/>
                      <a:ext cx="4298441" cy="845970"/>
                    </a:xfrm>
                    <a:prstGeom prst="rect"/>
                  </pic:spPr>
                </pic:pic>
              </a:graphicData>
            </a:graphic>
          </wp:inline>
        </w:drawing>
      </w:r>
    </w:p>
    <w:p>
      <w:r>
        <w:rPr>
          <w:b w:val="0"/>
          <w:i w:val="0"/>
        </w:rPr>
        <w:t>聚合接口接受同长度、有限且位于 [0,1] 的曲线及正总容量，项目曲线由调用方提供。当前分区执行路径将代表点曲线复制到资产的各区域份额。</w:t>
      </w:r>
    </w:p>
    <w:p>
      <w:pPr>
        <w:pStyle w:val="Heading2"/>
      </w:pPr>
      <w:r>
        <w:rPr>
          <w:b w:val="0"/>
          <w:i w:val="0"/>
        </w:rPr>
        <w:t>年度风光容量上限</w:t>
      </w:r>
    </w:p>
    <w:p>
      <w:pPr>
        <w:keepNext/>
      </w:pPr>
      <w:r>
        <w:rPr>
          <w:b w:val="0"/>
          <w:i w:val="0"/>
        </w:rPr>
        <w:t>通用投资规则按峰值需求与各技术 CSV 曲线的峰值计算可新增容量空间。</w:t>
      </w:r>
      <w:r>
        <w:rPr>
          <w:rFonts w:ascii="DejaVu Sans Mono" w:hAnsi="DejaVu Sans Mono"/>
          <w:b w:val="0"/>
          <w:i w:val="0"/>
          <w:sz w:val="17"/>
        </w:rPr>
        <w:t>canonical_psm_data</w:t>
      </w:r>
      <w:r>
        <w:rPr>
          <w:b w:val="0"/>
          <w:i w:val="0"/>
        </w:rPr>
        <w:t xml:space="preserve"> 中，</w:t>
      </w:r>
      <w:r>
        <w:rPr>
          <w:rFonts w:ascii="DejaVu Sans Mono" w:hAnsi="DejaVu Sans Mono"/>
          <w:b w:val="0"/>
          <w:i w:val="0"/>
          <w:sz w:val="17"/>
        </w:rPr>
        <w:t>demand</w:t>
      </w:r>
      <w:r>
        <w:rPr>
          <w:b w:val="0"/>
          <w:i w:val="0"/>
        </w:rPr>
        <w:t xml:space="preserve"> 为时段电量（MWh），</w:t>
      </w:r>
      <w:r>
        <w:rPr>
          <w:rFonts w:ascii="DejaVu Sans Mono" w:hAnsi="DejaVu Sans Mono"/>
          <w:b w:val="0"/>
          <w:i w:val="0"/>
          <w:sz w:val="17"/>
        </w:rPr>
        <w:t>period_hours</w:t>
      </w:r>
      <w:r>
        <w:rPr>
          <w:b w:val="0"/>
          <w:i w:val="0"/>
        </w:rPr>
        <w:t xml:space="preserve"> 为 0.5 h，</w:t>
      </w:r>
      <w:r>
        <w:rPr>
          <w:rFonts w:ascii="DejaVu Sans Mono" w:hAnsi="DejaVu Sans Mono"/>
          <w:b w:val="0"/>
          <w:i w:val="0"/>
          <w:sz w:val="17"/>
        </w:rPr>
        <w:t>availability</w:t>
      </w:r>
      <w:r>
        <w:rPr>
          <w:b w:val="0"/>
          <w:i w:val="0"/>
        </w:rPr>
        <w:t xml:space="preserve"> 为无量纲技术曲线，</w:t>
      </w:r>
      <w:r>
        <w:rPr>
          <w:rFonts w:ascii="DejaVu Sans Mono" w:hAnsi="DejaVu Sans Mono"/>
          <w:b w:val="0"/>
          <w:i w:val="0"/>
          <w:sz w:val="17"/>
        </w:rPr>
        <w:t>capacity_by_technology</w:t>
      </w:r>
      <w:r>
        <w:rPr>
          <w:b w:val="0"/>
          <w:i w:val="0"/>
        </w:rPr>
        <w:t xml:space="preserve"> 为运营容量（MW）。</w:t>
      </w:r>
      <w:r>
        <w:rPr>
          <w:rFonts w:ascii="DejaVu Sans Mono" w:hAnsi="DejaVu Sans Mono"/>
          <w:b w:val="0"/>
          <w:i w:val="0"/>
          <w:sz w:val="17"/>
        </w:rPr>
        <w:t>vre-expansion-cap</w:t>
      </w:r>
      <w:r>
        <w:rPr>
          <w:b w:val="0"/>
          <w:i w:val="0"/>
        </w:rPr>
        <w:t xml:space="preserve"> 模块将所得 </w:t>
      </w:r>
      <w:r>
        <w:rPr>
          <w:rFonts w:ascii="DejaVu Sans Mono" w:hAnsi="DejaVu Sans Mono"/>
          <w:b w:val="0"/>
          <w:i w:val="0"/>
          <w:sz w:val="17"/>
        </w:rPr>
        <w:t>headroom</w:t>
      </w:r>
      <w:r>
        <w:rPr>
          <w:b w:val="0"/>
          <w:i w:val="0"/>
        </w:rPr>
        <w:t xml:space="preserve"> 乘以 </w:t>
      </w:r>
      <w:r>
        <w:rPr>
          <w:rFonts w:ascii="DejaVu Sans Mono" w:hAnsi="DejaVu Sans Mono"/>
          <w:b w:val="0"/>
          <w:i w:val="0"/>
          <w:sz w:val="17"/>
        </w:rPr>
        <w:t>expansion.vre_​cap_​fraction</w:t>
      </w:r>
      <w:r>
        <w:rPr>
          <w:b w:val="0"/>
          <w:i w:val="0"/>
        </w:rPr>
        <w:t xml:space="preserve">，该比例记为 </w:t>
      </w:r>
      <w:r>
        <w:rPr>
          <w:rFonts w:ascii="DejaVu Sans Mono" w:hAnsi="DejaVu Sans Mono"/>
          <w:b w:val="0"/>
          <w:i w:val="0"/>
          <w:sz w:val="17"/>
        </w:rPr>
        <w:t>fraction</w:t>
      </w:r>
      <w:r>
        <w:rPr>
          <w:b w:val="0"/>
          <w:i w:val="0"/>
        </w:rPr>
        <w:t xml:space="preserve">，得到以 MW 表示的年度上限 </w:t>
      </w:r>
      <w:r>
        <w:rPr>
          <w:rFonts w:ascii="DejaVu Sans Mono" w:hAnsi="DejaVu Sans Mono"/>
          <w:b w:val="0"/>
          <w:i w:val="0"/>
          <w:sz w:val="17"/>
        </w:rPr>
        <w:t>limits</w:t>
      </w:r>
      <w:r>
        <w:rPr>
          <w:b w:val="0"/>
          <w:i w:val="0"/>
        </w:rPr>
        <w:t>：</w:t>
      </w:r>
    </w:p>
    <w:p>
      <w:pPr>
        <w:spacing w:after="160"/>
        <w:jc w:val="center"/>
      </w:pPr>
      <w:r>
        <w:drawing>
          <wp:inline xmlns:a="http://schemas.openxmlformats.org/drawingml/2006/main" xmlns:pic="http://schemas.openxmlformats.org/drawingml/2006/picture">
            <wp:extent cx="5312968" cy="1415115"/>
            <wp:docPr id="29" name="Picture 29"/>
            <wp:cNvGraphicFramePr>
              <a:graphicFrameLocks noChangeAspect="1"/>
            </wp:cNvGraphicFramePr>
            <a:graphic>
              <a:graphicData uri="http://schemas.openxmlformats.org/drawingml/2006/picture">
                <pic:pic>
                  <pic:nvPicPr>
                    <pic:cNvPr id="0" name="eq-029.png"/>
                    <pic:cNvPicPr/>
                  </pic:nvPicPr>
                  <pic:blipFill>
                    <a:blip r:embed="rId39"/>
                    <a:stretch>
                      <a:fillRect/>
                    </a:stretch>
                  </pic:blipFill>
                  <pic:spPr>
                    <a:xfrm>
                      <a:off x="0" y="0"/>
                      <a:ext cx="5312968" cy="1415115"/>
                    </a:xfrm>
                    <a:prstGeom prst="rect"/>
                  </pic:spPr>
                </pic:pic>
              </a:graphicData>
            </a:graphic>
          </wp:inline>
        </w:drawing>
      </w:r>
    </w:p>
    <w:p>
      <w:r>
        <w:rPr>
          <w:b w:val="0"/>
          <w:i w:val="0"/>
        </w:rPr>
        <w:t xml:space="preserve">技术平均投资曲线由 2022 年 ERA5 资料结合机组和项目假设构成。原始光伏 </w:t>
      </w:r>
      <w:r>
        <w:rPr>
          <w:rFonts w:ascii="DejaVu Sans Mono" w:hAnsi="DejaVu Sans Mono"/>
          <w:b w:val="0"/>
          <w:i w:val="0"/>
          <w:sz w:val="17"/>
        </w:rPr>
        <w:t>sa.csv</w:t>
      </w:r>
      <w:r>
        <w:rPr>
          <w:b w:val="0"/>
          <w:i w:val="0"/>
        </w:rPr>
        <w:t xml:space="preserve"> 含 8,761 行，最后一行为 </w:t>
      </w:r>
      <w:r>
        <w:rPr>
          <w:rFonts w:ascii="DejaVu Sans Mono" w:hAnsi="DejaVu Sans Mono"/>
          <w:b w:val="0"/>
          <w:i w:val="0"/>
          <w:sz w:val="17"/>
        </w:rPr>
        <w:t>2023-01-01T00:00:00</w:t>
      </w:r>
      <w:r>
        <w:rPr>
          <w:b w:val="0"/>
          <w:i w:val="0"/>
        </w:rPr>
        <w:t xml:space="preserve"> 的零值；陆风 </w:t>
      </w:r>
      <w:r>
        <w:rPr>
          <w:rFonts w:ascii="DejaVu Sans Mono" w:hAnsi="DejaVu Sans Mono"/>
          <w:b w:val="0"/>
          <w:i w:val="0"/>
          <w:sz w:val="17"/>
        </w:rPr>
        <w:t>wa.csv</w:t>
      </w:r>
      <w:r>
        <w:rPr>
          <w:b w:val="0"/>
          <w:i w:val="0"/>
        </w:rPr>
        <w:t xml:space="preserve"> 和海风 </w:t>
      </w:r>
      <w:r>
        <w:rPr>
          <w:rFonts w:ascii="DejaVu Sans Mono" w:hAnsi="DejaVu Sans Mono"/>
          <w:b w:val="0"/>
          <w:i w:val="0"/>
          <w:sz w:val="17"/>
        </w:rPr>
        <w:t>we.csv</w:t>
      </w:r>
      <w:r>
        <w:rPr>
          <w:b w:val="0"/>
          <w:i w:val="0"/>
        </w:rPr>
        <w:t xml:space="preserve"> 各含 8,760 行。Public2 删除光伏末行并声明 </w:t>
      </w:r>
      <w:r>
        <w:rPr>
          <w:rFonts w:ascii="DejaVu Sans Mono" w:hAnsi="DejaVu Sans Mono"/>
          <w:b w:val="0"/>
          <w:i w:val="0"/>
          <w:sz w:val="17"/>
        </w:rPr>
        <w:t>interval_minutes=60</w:t>
      </w:r>
      <w:r>
        <w:rPr>
          <w:b w:val="0"/>
          <w:i w:val="0"/>
        </w:rPr>
        <w:t>，将剩余各值重复用于两个半小时时段后，与原年度截取所得数值一致。投资读取器沿用 CSV 行序和 ERA5 区间末时间戳；这些曲线直接用于投资计算，调度则采用上文的天气时钟、损失及太阳倾斜面转换。</w:t>
      </w:r>
    </w:p>
    <w:p>
      <w:r>
        <w:rPr>
          <w:b w:val="0"/>
          <w:i w:val="0"/>
        </w:rPr>
        <w:t>峰值需求为 1,000 MW、</w:t>
      </w:r>
      <w:r>
        <w:rPr>
          <w:rFonts w:ascii="DejaVu Sans Mono" w:hAnsi="DejaVu Sans Mono"/>
          <w:b w:val="0"/>
          <w:i w:val="0"/>
          <w:sz w:val="17"/>
        </w:rPr>
        <w:t>peak = 0.8</w:t>
      </w:r>
      <w:r>
        <w:rPr>
          <w:b w:val="0"/>
          <w:i w:val="0"/>
        </w:rPr>
        <w:t>、运营容量为 300 MW 时，</w:t>
      </w:r>
      <w:r>
        <w:rPr>
          <w:rFonts w:ascii="DejaVu Sans Mono" w:hAnsi="DejaVu Sans Mono"/>
          <w:b w:val="0"/>
          <w:i w:val="0"/>
          <w:sz w:val="17"/>
        </w:rPr>
        <w:t>headroom</w:t>
      </w:r>
      <w:r>
        <w:rPr>
          <w:b w:val="0"/>
          <w:i w:val="0"/>
        </w:rPr>
        <w:t xml:space="preserve"> 为 950 MW，年度上限为 190 MW。曲线峰值为零时，分母下界为 0.000000000001。</w:t>
      </w:r>
    </w:p>
    <w:p>
      <w:r>
        <w:rPr>
          <w:b w:val="0"/>
          <w:i w:val="0"/>
        </w:rPr>
        <w:t xml:space="preserve">实验函数 </w:t>
      </w:r>
      <w:r>
        <w:rPr>
          <w:rFonts w:ascii="DejaVu Sans Mono" w:hAnsi="DejaVu Sans Mono"/>
          <w:b w:val="0"/>
          <w:i w:val="0"/>
          <w:sz w:val="17"/>
        </w:rPr>
        <w:t>thesis96_​vre_​annual_​expansion_​cap</w:t>
      </w:r>
      <w:r>
        <w:rPr>
          <w:b w:val="0"/>
          <w:i w:val="0"/>
        </w:rPr>
        <w:t xml:space="preserve"> 按负净需求时段数确定年度新增容量上限。其三个全年输入为：实际需求时段电量 </w:t>
      </w:r>
      <w:r>
        <w:rPr>
          <w:rFonts w:ascii="DejaVu Sans Mono" w:hAnsi="DejaVu Sans Mono"/>
          <w:b w:val="0"/>
          <w:i w:val="0"/>
          <w:sz w:val="17"/>
        </w:rPr>
        <w:t>demand_mwh</w:t>
      </w:r>
      <w:r>
        <w:rPr>
          <w:b w:val="0"/>
          <w:i w:val="0"/>
        </w:rPr>
        <w:t xml:space="preserve">，全部运营风光资产的物理可用电量 </w:t>
      </w:r>
      <w:r>
        <w:rPr>
          <w:rFonts w:ascii="DejaVu Sans Mono" w:hAnsi="DejaVu Sans Mono"/>
          <w:b w:val="0"/>
          <w:i w:val="0"/>
          <w:sz w:val="17"/>
        </w:rPr>
        <w:t>operational_​vre_​available_​mwh</w:t>
      </w:r>
      <w:r>
        <w:rPr>
          <w:b w:val="0"/>
          <w:i w:val="0"/>
        </w:rPr>
        <w:t xml:space="preserve">，以及待扩张技术每 MW 可用电量 </w:t>
      </w:r>
      <w:r>
        <w:rPr>
          <w:rFonts w:ascii="DejaVu Sans Mono" w:hAnsi="DejaVu Sans Mono"/>
          <w:b w:val="0"/>
          <w:i w:val="0"/>
          <w:sz w:val="17"/>
        </w:rPr>
        <w:t>generation_per_mw_mwh</w:t>
      </w:r>
      <w:r>
        <w:rPr>
          <w:b w:val="0"/>
          <w:i w:val="0"/>
        </w:rPr>
        <w:t>。前两者单位为 MWh/时段，第三者为 MWh/​MW/​时段。技术曲线由该技术运营资产的可用电量除以其总 MW 容量得到；技术容量为零时曲线为零。</w:t>
      </w:r>
    </w:p>
    <w:p>
      <w:r>
        <w:rPr>
          <w:b w:val="0"/>
          <w:i w:val="0"/>
        </w:rPr>
        <w:t xml:space="preserve">函数从需求中扣除风光可用电量得到 </w:t>
      </w:r>
      <w:r>
        <w:rPr>
          <w:rFonts w:ascii="DejaVu Sans Mono" w:hAnsi="DejaVu Sans Mono"/>
          <w:b w:val="0"/>
          <w:i w:val="0"/>
          <w:sz w:val="17"/>
        </w:rPr>
        <w:t>net</w:t>
      </w:r>
      <w:r>
        <w:rPr>
          <w:b w:val="0"/>
          <w:i w:val="0"/>
        </w:rPr>
        <w:t xml:space="preserve">，并将 </w:t>
      </w:r>
      <w:r>
        <w:rPr>
          <w:rFonts w:ascii="DejaVu Sans Mono" w:hAnsi="DejaVu Sans Mono"/>
          <w:b w:val="0"/>
          <w:i w:val="0"/>
          <w:sz w:val="17"/>
        </w:rPr>
        <w:t>net &lt; 0</w:t>
      </w:r>
      <w:r>
        <w:rPr>
          <w:b w:val="0"/>
          <w:i w:val="0"/>
        </w:rPr>
        <w:t xml:space="preserve"> 的时段数记为 </w:t>
      </w:r>
      <w:r>
        <w:rPr>
          <w:rFonts w:ascii="DejaVu Sans Mono" w:hAnsi="DejaVu Sans Mono"/>
          <w:b w:val="0"/>
          <w:i w:val="0"/>
          <w:sz w:val="17"/>
        </w:rPr>
        <w:t>already_negative</w:t>
      </w:r>
      <w:r>
        <w:rPr>
          <w:b w:val="0"/>
          <w:i w:val="0"/>
        </w:rPr>
        <w:t xml:space="preserve">。默认 </w:t>
      </w:r>
      <w:r>
        <w:rPr>
          <w:rFonts w:ascii="DejaVu Sans Mono" w:hAnsi="DejaVu Sans Mono"/>
          <w:b w:val="0"/>
          <w:i w:val="0"/>
          <w:sz w:val="17"/>
        </w:rPr>
        <w:t>negative_threshold = 200</w:t>
      </w:r>
      <w:r>
        <w:rPr>
          <w:b w:val="0"/>
          <w:i w:val="0"/>
        </w:rPr>
        <w:t xml:space="preserve"> 个半小时时段，对应 100 小时。达到该时段数时新增上限为零；其余情况下，每个合格时段产生容量临界值 </w:t>
      </w:r>
      <w:r>
        <w:rPr>
          <w:rFonts w:ascii="DejaVu Sans Mono" w:hAnsi="DejaVu Sans Mono"/>
          <w:b w:val="0"/>
          <w:i w:val="0"/>
          <w:sz w:val="17"/>
        </w:rPr>
        <w:t>net / profile</w:t>
      </w:r>
      <w:r>
        <w:rPr>
          <w:b w:val="0"/>
          <w:i w:val="0"/>
        </w:rPr>
        <w:t xml:space="preserve">，其中 </w:t>
      </w:r>
      <w:r>
        <w:rPr>
          <w:rFonts w:ascii="DejaVu Sans Mono" w:hAnsi="DejaVu Sans Mono"/>
          <w:b w:val="0"/>
          <w:i w:val="0"/>
          <w:sz w:val="17"/>
        </w:rPr>
        <w:t>profile</w:t>
      </w:r>
      <w:r>
        <w:rPr>
          <w:b w:val="0"/>
          <w:i w:val="0"/>
        </w:rPr>
        <w:t xml:space="preserve"> 为输入的 </w:t>
      </w:r>
      <w:r>
        <w:rPr>
          <w:rFonts w:ascii="DejaVu Sans Mono" w:hAnsi="DejaVu Sans Mono"/>
          <w:b w:val="0"/>
          <w:i w:val="0"/>
          <w:sz w:val="17"/>
        </w:rPr>
        <w:t>generation_per_mw_mwh</w:t>
      </w:r>
      <w:r>
        <w:rPr>
          <w:b w:val="0"/>
          <w:i w:val="0"/>
        </w:rPr>
        <w:t xml:space="preserve">。算法取指定的顺序统计量，乘以 </w:t>
      </w:r>
      <w:r>
        <w:rPr>
          <w:rFonts w:ascii="DejaVu Sans Mono" w:hAnsi="DejaVu Sans Mono"/>
          <w:b w:val="0"/>
          <w:i w:val="0"/>
          <w:sz w:val="17"/>
        </w:rPr>
        <w:t>cap_fraction = 0.20</w:t>
      </w:r>
      <w:r>
        <w:rPr>
          <w:b w:val="0"/>
          <w:i w:val="0"/>
        </w:rPr>
        <w:t>：</w:t>
      </w:r>
    </w:p>
    <w:p>
      <w:pPr>
        <w:keepLines/>
        <w:spacing w:line="276" w:lineRule="auto" w:after="160"/>
      </w:pPr>
      <w:r>
        <w:rPr>
          <w:rFonts w:ascii="DejaVu Sans Mono" w:hAnsi="DejaVu Sans Mono"/>
          <w:b w:val="0"/>
          <w:i w:val="0"/>
          <w:sz w:val="17"/>
        </w:rPr>
        <w:t>demand = demand_mwh</w:t>
        <w:br/>
        <w:t>available = operational_​vre_​available_​mwh</w:t>
        <w:br/>
        <w:t>profile = generation_per_mw_mwh</w:t>
        <w:br/>
        <w:t>net = demand - available</w:t>
        <w:br/>
        <w:t>already_negative = count_nonzero(net &lt; 0)</w:t>
        <w:br/>
        <w:t>if already_negative &gt;= negative_threshold:</w:t>
        <w:br/>
        <w:t xml:space="preserve">    return 0.0</w:t>
        <w:br/>
        <w:t>transitions = net[(net &gt;= 0) &amp; (profile &gt; 0)] / profile[(net &gt;= 0) &amp; (profile &gt; 0)]</w:t>
        <w:br/>
        <w:t>needed = negative_threshold - already_negative</w:t>
        <w:br/>
        <w:t>if len(transitions) &lt; needed:</w:t>
        <w:br/>
        <w:t xml:space="preserve">    return 0.0</w:t>
        <w:br/>
        <w:t>critical = partition(transitions, needed - 1)[needed - 1]</w:t>
        <w:br/>
        <w:t>return cap_fraction * critical</w:t>
        <w:br/>
      </w:r>
    </w:p>
    <w:p>
      <w:r>
        <w:rPr>
          <w:rFonts w:ascii="DejaVu Sans Mono" w:hAnsi="DejaVu Sans Mono"/>
          <w:b w:val="0"/>
          <w:i w:val="0"/>
          <w:sz w:val="17"/>
        </w:rPr>
        <w:t>critical</w:t>
      </w:r>
      <w:r>
        <w:rPr>
          <w:b w:val="0"/>
          <w:i w:val="0"/>
        </w:rPr>
        <w:t xml:space="preserve"> 为第 </w:t>
      </w:r>
      <w:r>
        <w:rPr>
          <w:rFonts w:ascii="DejaVu Sans Mono" w:hAnsi="DejaVu Sans Mono"/>
          <w:b w:val="0"/>
          <w:i w:val="0"/>
          <w:sz w:val="17"/>
        </w:rPr>
        <w:t>needed</w:t>
      </w:r>
      <w:r>
        <w:rPr>
          <w:b w:val="0"/>
          <w:i w:val="0"/>
        </w:rPr>
        <w:t xml:space="preserve"> 小的容量临界值，单位为 MW。新增容量等于某个临界值时，对应净需求恰为零；继续增加容量后，该时段进入负净需求。合格临界值数量不足时，函数按既定规则返回零。随 VALUE 0.7.0-alpha.1 发布的 R029 public2 包提供构造这些输入所需的需求、资产和天气。第 6 章说明实验路径的执行覆盖范围。</w:t>
      </w:r>
    </w:p>
    <w:p>
      <w:pPr>
        <w:pStyle w:val="Heading2"/>
      </w:pPr>
      <w:r>
        <w:rPr>
          <w:b w:val="0"/>
          <w:i w:val="0"/>
        </w:rPr>
        <w:t>数据与实现对应</w:t>
      </w:r>
    </w:p>
    <w:p>
      <w:r>
        <w:rPr>
          <w:rFonts w:ascii="DejaVu Sans Mono" w:hAnsi="DejaVu Sans Mono"/>
          <w:b w:val="0"/>
          <w:i w:val="0"/>
          <w:sz w:val="17"/>
        </w:rPr>
        <w:t>calendar_​mean_​solar_​2020_​2024.nc</w:t>
      </w:r>
      <w:r>
        <w:rPr>
          <w:b w:val="0"/>
          <w:i w:val="0"/>
        </w:rPr>
        <w:t xml:space="preserve"> 和 </w:t>
      </w:r>
      <w:r>
        <w:rPr>
          <w:rFonts w:ascii="DejaVu Sans Mono" w:hAnsi="DejaVu Sans Mono"/>
          <w:b w:val="0"/>
          <w:i w:val="0"/>
          <w:sz w:val="17"/>
        </w:rPr>
        <w:t>calendar_​mean_​wind_​2020_​2024.nc</w:t>
      </w:r>
      <w:r>
        <w:rPr>
          <w:b w:val="0"/>
          <w:i w:val="0"/>
        </w:rPr>
        <w:t xml:space="preserve"> 提供 R029 日历气候态。</w:t>
      </w:r>
      <w:r>
        <w:rPr>
          <w:rFonts w:ascii="DejaVu Sans Mono" w:hAnsi="DejaVu Sans Mono"/>
          <w:b w:val="0"/>
          <w:i w:val="0"/>
          <w:sz w:val="17"/>
        </w:rPr>
        <w:t>site_weather</w:t>
      </w:r>
      <w:r>
        <w:rPr>
          <w:b w:val="0"/>
          <w:i w:val="0"/>
        </w:rPr>
        <w:t xml:space="preserve"> 读取代表点序列并应用所选时钟与转换，</w:t>
      </w:r>
      <w:r>
        <w:rPr>
          <w:rFonts w:ascii="DejaVu Sans Mono" w:hAnsi="DejaVu Sans Mono"/>
          <w:b w:val="0"/>
          <w:i w:val="0"/>
          <w:sz w:val="17"/>
        </w:rPr>
        <w:t>solar_irradiance</w:t>
      </w:r>
      <w:r>
        <w:rPr>
          <w:b w:val="0"/>
          <w:i w:val="0"/>
        </w:rPr>
        <w:t xml:space="preserve"> 计算阵列平面辐射。</w:t>
      </w:r>
      <w:r>
        <w:rPr>
          <w:rFonts w:ascii="DejaVu Sans Mono" w:hAnsi="DejaVu Sans Mono"/>
          <w:b w:val="0"/>
          <w:i w:val="0"/>
          <w:sz w:val="17"/>
        </w:rPr>
        <w:t>value_​uk_​vre_​loss_​factors_​v1.json</w:t>
      </w:r>
      <w:r>
        <w:rPr>
          <w:b w:val="0"/>
          <w:i w:val="0"/>
        </w:rPr>
        <w:t xml:space="preserve"> 提供转换参数，</w:t>
      </w:r>
      <w:r>
        <w:rPr>
          <w:rFonts w:ascii="DejaVu Sans Mono" w:hAnsi="DejaVu Sans Mono"/>
          <w:b w:val="0"/>
          <w:i w:val="0"/>
          <w:sz w:val="17"/>
        </w:rPr>
        <w:t>value_​uk_​vre_​cf_​disclosure_​v1.json</w:t>
      </w:r>
      <w:r>
        <w:rPr>
          <w:b w:val="0"/>
          <w:i w:val="0"/>
        </w:rPr>
        <w:t xml:space="preserve"> 记录负荷率比较。</w:t>
      </w:r>
      <w:r>
        <w:rPr>
          <w:rFonts w:ascii="DejaVu Sans Mono" w:hAnsi="DejaVu Sans Mono"/>
          <w:b w:val="0"/>
          <w:i w:val="0"/>
          <w:sz w:val="17"/>
        </w:rPr>
        <w:t>doctoral_weather</w:t>
      </w:r>
      <w:r>
        <w:rPr>
          <w:b w:val="0"/>
          <w:i w:val="0"/>
        </w:rPr>
        <w:t xml:space="preserve"> 为实验路径提供固定转换，</w:t>
      </w:r>
      <w:r>
        <w:rPr>
          <w:rFonts w:ascii="DejaVu Sans Mono" w:hAnsi="DejaVu Sans Mono"/>
          <w:b w:val="0"/>
          <w:i w:val="0"/>
          <w:sz w:val="17"/>
        </w:rPr>
        <w:t>doctoral_​weather_​mapping</w:t>
      </w:r>
      <w:r>
        <w:rPr>
          <w:b w:val="0"/>
          <w:i w:val="0"/>
        </w:rPr>
        <w:t xml:space="preserve"> 管理项目位置和混合天气权重。</w:t>
      </w:r>
    </w:p>
    <w:p>
      <w:r>
        <w:rPr>
          <w:rFonts w:ascii="DejaVu Sans Mono" w:hAnsi="DejaVu Sans Mono"/>
          <w:b w:val="0"/>
          <w:i w:val="0"/>
          <w:sz w:val="17"/>
        </w:rPr>
        <w:t>scheme_c_native_psm</w:t>
      </w:r>
      <w:r>
        <w:rPr>
          <w:b w:val="0"/>
          <w:i w:val="0"/>
        </w:rPr>
        <w:t xml:space="preserve"> 将容量聚合到全国市场主体，</w:t>
      </w:r>
      <w:r>
        <w:rPr>
          <w:rFonts w:ascii="DejaVu Sans Mono" w:hAnsi="DejaVu Sans Mono"/>
          <w:b w:val="0"/>
          <w:i w:val="0"/>
          <w:sz w:val="17"/>
        </w:rPr>
        <w:t>staged_psm</w:t>
      </w:r>
      <w:r>
        <w:rPr>
          <w:b w:val="0"/>
          <w:i w:val="0"/>
        </w:rPr>
        <w:t xml:space="preserve"> 按区域划分容量。年度上限的通用峰值规则由 </w:t>
      </w:r>
      <w:r>
        <w:rPr>
          <w:rFonts w:ascii="DejaVu Sans Mono" w:hAnsi="DejaVu Sans Mono"/>
          <w:b w:val="0"/>
          <w:i w:val="0"/>
          <w:sz w:val="17"/>
        </w:rPr>
        <w:t>canonical_psm_data</w:t>
      </w:r>
      <w:r>
        <w:rPr>
          <w:b w:val="0"/>
          <w:i w:val="0"/>
        </w:rPr>
        <w:t xml:space="preserve"> 和 </w:t>
      </w:r>
      <w:r>
        <w:rPr>
          <w:rFonts w:ascii="DejaVu Sans Mono" w:hAnsi="DejaVu Sans Mono"/>
          <w:b w:val="0"/>
          <w:i w:val="0"/>
          <w:sz w:val="17"/>
        </w:rPr>
        <w:t>v2_module_definitions</w:t>
      </w:r>
      <w:r>
        <w:rPr>
          <w:b w:val="0"/>
          <w:i w:val="0"/>
        </w:rPr>
        <w:t xml:space="preserve"> 提供。实验性净需求阈值函数 </w:t>
      </w:r>
      <w:r>
        <w:rPr>
          <w:rFonts w:ascii="DejaVu Sans Mono" w:hAnsi="DejaVu Sans Mono"/>
          <w:b w:val="0"/>
          <w:i w:val="0"/>
          <w:sz w:val="17"/>
        </w:rPr>
        <w:t>thesis96_​vre_​annual_​expansion_​cap</w:t>
      </w:r>
      <w:r>
        <w:rPr>
          <w:b w:val="0"/>
          <w:i w:val="0"/>
        </w:rPr>
        <w:t xml:space="preserve"> 定义于 </w:t>
      </w:r>
      <w:r>
        <w:rPr>
          <w:rFonts w:ascii="DejaVu Sans Mono" w:hAnsi="DejaVu Sans Mono"/>
          <w:b w:val="0"/>
          <w:i w:val="0"/>
          <w:sz w:val="17"/>
        </w:rPr>
        <w:t>doctoral_policy</w:t>
      </w:r>
      <w:r>
        <w:rPr>
          <w:b w:val="0"/>
          <w:i w:val="0"/>
        </w:rPr>
        <w:t>。</w:t>
      </w:r>
    </w:p>
    <w:p>
      <w:pPr>
        <w:pStyle w:val="Heading1"/>
      </w:pPr>
      <w:r>
        <w:rPr>
          <w:b w:val="0"/>
          <w:i w:val="0"/>
        </w:rPr>
        <w:t>4 运行与年度反馈</w:t>
      </w:r>
    </w:p>
    <w:p>
      <w:r>
        <w:rPr>
          <w:b w:val="0"/>
          <w:i w:val="0"/>
        </w:rPr>
        <w:t>VALUE 将半小时调度与年度投资连接起来。到期项目在年初进入运行资产组合，全年运行收入用于年末扩建与退役决策。本章说明分段调度、储能报价、投资及系统核算；第 5 章介绍默认全国 PSM，第 6 章介绍实验性全国路径的年度账户。</w:t>
      </w:r>
    </w:p>
    <w:p>
      <w:pPr>
        <w:pStyle w:val="Heading2"/>
      </w:pPr>
      <w:r>
        <w:rPr>
          <w:b w:val="0"/>
          <w:i w:val="0"/>
        </w:rPr>
        <w:t>模型时钟与年度状态</w:t>
      </w:r>
    </w:p>
    <w:p>
      <w:pPr>
        <w:keepNext/>
      </w:pPr>
      <w:r>
        <w:rPr>
          <w:b w:val="0"/>
          <w:i w:val="0"/>
        </w:rPr>
        <w:t>模型年采用 UTC 时钟，包含 365 天、17,520 个半小时时段。</w:t>
      </w:r>
      <w:r>
        <w:rPr>
          <w:rFonts w:ascii="DejaVu Sans Mono" w:hAnsi="DejaVu Sans Mono"/>
          <w:b w:val="0"/>
          <w:i w:val="0"/>
          <w:sz w:val="17"/>
        </w:rPr>
        <w:t>period_start_utc</w:t>
      </w:r>
      <w:r>
        <w:rPr>
          <w:b w:val="0"/>
          <w:i w:val="0"/>
        </w:rPr>
        <w:t xml:space="preserve"> 将从零开始的 </w:t>
      </w:r>
      <w:r>
        <w:rPr>
          <w:rFonts w:ascii="DejaVu Sans Mono" w:hAnsi="DejaVu Sans Mono"/>
          <w:b w:val="0"/>
          <w:i w:val="0"/>
          <w:sz w:val="17"/>
        </w:rPr>
        <w:t>period</w:t>
      </w:r>
      <w:r>
        <w:rPr>
          <w:b w:val="0"/>
          <w:i w:val="0"/>
        </w:rPr>
        <w:t xml:space="preserve"> 分解为日序号 </w:t>
      </w:r>
      <w:r>
        <w:rPr>
          <w:rFonts w:ascii="DejaVu Sans Mono" w:hAnsi="DejaVu Sans Mono"/>
          <w:b w:val="0"/>
          <w:i w:val="0"/>
          <w:sz w:val="17"/>
        </w:rPr>
        <w:t>day_index</w:t>
      </w:r>
      <w:r>
        <w:rPr>
          <w:b w:val="0"/>
          <w:i w:val="0"/>
        </w:rPr>
        <w:t xml:space="preserve"> 和日内序号 </w:t>
      </w:r>
      <w:r>
        <w:rPr>
          <w:rFonts w:ascii="DejaVu Sans Mono" w:hAnsi="DejaVu Sans Mono"/>
          <w:b w:val="0"/>
          <w:i w:val="0"/>
          <w:sz w:val="17"/>
        </w:rPr>
        <w:t>offset</w:t>
      </w:r>
      <w:r>
        <w:rPr>
          <w:b w:val="0"/>
          <w:i w:val="0"/>
        </w:rPr>
        <w:t xml:space="preserve">，再将 </w:t>
      </w:r>
      <w:r>
        <w:rPr>
          <w:rFonts w:ascii="DejaVu Sans Mono" w:hAnsi="DejaVu Sans Mono"/>
          <w:b w:val="0"/>
          <w:i w:val="0"/>
          <w:sz w:val="17"/>
        </w:rPr>
        <w:t>offset×period_hours</w:t>
      </w:r>
      <w:r>
        <w:rPr>
          <w:b w:val="0"/>
          <w:i w:val="0"/>
        </w:rPr>
        <w:t xml:space="preserve"> 小时加到 </w:t>
      </w:r>
      <w:r>
        <w:rPr>
          <w:rFonts w:ascii="DejaVu Sans Mono" w:hAnsi="DejaVu Sans Mono"/>
          <w:b w:val="0"/>
          <w:i w:val="0"/>
          <w:sz w:val="17"/>
        </w:rPr>
        <w:t>model_day</w:t>
      </w:r>
      <w:r>
        <w:rPr>
          <w:b w:val="0"/>
          <w:i w:val="0"/>
        </w:rPr>
        <w:t xml:space="preserve"> 给出的日期上。</w:t>
      </w:r>
      <w:r>
        <w:rPr>
          <w:rFonts w:ascii="DejaVu Sans Mono" w:hAnsi="DejaVu Sans Mono"/>
          <w:b w:val="0"/>
          <w:i w:val="0"/>
          <w:sz w:val="17"/>
        </w:rPr>
        <w:t>period_hours=0.5</w:t>
      </w:r>
      <w:r>
        <w:rPr>
          <w:b w:val="0"/>
          <w:i w:val="0"/>
        </w:rPr>
        <w:t xml:space="preserve"> 时，计算为：</w:t>
      </w:r>
    </w:p>
    <w:p>
      <w:pPr>
        <w:spacing w:after="160"/>
        <w:jc w:val="center"/>
      </w:pPr>
      <w:r>
        <w:drawing>
          <wp:inline xmlns:a="http://schemas.openxmlformats.org/drawingml/2006/main" xmlns:pic="http://schemas.openxmlformats.org/drawingml/2006/picture">
            <wp:extent cx="4243654" cy="413848"/>
            <wp:docPr id="30" name="Picture 30"/>
            <wp:cNvGraphicFramePr>
              <a:graphicFrameLocks noChangeAspect="1"/>
            </wp:cNvGraphicFramePr>
            <a:graphic>
              <a:graphicData uri="http://schemas.openxmlformats.org/drawingml/2006/picture">
                <pic:pic>
                  <pic:nvPicPr>
                    <pic:cNvPr id="0" name="eq-030.png"/>
                    <pic:cNvPicPr/>
                  </pic:nvPicPr>
                  <pic:blipFill>
                    <a:blip r:embed="rId40"/>
                    <a:stretch>
                      <a:fillRect/>
                    </a:stretch>
                  </pic:blipFill>
                  <pic:spPr>
                    <a:xfrm>
                      <a:off x="0" y="0"/>
                      <a:ext cx="4243654" cy="413848"/>
                    </a:xfrm>
                    <a:prstGeom prst="rect"/>
                  </pic:spPr>
                </pic:pic>
              </a:graphicData>
            </a:graphic>
          </wp:inline>
        </w:drawing>
      </w:r>
    </w:p>
    <w:p>
      <w:r>
        <w:rPr>
          <w:rFonts w:ascii="DejaVu Sans Mono" w:hAnsi="DejaVu Sans Mono"/>
          <w:b w:val="0"/>
          <w:i w:val="0"/>
          <w:sz w:val="17"/>
        </w:rPr>
        <w:t>model_day</w:t>
      </w:r>
      <w:r>
        <w:rPr>
          <w:b w:val="0"/>
          <w:i w:val="0"/>
        </w:rPr>
        <w:t xml:space="preserve"> 跳过 2 月 29 日。源数据在调度前对齐到这一时钟，声明为 Europe/London 的记录逐行转换为 UTC。输出时间戳采用带 </w:t>
      </w:r>
      <w:r>
        <w:rPr>
          <w:rFonts w:ascii="DejaVu Sans Mono" w:hAnsi="DejaVu Sans Mono"/>
          <w:b w:val="0"/>
          <w:i w:val="0"/>
          <w:sz w:val="17"/>
        </w:rPr>
        <w:t>Z</w:t>
      </w:r>
      <w:r>
        <w:rPr>
          <w:b w:val="0"/>
          <w:i w:val="0"/>
        </w:rPr>
        <w:t xml:space="preserve"> 的 ISO 8601 格式。时段电量以 MWh 计，额定功率以 MW 计，库存以 MWh 计。以下公式和伪代码沿用对应函数及字段中的名称。</w:t>
      </w:r>
    </w:p>
    <w:p>
      <w:r>
        <w:rPr>
          <w:b w:val="0"/>
          <w:i w:val="0"/>
        </w:rPr>
        <w:t xml:space="preserve">年度状态保存运行资产、待投运项目、储能定价观察值及累计财务量。年度编排器先通过 </w:t>
      </w:r>
      <w:r>
        <w:rPr>
          <w:rFonts w:ascii="DejaVu Sans Mono" w:hAnsi="DejaVu Sans Mono"/>
          <w:b w:val="0"/>
          <w:i w:val="0"/>
          <w:sz w:val="17"/>
        </w:rPr>
        <w:t>planning.advance_year</w:t>
      </w:r>
      <w:r>
        <w:rPr>
          <w:b w:val="0"/>
          <w:i w:val="0"/>
        </w:rPr>
        <w:t xml:space="preserve"> 投运到期项目，再由 </w:t>
      </w:r>
      <w:r>
        <w:rPr>
          <w:rFonts w:ascii="DejaVu Sans Mono" w:hAnsi="DejaVu Sans Mono"/>
          <w:b w:val="0"/>
          <w:i w:val="0"/>
          <w:sz w:val="17"/>
        </w:rPr>
        <w:t>psm_input_factory</w:t>
      </w:r>
      <w:r>
        <w:rPr>
          <w:b w:val="0"/>
          <w:i w:val="0"/>
        </w:rPr>
        <w:t xml:space="preserve"> 组装需求与可用率，调用 </w:t>
      </w:r>
      <w:r>
        <w:rPr>
          <w:rFonts w:ascii="DejaVu Sans Mono" w:hAnsi="DejaVu Sans Mono"/>
          <w:b w:val="0"/>
          <w:i w:val="0"/>
          <w:sz w:val="17"/>
        </w:rPr>
        <w:t>psm.run</w:t>
      </w:r>
      <w:r>
        <w:rPr>
          <w:b w:val="0"/>
          <w:i w:val="0"/>
        </w:rPr>
        <w:t xml:space="preserve"> 得到调度和收入。各扩容政策随后计算年度容量限额，</w:t>
      </w:r>
      <w:r>
        <w:rPr>
          <w:rFonts w:ascii="DejaVu Sans Mono" w:hAnsi="DejaVu Sans Mono"/>
          <w:b w:val="0"/>
          <w:i w:val="0"/>
          <w:sz w:val="17"/>
        </w:rPr>
        <w:t>investment.decide</w:t>
      </w:r>
      <w:r>
        <w:rPr>
          <w:b w:val="0"/>
          <w:i w:val="0"/>
        </w:rPr>
        <w:t xml:space="preserve"> 形成投资决策，</w:t>
      </w:r>
      <w:r>
        <w:rPr>
          <w:rFonts w:ascii="DejaVu Sans Mono" w:hAnsi="DejaVu Sans Mono"/>
          <w:b w:val="0"/>
          <w:i w:val="0"/>
          <w:sz w:val="17"/>
        </w:rPr>
        <w:t>planning.admit_projects</w:t>
      </w:r>
      <w:r>
        <w:rPr>
          <w:b w:val="0"/>
          <w:i w:val="0"/>
        </w:rPr>
        <w:t xml:space="preserve"> 应用成功率模式，</w:t>
      </w:r>
      <w:r>
        <w:rPr>
          <w:rFonts w:ascii="DejaVu Sans Mono" w:hAnsi="DejaVu Sans Mono"/>
          <w:b w:val="0"/>
          <w:i w:val="0"/>
          <w:sz w:val="17"/>
        </w:rPr>
        <w:t>transition.apply</w:t>
      </w:r>
      <w:r>
        <w:rPr>
          <w:b w:val="0"/>
          <w:i w:val="0"/>
        </w:rPr>
        <w:t xml:space="preserve"> 构造下一年状态。</w:t>
      </w:r>
    </w:p>
    <w:p>
      <w:r>
        <w:rPr>
          <w:b w:val="0"/>
          <w:i w:val="0"/>
        </w:rPr>
        <w:t>年度主要调用沿用同一组数据对象。转移前，</w:t>
      </w:r>
      <w:r>
        <w:rPr>
          <w:rFonts w:ascii="DejaVu Sans Mono" w:hAnsi="DejaVu Sans Mono"/>
          <w:b w:val="0"/>
          <w:i w:val="0"/>
          <w:sz w:val="17"/>
        </w:rPr>
        <w:t>transition_state</w:t>
      </w:r>
      <w:r>
        <w:rPr>
          <w:b w:val="0"/>
          <w:i w:val="0"/>
        </w:rPr>
        <w:t xml:space="preserve"> 保存运行资产、剩余在建项目、累计指标及年度观察值：</w:t>
      </w:r>
    </w:p>
    <w:p>
      <w:pPr>
        <w:keepLines/>
        <w:spacing w:line="276" w:lineRule="auto" w:after="160"/>
      </w:pPr>
      <w:r>
        <w:rPr>
          <w:rFonts w:ascii="DejaVu Sans Mono" w:hAnsi="DejaVu Sans Mono"/>
          <w:b w:val="0"/>
          <w:i w:val="0"/>
          <w:sz w:val="17"/>
        </w:rPr>
        <w:t>advanced = planning.advance_​year(run, state)</w:t>
        <w:br/>
        <w:t>model_input = psm_input_factory(run, advanced.operating_​state)</w:t>
        <w:br/>
        <w:t>market = psm.run(model_input)</w:t>
        <w:br/>
        <w:t>headroom = []</w:t>
        <w:br/>
        <w:t>for slot in sorted(expansion_​policies):</w:t>
        <w:br/>
        <w:t xml:space="preserve">    policy = expansion_​policies[slot]</w:t>
        <w:br/>
        <w:t xml:space="preserve">    headroom.append(policy.evaluate(run, advanced.operating_​state, market))</w:t>
        <w:br/>
        <w:t>investment_market = adapt_​market_​for_​investment(</w:t>
        <w:br/>
        <w:t xml:space="preserve">    market, advanced.operating_​state)</w:t>
        <w:br/>
        <w:t>decision = investment.decide(</w:t>
        <w:br/>
        <w:t xml:space="preserve">    run, advanced.operating_​state, investment_market, tuple(headroom))</w:t>
        <w:br/>
        <w:t>admission = planning.admit_​projects(</w:t>
        <w:br/>
        <w:t xml:space="preserve">    run, advanced.operating_​state, decision.proposals)</w:t>
        <w:br/>
        <w:t>next_state = transition.apply(run, transition_state, admission, decision)</w:t>
        <w:br/>
      </w:r>
    </w:p>
    <w:p>
      <w:r>
        <w:rPr>
          <w:b w:val="0"/>
          <w:i w:val="0"/>
        </w:rPr>
        <w:t>研究期末按所选设置处理。</w:t>
      </w:r>
      <w:r>
        <w:rPr>
          <w:rFonts w:ascii="DejaVu Sans Mono" w:hAnsi="DejaVu Sans Mono"/>
          <w:b w:val="0"/>
          <w:i w:val="0"/>
          <w:sz w:val="17"/>
        </w:rPr>
        <w:t>report_only</w:t>
      </w:r>
      <w:r>
        <w:rPr>
          <w:b w:val="0"/>
          <w:i w:val="0"/>
        </w:rPr>
        <w:t xml:space="preserve"> 保留最终状态，</w:t>
      </w:r>
      <w:r>
        <w:rPr>
          <w:rFonts w:ascii="DejaVu Sans Mono" w:hAnsi="DejaVu Sans Mono"/>
          <w:b w:val="0"/>
          <w:i w:val="0"/>
          <w:sz w:val="17"/>
        </w:rPr>
        <w:t>pipeline_tail</w:t>
      </w:r>
      <w:r>
        <w:rPr>
          <w:b w:val="0"/>
          <w:i w:val="0"/>
        </w:rPr>
        <w:t xml:space="preserve"> 推进已有在建项目，</w:t>
      </w:r>
      <w:r>
        <w:rPr>
          <w:rFonts w:ascii="DejaVu Sans Mono" w:hAnsi="DejaVu Sans Mono"/>
          <w:b w:val="0"/>
          <w:i w:val="0"/>
          <w:sz w:val="17"/>
        </w:rPr>
        <w:t>full_extension</w:t>
      </w:r>
      <w:r>
        <w:rPr>
          <w:b w:val="0"/>
          <w:i w:val="0"/>
        </w:rPr>
        <w:t xml:space="preserve"> 继续年度运行与投资。</w:t>
      </w:r>
    </w:p>
    <w:p>
      <w:pPr>
        <w:pStyle w:val="Heading2"/>
      </w:pPr>
      <w:r>
        <w:rPr>
          <w:b w:val="0"/>
          <w:i w:val="0"/>
        </w:rPr>
        <w:t>提前市场与平衡调度</w:t>
      </w:r>
    </w:p>
    <w:p>
      <w:pPr>
        <w:keepNext/>
      </w:pPr>
      <w:r>
        <w:rPr>
          <w:b w:val="0"/>
          <w:i w:val="0"/>
        </w:rPr>
        <w:t xml:space="preserve">分段 PSM 先满足预测需求，再针对实际需求进行平衡。对每个非储能 </w:t>
      </w:r>
      <w:r>
        <w:rPr>
          <w:rFonts w:ascii="DejaVu Sans Mono" w:hAnsi="DejaVu Sans Mono"/>
          <w:b w:val="0"/>
          <w:i w:val="0"/>
          <w:sz w:val="17"/>
        </w:rPr>
        <w:t>resource</w:t>
      </w:r>
      <w:r>
        <w:rPr>
          <w:b w:val="0"/>
          <w:i w:val="0"/>
        </w:rPr>
        <w:t>，</w:t>
      </w:r>
      <w:r>
        <w:rPr>
          <w:rFonts w:ascii="DejaVu Sans Mono" w:hAnsi="DejaVu Sans Mono"/>
          <w:b w:val="0"/>
          <w:i w:val="0"/>
          <w:sz w:val="17"/>
        </w:rPr>
        <w:t>_ahead_offers</w:t>
      </w:r>
      <w:r>
        <w:rPr>
          <w:b w:val="0"/>
          <w:i w:val="0"/>
        </w:rPr>
        <w:t xml:space="preserve"> 读取当期可用率与边际成本。</w:t>
      </w:r>
      <w:r>
        <w:rPr>
          <w:rFonts w:ascii="DejaVu Sans Mono" w:hAnsi="DejaVu Sans Mono"/>
          <w:b w:val="0"/>
          <w:i w:val="0"/>
          <w:sz w:val="17"/>
        </w:rPr>
        <w:t>availability</w:t>
      </w:r>
      <w:r>
        <w:rPr>
          <w:b w:val="0"/>
          <w:i w:val="0"/>
        </w:rPr>
        <w:t xml:space="preserve"> 为输入可用率与零的较大值；</w:t>
      </w:r>
      <w:r>
        <w:rPr>
          <w:rFonts w:ascii="DejaVu Sans Mono" w:hAnsi="DejaVu Sans Mono"/>
          <w:b w:val="0"/>
          <w:i w:val="0"/>
          <w:sz w:val="17"/>
        </w:rPr>
        <w:t>physical_cost</w:t>
      </w:r>
      <w:r>
        <w:rPr>
          <w:b w:val="0"/>
          <w:i w:val="0"/>
        </w:rPr>
        <w:t xml:space="preserve"> 优先采用逐时段成本，其次采用恒定边际成本。</w:t>
      </w:r>
      <w:r>
        <w:rPr>
          <w:rFonts w:ascii="DejaVu Sans Mono" w:hAnsi="DejaVu Sans Mono"/>
          <w:b w:val="0"/>
          <w:i w:val="0"/>
          <w:sz w:val="17"/>
        </w:rPr>
        <w:t>multiplier</w:t>
      </w:r>
      <w:r>
        <w:rPr>
          <w:b w:val="0"/>
          <w:i w:val="0"/>
        </w:rPr>
        <w:t xml:space="preserve"> 来自 </w:t>
      </w:r>
      <w:r>
        <w:rPr>
          <w:rFonts w:ascii="DejaVu Sans Mono" w:hAnsi="DejaVu Sans Mono"/>
          <w:b w:val="0"/>
          <w:i w:val="0"/>
          <w:sz w:val="17"/>
        </w:rPr>
        <w:t>market.bid_multiplier</w:t>
      </w:r>
      <w:r>
        <w:rPr>
          <w:b w:val="0"/>
          <w:i w:val="0"/>
        </w:rPr>
        <w:t>，默认值为 1。可报价电量与价格为：</w:t>
      </w:r>
    </w:p>
    <w:p>
      <w:pPr>
        <w:spacing w:after="160"/>
        <w:jc w:val="center"/>
      </w:pPr>
      <w:r>
        <w:drawing>
          <wp:inline xmlns:a="http://schemas.openxmlformats.org/drawingml/2006/main" xmlns:pic="http://schemas.openxmlformats.org/drawingml/2006/picture">
            <wp:extent cx="4542282" cy="621792"/>
            <wp:docPr id="31" name="Picture 31"/>
            <wp:cNvGraphicFramePr>
              <a:graphicFrameLocks noChangeAspect="1"/>
            </wp:cNvGraphicFramePr>
            <a:graphic>
              <a:graphicData uri="http://schemas.openxmlformats.org/drawingml/2006/picture">
                <pic:pic>
                  <pic:nvPicPr>
                    <pic:cNvPr id="0" name="eq-031.png"/>
                    <pic:cNvPicPr/>
                  </pic:nvPicPr>
                  <pic:blipFill>
                    <a:blip r:embed="rId41"/>
                    <a:stretch>
                      <a:fillRect/>
                    </a:stretch>
                  </pic:blipFill>
                  <pic:spPr>
                    <a:xfrm>
                      <a:off x="0" y="0"/>
                      <a:ext cx="4542282" cy="621792"/>
                    </a:xfrm>
                    <a:prstGeom prst="rect"/>
                  </pic:spPr>
                </pic:pic>
              </a:graphicData>
            </a:graphic>
          </wp:inline>
        </w:drawing>
      </w:r>
    </w:p>
    <w:p>
      <w:r>
        <w:rPr>
          <w:b w:val="0"/>
          <w:i w:val="0"/>
        </w:rPr>
        <w:t>储能报价同时受放电功率和库存约束。</w:t>
      </w:r>
      <w:r>
        <w:rPr>
          <w:rFonts w:ascii="DejaVu Sans Mono" w:hAnsi="DejaVu Sans Mono"/>
          <w:b w:val="0"/>
          <w:i w:val="0"/>
          <w:sz w:val="17"/>
        </w:rPr>
        <w:t>soc[resource.asset_id]</w:t>
      </w:r>
      <w:r>
        <w:rPr>
          <w:b w:val="0"/>
          <w:i w:val="0"/>
        </w:rPr>
        <w:t xml:space="preserve"> 为时段开始时的储能侧库存，</w:t>
      </w:r>
      <w:r>
        <w:rPr>
          <w:rFonts w:ascii="DejaVu Sans Mono" w:hAnsi="DejaVu Sans Mono"/>
          <w:b w:val="0"/>
          <w:i w:val="0"/>
          <w:sz w:val="17"/>
        </w:rPr>
        <w:t>discharge_efficiency</w:t>
      </w:r>
      <w:r>
        <w:rPr>
          <w:b w:val="0"/>
          <w:i w:val="0"/>
        </w:rPr>
        <w:t xml:space="preserve"> 将其换算为输出电量：</w:t>
      </w:r>
    </w:p>
    <w:p>
      <w:pPr>
        <w:keepLines/>
        <w:spacing w:line="276" w:lineRule="auto" w:after="160"/>
      </w:pPr>
      <w:r>
        <w:rPr>
          <w:rFonts w:ascii="DejaVu Sans Mono" w:hAnsi="DejaVu Sans Mono"/>
          <w:b w:val="0"/>
          <w:i w:val="0"/>
          <w:sz w:val="17"/>
        </w:rPr>
        <w:t>available_mwh = min(</w:t>
        <w:br/>
        <w:t xml:space="preserve">    resource.discharge_​power_​mw * model_​input.period_​hours,</w:t>
        <w:br/>
        <w:t xml:space="preserve">    soc[resource.asset_id] * resource.discharge_​efficiency</w:t>
        <w:br/>
        <w:t>)</w:t>
        <w:br/>
      </w:r>
    </w:p>
    <w:p>
      <w:pPr>
        <w:keepNext/>
      </w:pPr>
      <w:r>
        <w:rPr>
          <w:rFonts w:ascii="DejaVu Sans Mono" w:hAnsi="DejaVu Sans Mono"/>
          <w:b w:val="0"/>
          <w:i w:val="0"/>
          <w:sz w:val="17"/>
        </w:rPr>
        <w:t>clear_ahead</w:t>
      </w:r>
      <w:r>
        <w:rPr>
          <w:b w:val="0"/>
          <w:i w:val="0"/>
        </w:rPr>
        <w:t xml:space="preserve"> 按 </w:t>
      </w:r>
      <w:r>
        <w:rPr>
          <w:rFonts w:ascii="DejaVu Sans Mono" w:hAnsi="DejaVu Sans Mono"/>
          <w:b w:val="0"/>
          <w:i w:val="0"/>
          <w:sz w:val="17"/>
        </w:rPr>
        <w:t>price_gbp_per_mwh</w:t>
      </w:r>
      <w:r>
        <w:rPr>
          <w:b w:val="0"/>
          <w:i w:val="0"/>
        </w:rPr>
        <w:t>、</w:t>
      </w:r>
      <w:r>
        <w:rPr>
          <w:rFonts w:ascii="DejaVu Sans Mono" w:hAnsi="DejaVu Sans Mono"/>
          <w:b w:val="0"/>
          <w:i w:val="0"/>
          <w:sz w:val="17"/>
        </w:rPr>
        <w:t>offer_id</w:t>
      </w:r>
      <w:r>
        <w:rPr>
          <w:b w:val="0"/>
          <w:i w:val="0"/>
        </w:rPr>
        <w:t xml:space="preserve"> 依次排序报价。初始 </w:t>
      </w:r>
      <w:r>
        <w:rPr>
          <w:rFonts w:ascii="DejaVu Sans Mono" w:hAnsi="DejaVu Sans Mono"/>
          <w:b w:val="0"/>
          <w:i w:val="0"/>
          <w:sz w:val="17"/>
        </w:rPr>
        <w:t>remaining=forecast_​demand_​mwh</w:t>
      </w:r>
      <w:r>
        <w:rPr>
          <w:b w:val="0"/>
          <w:i w:val="0"/>
        </w:rPr>
        <w:t xml:space="preserve">，每次接纳剩余需求与报价电量中的较小值，再扣减剩余需求。最后接纳的报价成为 </w:t>
      </w:r>
      <w:r>
        <w:rPr>
          <w:rFonts w:ascii="DejaVu Sans Mono" w:hAnsi="DejaVu Sans Mono"/>
          <w:b w:val="0"/>
          <w:i w:val="0"/>
          <w:sz w:val="17"/>
        </w:rPr>
        <w:t>clearing_​price_​gbp_​per_​mwh</w:t>
      </w:r>
      <w:r>
        <w:rPr>
          <w:b w:val="0"/>
          <w:i w:val="0"/>
        </w:rPr>
        <w:t xml:space="preserve">，全部接纳电量按该价格结算。剩余需求达到 10⁻¹² MWh 时结束出清；接纳电量为零时，出清价为零，预测缺口记入 </w:t>
      </w:r>
      <w:r>
        <w:rPr>
          <w:rFonts w:ascii="DejaVu Sans Mono" w:hAnsi="DejaVu Sans Mono"/>
          <w:b w:val="0"/>
          <w:i w:val="0"/>
          <w:sz w:val="17"/>
        </w:rPr>
        <w:t>unserved_forecast_mwh</w:t>
      </w:r>
      <w:r>
        <w:rPr>
          <w:b w:val="0"/>
          <w:i w:val="0"/>
        </w:rPr>
        <w:t>。</w:t>
      </w:r>
    </w:p>
    <w:p>
      <w:pPr>
        <w:spacing w:after="160"/>
        <w:jc w:val="center"/>
      </w:pPr>
      <w:r>
        <w:drawing>
          <wp:inline xmlns:a="http://schemas.openxmlformats.org/drawingml/2006/main" xmlns:pic="http://schemas.openxmlformats.org/drawingml/2006/picture">
            <wp:extent cx="6217920" cy="167029"/>
            <wp:docPr id="32" name="Picture 32"/>
            <wp:cNvGraphicFramePr>
              <a:graphicFrameLocks noChangeAspect="1"/>
            </wp:cNvGraphicFramePr>
            <a:graphic>
              <a:graphicData uri="http://schemas.openxmlformats.org/drawingml/2006/picture">
                <pic:pic>
                  <pic:nvPicPr>
                    <pic:cNvPr id="0" name="eq-032.png"/>
                    <pic:cNvPicPr/>
                  </pic:nvPicPr>
                  <pic:blipFill>
                    <a:blip r:embed="rId42"/>
                    <a:stretch>
                      <a:fillRect/>
                    </a:stretch>
                  </pic:blipFill>
                  <pic:spPr>
                    <a:xfrm>
                      <a:off x="0" y="0"/>
                      <a:ext cx="6217920" cy="167029"/>
                    </a:xfrm>
                    <a:prstGeom prst="rect"/>
                  </pic:spPr>
                </pic:pic>
              </a:graphicData>
            </a:graphic>
          </wp:inline>
        </w:drawing>
      </w:r>
    </w:p>
    <w:p>
      <w:r>
        <w:rPr>
          <w:b w:val="0"/>
          <w:i w:val="0"/>
        </w:rPr>
        <w:t xml:space="preserve">平衡调度处理实际需求与提前计划之间的差额。在 </w:t>
      </w:r>
      <w:r>
        <w:rPr>
          <w:rFonts w:ascii="DejaVu Sans Mono" w:hAnsi="DejaVu Sans Mono"/>
          <w:b w:val="0"/>
          <w:i w:val="0"/>
          <w:sz w:val="17"/>
        </w:rPr>
        <w:t>CopperplateBalancing.clear</w:t>
      </w:r>
      <w:r>
        <w:rPr>
          <w:b w:val="0"/>
          <w:i w:val="0"/>
        </w:rPr>
        <w:t xml:space="preserve"> 中，</w:t>
      </w:r>
      <w:r>
        <w:rPr>
          <w:rFonts w:ascii="DejaVu Sans Mono" w:hAnsi="DejaVu Sans Mono"/>
          <w:b w:val="0"/>
          <w:i w:val="0"/>
          <w:sz w:val="17"/>
        </w:rPr>
        <w:t>final_dispatch</w:t>
      </w:r>
      <w:r>
        <w:rPr>
          <w:b w:val="0"/>
          <w:i w:val="0"/>
        </w:rPr>
        <w:t xml:space="preserve"> 初始取 </w:t>
      </w:r>
      <w:r>
        <w:rPr>
          <w:rFonts w:ascii="DejaVu Sans Mono" w:hAnsi="DejaVu Sans Mono"/>
          <w:b w:val="0"/>
          <w:i w:val="0"/>
          <w:sz w:val="17"/>
        </w:rPr>
        <w:t>schedule_mwh_by_asset</w:t>
      </w:r>
      <w:r>
        <w:rPr>
          <w:b w:val="0"/>
          <w:i w:val="0"/>
        </w:rPr>
        <w:t>，</w:t>
      </w:r>
      <w:r>
        <w:rPr>
          <w:rFonts w:ascii="DejaVu Sans Mono" w:hAnsi="DejaVu Sans Mono"/>
          <w:b w:val="0"/>
          <w:i w:val="0"/>
          <w:sz w:val="17"/>
        </w:rPr>
        <w:t>gap_​mwh=real_​demand_​mwh−sum(final_​dispatch.values())</w:t>
      </w:r>
      <w:r>
        <w:rPr>
          <w:b w:val="0"/>
          <w:i w:val="0"/>
        </w:rPr>
        <w:t>。发电与进口将剩余可用电量作为上调报价，将计划电量作为下调报价。储能下调先撤回计划放电，再按充电功率、剩余库容及效率吸收电量。出口以负注入进入其声明的接入位置与容量范围。</w:t>
      </w:r>
    </w:p>
    <w:p>
      <w:pPr>
        <w:pStyle w:val="Heading2"/>
      </w:pPr>
      <w:r>
        <w:rPr>
          <w:b w:val="0"/>
          <w:i w:val="0"/>
        </w:rPr>
        <w:t>下调报价与结算</w:t>
      </w:r>
    </w:p>
    <w:p>
      <w:r>
        <w:rPr>
          <w:b w:val="0"/>
          <w:i w:val="0"/>
        </w:rPr>
        <w:t xml:space="preserve">下调结算按接纳的减发电量与报价乘积退回款项。因此，上调的有符号调整量 </w:t>
      </w:r>
      <w:r>
        <w:rPr>
          <w:rFonts w:ascii="DejaVu Sans Mono" w:hAnsi="DejaVu Sans Mono"/>
          <w:b w:val="0"/>
          <w:i w:val="0"/>
          <w:sz w:val="17"/>
        </w:rPr>
        <w:t>delta</w:t>
      </w:r>
      <w:r>
        <w:rPr>
          <w:b w:val="0"/>
          <w:i w:val="0"/>
        </w:rPr>
        <w:t xml:space="preserve"> 为正，下调的 </w:t>
      </w:r>
      <w:r>
        <w:rPr>
          <w:rFonts w:ascii="DejaVu Sans Mono" w:hAnsi="DejaVu Sans Mono"/>
          <w:b w:val="0"/>
          <w:i w:val="0"/>
          <w:sz w:val="17"/>
        </w:rPr>
        <w:t>delta</w:t>
      </w:r>
      <w:r>
        <w:rPr>
          <w:b w:val="0"/>
          <w:i w:val="0"/>
        </w:rPr>
        <w:t xml:space="preserve"> 为负，两者均采用 </w:t>
      </w:r>
      <w:r>
        <w:rPr>
          <w:rFonts w:ascii="DejaVu Sans Mono" w:hAnsi="DejaVu Sans Mono"/>
          <w:b w:val="0"/>
          <w:i w:val="0"/>
          <w:sz w:val="17"/>
        </w:rPr>
        <w:t>cashflow=delta×price_​gbp_​per_​mwh</w:t>
      </w:r>
      <w:r>
        <w:rPr>
          <w:b w:val="0"/>
          <w:i w:val="0"/>
        </w:rPr>
        <w:t xml:space="preserve">。修正口径的分段与网络路径采用 </w:t>
      </w:r>
      <w:r>
        <w:rPr>
          <w:rFonts w:ascii="DejaVu Sans Mono" w:hAnsi="DejaVu Sans Mono"/>
          <w:b w:val="0"/>
          <w:i w:val="0"/>
          <w:sz w:val="17"/>
        </w:rPr>
        <w:t>network-economic-v2</w:t>
      </w:r>
      <w:r>
        <w:rPr>
          <w:b w:val="0"/>
          <w:i w:val="0"/>
        </w:rPr>
        <w:t xml:space="preserve"> 生成报价。</w:t>
      </w:r>
    </w:p>
    <w:p>
      <w:pPr>
        <w:keepNext/>
      </w:pPr>
      <w:r>
        <w:rPr>
          <w:b w:val="0"/>
          <w:i w:val="0"/>
        </w:rPr>
        <w:t>火电下调将提前计划分成运行区间与最小稳定出力区间。</w:t>
      </w:r>
      <w:r>
        <w:rPr>
          <w:rFonts w:ascii="DejaVu Sans Mono" w:hAnsi="DejaVu Sans Mono"/>
          <w:b w:val="0"/>
          <w:i w:val="0"/>
          <w:sz w:val="17"/>
        </w:rPr>
        <w:t>thermal_dec_segments</w:t>
      </w:r>
      <w:r>
        <w:rPr>
          <w:b w:val="0"/>
          <w:i w:val="0"/>
        </w:rPr>
        <w:t xml:space="preserve"> 取 </w:t>
      </w:r>
      <w:r>
        <w:rPr>
          <w:rFonts w:ascii="DejaVu Sans Mono" w:hAnsi="DejaVu Sans Mono"/>
          <w:b w:val="0"/>
          <w:i w:val="0"/>
          <w:sz w:val="17"/>
        </w:rPr>
        <w:t>shutdown_​mwh=min_​stable_​fraction×scheduled_​mwh</w:t>
      </w:r>
      <w:r>
        <w:rPr>
          <w:b w:val="0"/>
          <w:i w:val="0"/>
        </w:rPr>
        <w:t xml:space="preserve">，其余电量记为 </w:t>
      </w:r>
      <w:r>
        <w:rPr>
          <w:rFonts w:ascii="DejaVu Sans Mono" w:hAnsi="DejaVu Sans Mono"/>
          <w:b w:val="0"/>
          <w:i w:val="0"/>
          <w:sz w:val="17"/>
        </w:rPr>
        <w:t>running_mwh</w:t>
      </w:r>
      <w:r>
        <w:rPr>
          <w:b w:val="0"/>
          <w:i w:val="0"/>
        </w:rPr>
        <w:t xml:space="preserve">。运行区间报价为应用下调乘数后、扣除政策支持的可避免边际成本；停机区间再扣除按预计停机时长分摊的重启费用。在 </w:t>
      </w:r>
      <w:r>
        <w:rPr>
          <w:rFonts w:ascii="DejaVu Sans Mono" w:hAnsi="DejaVu Sans Mono"/>
          <w:b w:val="0"/>
          <w:i w:val="0"/>
          <w:sz w:val="17"/>
        </w:rPr>
        <w:t>RestartParameters.net_​saving</w:t>
      </w:r>
      <w:r>
        <w:rPr>
          <w:b w:val="0"/>
          <w:i w:val="0"/>
        </w:rPr>
        <w:t xml:space="preserve"> 中，</w:t>
      </w:r>
      <w:r>
        <w:rPr>
          <w:rFonts w:ascii="DejaVu Sans Mono" w:hAnsi="DejaVu Sans Mono"/>
          <w:b w:val="0"/>
          <w:i w:val="0"/>
          <w:sz w:val="17"/>
        </w:rPr>
        <w:t>avoided_cost</w:t>
      </w:r>
      <w:r>
        <w:rPr>
          <w:b w:val="0"/>
          <w:i w:val="0"/>
        </w:rPr>
        <w:t xml:space="preserve"> 的单位为 GBP/MWh，</w:t>
      </w:r>
      <w:r>
        <w:rPr>
          <w:rFonts w:ascii="DejaVu Sans Mono" w:hAnsi="DejaVu Sans Mono"/>
          <w:b w:val="0"/>
          <w:i w:val="0"/>
          <w:sz w:val="17"/>
        </w:rPr>
        <w:t>restart_cost(horizon_h)</w:t>
      </w:r>
      <w:r>
        <w:rPr>
          <w:b w:val="0"/>
          <w:i w:val="0"/>
        </w:rPr>
        <w:t xml:space="preserve"> 为每次启动的 GBP/MW，</w:t>
      </w:r>
      <w:r>
        <w:rPr>
          <w:rFonts w:ascii="DejaVu Sans Mono" w:hAnsi="DejaVu Sans Mono"/>
          <w:b w:val="0"/>
          <w:i w:val="0"/>
          <w:sz w:val="17"/>
        </w:rPr>
        <w:t>horizon_h</w:t>
      </w:r>
      <w:r>
        <w:rPr>
          <w:b w:val="0"/>
          <w:i w:val="0"/>
        </w:rPr>
        <w:t xml:space="preserve"> 以小时计：</w:t>
      </w:r>
    </w:p>
    <w:p>
      <w:pPr>
        <w:spacing w:after="160"/>
        <w:jc w:val="center"/>
      </w:pPr>
      <w:r>
        <w:drawing>
          <wp:inline xmlns:a="http://schemas.openxmlformats.org/drawingml/2006/main" xmlns:pic="http://schemas.openxmlformats.org/drawingml/2006/picture">
            <wp:extent cx="4347667" cy="610319"/>
            <wp:docPr id="33" name="Picture 33"/>
            <wp:cNvGraphicFramePr>
              <a:graphicFrameLocks noChangeAspect="1"/>
            </wp:cNvGraphicFramePr>
            <a:graphic>
              <a:graphicData uri="http://schemas.openxmlformats.org/drawingml/2006/picture">
                <pic:pic>
                  <pic:nvPicPr>
                    <pic:cNvPr id="0" name="eq-033.png"/>
                    <pic:cNvPicPr/>
                  </pic:nvPicPr>
                  <pic:blipFill>
                    <a:blip r:embed="rId43"/>
                    <a:stretch>
                      <a:fillRect/>
                    </a:stretch>
                  </pic:blipFill>
                  <pic:spPr>
                    <a:xfrm>
                      <a:off x="0" y="0"/>
                      <a:ext cx="4347667" cy="610319"/>
                    </a:xfrm>
                    <a:prstGeom prst="rect"/>
                  </pic:spPr>
                </pic:pic>
              </a:graphicData>
            </a:graphic>
          </wp:inline>
        </w:drawing>
      </w:r>
    </w:p>
    <w:p>
      <w:r>
        <w:rPr>
          <w:rFonts w:ascii="DejaVu Sans Mono" w:hAnsi="DejaVu Sans Mono"/>
          <w:b w:val="0"/>
          <w:i w:val="0"/>
          <w:sz w:val="17"/>
        </w:rPr>
        <w:t>shutdown_horizon_hours</w:t>
      </w:r>
      <w:r>
        <w:rPr>
          <w:b w:val="0"/>
          <w:i w:val="0"/>
        </w:rPr>
        <w:t xml:space="preserve"> 统计当前时段及其后预测需求可由声明风光与核电可用电量覆盖的连续时段，返回 </w:t>
      </w:r>
      <w:r>
        <w:rPr>
          <w:rFonts w:ascii="DejaVu Sans Mono" w:hAnsi="DejaVu Sans Mono"/>
          <w:b w:val="0"/>
          <w:i w:val="0"/>
          <w:sz w:val="17"/>
        </w:rPr>
        <w:t>(1+run_​after[period])×period_​hours</w:t>
      </w:r>
      <w:r>
        <w:rPr>
          <w:b w:val="0"/>
          <w:i w:val="0"/>
        </w:rPr>
        <w:t xml:space="preserve">。预计时长小于 </w:t>
      </w:r>
      <w:r>
        <w:rPr>
          <w:rFonts w:ascii="DejaVu Sans Mono" w:hAnsi="DejaVu Sans Mono"/>
          <w:b w:val="0"/>
          <w:i w:val="0"/>
          <w:sz w:val="17"/>
        </w:rPr>
        <w:t>min_down_time_h</w:t>
      </w:r>
      <w:r>
        <w:rPr>
          <w:b w:val="0"/>
          <w:i w:val="0"/>
        </w:rPr>
        <w:t xml:space="preserve"> 时，</w:t>
      </w:r>
      <w:r>
        <w:rPr>
          <w:rFonts w:ascii="DejaVu Sans Mono" w:hAnsi="DejaVu Sans Mono"/>
          <w:b w:val="0"/>
          <w:i w:val="0"/>
          <w:sz w:val="17"/>
        </w:rPr>
        <w:t>last_resort_price</w:t>
      </w:r>
      <w:r>
        <w:rPr>
          <w:b w:val="0"/>
          <w:i w:val="0"/>
        </w:rPr>
        <w:t xml:space="preserve"> 将停机报价置于普通下调报价的最低舍入价格以下至少 0.01 GBP/​MWh；达到最短停机时长时，报价取停机净节省。普通报价集合为空时也采用净节省价格。</w:t>
      </w:r>
    </w:p>
    <w:p>
      <w:r>
        <w:rPr>
          <w:b w:val="0"/>
          <w:i w:val="0"/>
        </w:rPr>
        <w:t>CCGT 的最小稳定出力比例为 0.50，最短停机时间为 6 h，热、温、冷启动费用分别为 113.7、134.4、155.0 GBP/MW。OCGT 对应值为 0.50、0.5 h、175.7 GBP/MW，生物质对应值为 0.35、6 h、129.2 GBP/MW。CCGT 在停机少于 12 h 时采用热启动，12 至 48 h 采用温启动，超过 48 h 采用冷启动。费用均以 2025 年英镑计。运行区间先于本机组的停机区间下调；停机净节省为正时，停机区间先于无支持的风电下调，价格相同时风电先下调。</w:t>
      </w:r>
    </w:p>
    <w:p>
      <w:r>
        <w:rPr>
          <w:b w:val="0"/>
          <w:i w:val="0"/>
        </w:rPr>
        <w:t xml:space="preserve">其他下调价格由 </w:t>
      </w:r>
      <w:r>
        <w:rPr>
          <w:rFonts w:ascii="DejaVu Sans Mono" w:hAnsi="DejaVu Sans Mono"/>
          <w:b w:val="0"/>
          <w:i w:val="0"/>
          <w:sz w:val="17"/>
        </w:rPr>
        <w:t>resource_dec_price</w:t>
      </w:r>
      <w:r>
        <w:rPr>
          <w:b w:val="0"/>
          <w:i w:val="0"/>
        </w:rPr>
        <w:t xml:space="preserve"> 给出。进口取 </w:t>
      </w:r>
      <w:r>
        <w:rPr>
          <w:rFonts w:ascii="DejaVu Sans Mono" w:hAnsi="DejaVu Sans Mono"/>
          <w:b w:val="0"/>
          <w:i w:val="0"/>
          <w:sz w:val="17"/>
        </w:rPr>
        <w:t>marginal×dec_multiplier</w:t>
      </w:r>
      <w:r>
        <w:rPr>
          <w:b w:val="0"/>
          <w:i w:val="0"/>
        </w:rPr>
        <w:t xml:space="preserve">；风电、光伏及径流水电取 </w:t>
      </w:r>
      <w:r>
        <w:rPr>
          <w:rFonts w:ascii="DejaVu Sans Mono" w:hAnsi="DejaVu Sans Mono"/>
          <w:b w:val="0"/>
          <w:i w:val="0"/>
          <w:sz w:val="17"/>
        </w:rPr>
        <w:t>−support</w:t>
      </w:r>
      <w:r>
        <w:rPr>
          <w:b w:val="0"/>
          <w:i w:val="0"/>
        </w:rPr>
        <w:t xml:space="preserve">；核电取 </w:t>
      </w:r>
      <w:r>
        <w:rPr>
          <w:rFonts w:ascii="DejaVu Sans Mono" w:hAnsi="DejaVu Sans Mono"/>
          <w:b w:val="0"/>
          <w:i w:val="0"/>
          <w:sz w:val="17"/>
        </w:rPr>
        <w:t>marginal×dec_​multiplier−support−premium</w:t>
      </w:r>
      <w:r>
        <w:rPr>
          <w:b w:val="0"/>
          <w:i w:val="0"/>
        </w:rPr>
        <w:t xml:space="preserve">；其他燃料资源取 </w:t>
      </w:r>
      <w:r>
        <w:rPr>
          <w:rFonts w:ascii="DejaVu Sans Mono" w:hAnsi="DejaVu Sans Mono"/>
          <w:b w:val="0"/>
          <w:i w:val="0"/>
          <w:sz w:val="17"/>
        </w:rPr>
        <w:t>marginal×dec_​multiplier−support</w:t>
      </w:r>
      <w:r>
        <w:rPr>
          <w:b w:val="0"/>
          <w:i w:val="0"/>
        </w:rPr>
        <w:t>。</w:t>
      </w:r>
      <w:r>
        <w:rPr>
          <w:rFonts w:ascii="DejaVu Sans Mono" w:hAnsi="DejaVu Sans Mono"/>
          <w:b w:val="0"/>
          <w:i w:val="0"/>
          <w:sz w:val="17"/>
        </w:rPr>
        <w:t>market.dec_multiplier</w:t>
      </w:r>
      <w:r>
        <w:rPr>
          <w:b w:val="0"/>
          <w:i w:val="0"/>
        </w:rPr>
        <w:t xml:space="preserve"> 默认值为 1，上限为 </w:t>
      </w:r>
      <w:r>
        <w:rPr>
          <w:rFonts w:ascii="DejaVu Sans Mono" w:hAnsi="DejaVu Sans Mono"/>
          <w:b w:val="0"/>
          <w:i w:val="0"/>
          <w:sz w:val="17"/>
        </w:rPr>
        <w:t>market.bid_multiplier</w:t>
      </w:r>
      <w:r>
        <w:rPr>
          <w:b w:val="0"/>
          <w:i w:val="0"/>
        </w:rPr>
        <w:t xml:space="preserve">。未列出的政策支持为零，核电默认溢价为 100 GBP/MWh。储能采用 </w:t>
      </w:r>
      <w:r>
        <w:rPr>
          <w:rFonts w:ascii="DejaVu Sans Mono" w:hAnsi="DejaVu Sans Mono"/>
          <w:b w:val="0"/>
          <w:i w:val="0"/>
          <w:sz w:val="17"/>
        </w:rPr>
        <w:t>storage_dec_price</w:t>
      </w:r>
      <w:r>
        <w:rPr>
          <w:b w:val="0"/>
          <w:i w:val="0"/>
        </w:rPr>
        <w:t>，上限受其上调报价乘充放电效率以及当期最低上调报价共同约束。</w:t>
      </w:r>
    </w:p>
    <w:p>
      <w:r>
        <w:rPr>
          <w:b w:val="0"/>
          <w:i w:val="0"/>
        </w:rPr>
        <w:t>铜板平衡按价格从低到高排列上调报价，同价时发电先于储能，VoLL 以上的报价留在接纳集合之外。下调按保留两位小数的价格从高到低排序，再依次按类别和精确价格排序。类别顺序为燃料机组运行区间、进口、储能、径流水电、风光、火电停机、核电、短停机时长区间。同方向、同类别、同价格报价按可用电量比例分配接纳量。</w:t>
      </w:r>
    </w:p>
    <w:p>
      <w:r>
        <w:rPr>
          <w:b w:val="0"/>
          <w:i w:val="0"/>
        </w:rPr>
        <w:t>对每个同价组，</w:t>
      </w:r>
      <w:r>
        <w:rPr>
          <w:rFonts w:ascii="DejaVu Sans Mono" w:hAnsi="DejaVu Sans Mono"/>
          <w:b w:val="0"/>
          <w:i w:val="0"/>
          <w:sz w:val="17"/>
        </w:rPr>
        <w:t>total</w:t>
      </w:r>
      <w:r>
        <w:rPr>
          <w:b w:val="0"/>
          <w:i w:val="0"/>
        </w:rPr>
        <w:t xml:space="preserve"> 为可用 MWh，</w:t>
      </w:r>
      <w:r>
        <w:rPr>
          <w:rFonts w:ascii="DejaVu Sans Mono" w:hAnsi="DejaVu Sans Mono"/>
          <w:b w:val="0"/>
          <w:i w:val="0"/>
          <w:sz w:val="17"/>
        </w:rPr>
        <w:t>fraction</w:t>
      </w:r>
      <w:r>
        <w:rPr>
          <w:b w:val="0"/>
          <w:i w:val="0"/>
        </w:rPr>
        <w:t xml:space="preserve"> 取待平衡电量与可用电量之比及 1 的较小值。由此得到的 </w:t>
      </w:r>
      <w:r>
        <w:rPr>
          <w:rFonts w:ascii="DejaVu Sans Mono" w:hAnsi="DejaVu Sans Mono"/>
          <w:b w:val="0"/>
          <w:i w:val="0"/>
          <w:sz w:val="17"/>
        </w:rPr>
        <w:t>delta</w:t>
      </w:r>
      <w:r>
        <w:rPr>
          <w:b w:val="0"/>
          <w:i w:val="0"/>
        </w:rPr>
        <w:t xml:space="preserve"> 更新 </w:t>
      </w:r>
      <w:r>
        <w:rPr>
          <w:rFonts w:ascii="DejaVu Sans Mono" w:hAnsi="DejaVu Sans Mono"/>
          <w:b w:val="0"/>
          <w:i w:val="0"/>
          <w:sz w:val="17"/>
        </w:rPr>
        <w:t>final_dispatch</w:t>
      </w:r>
      <w:r>
        <w:rPr>
          <w:b w:val="0"/>
          <w:i w:val="0"/>
        </w:rPr>
        <w:t xml:space="preserve">，并产生 </w:t>
      </w:r>
      <w:r>
        <w:rPr>
          <w:rFonts w:ascii="DejaVu Sans Mono" w:hAnsi="DejaVu Sans Mono"/>
          <w:b w:val="0"/>
          <w:i w:val="0"/>
          <w:sz w:val="17"/>
        </w:rPr>
        <w:t>cashflow</w:t>
      </w:r>
      <w:r>
        <w:rPr>
          <w:b w:val="0"/>
          <w:i w:val="0"/>
        </w:rPr>
        <w:t xml:space="preserve">。正的剩余需求记为 </w:t>
      </w:r>
      <w:r>
        <w:rPr>
          <w:rFonts w:ascii="DejaVu Sans Mono" w:hAnsi="DejaVu Sans Mono"/>
          <w:b w:val="0"/>
          <w:i w:val="0"/>
          <w:sz w:val="17"/>
        </w:rPr>
        <w:t>blackout_mwh</w:t>
      </w:r>
      <w:r>
        <w:rPr>
          <w:b w:val="0"/>
          <w:i w:val="0"/>
        </w:rPr>
        <w:t>，最终供应加停电量与实际需求的差额须在 10⁻⁸ MWh 内。分区平衡在第 7 章网络约束内采用相同计划与报价定义，先按精确价格优化，再处理物理同价选择。</w:t>
      </w:r>
    </w:p>
    <w:p>
      <w:r>
        <w:rPr>
          <w:b w:val="0"/>
          <w:i w:val="0"/>
        </w:rPr>
        <w:t>以 50 MWh 预测需求说明两阶段结算。风电按 £0/MWh 报价 30 MWh，燃气按 £60/MWh 报价 30 MWh。提前计划接纳风电 30 MWh、燃气 20 MWh，按统一的 £60/MWh 支付 £3,000。实际需求为 55 MWh 时，燃气再发 5 MWh，获得 £300 平衡收入；其物理支出按最终 25 MWh 计算，为 £1,500。</w:t>
      </w:r>
    </w:p>
    <w:p>
      <w:pPr>
        <w:pStyle w:val="Heading2"/>
      </w:pPr>
      <w:r>
        <w:rPr>
          <w:b w:val="0"/>
          <w:i w:val="0"/>
        </w:rPr>
        <w:t>储能库存与报价</w:t>
      </w:r>
    </w:p>
    <w:p>
      <w:pPr>
        <w:keepNext/>
      </w:pPr>
      <w:r>
        <w:rPr>
          <w:b w:val="0"/>
          <w:i w:val="0"/>
        </w:rPr>
        <w:t xml:space="preserve">储能库存随每期最终净注入更新。在 </w:t>
      </w:r>
      <w:r>
        <w:rPr>
          <w:rFonts w:ascii="DejaVu Sans Mono" w:hAnsi="DejaVu Sans Mono"/>
          <w:b w:val="0"/>
          <w:i w:val="0"/>
          <w:sz w:val="17"/>
        </w:rPr>
        <w:t>CopperplateBalancing.clear</w:t>
      </w:r>
      <w:r>
        <w:rPr>
          <w:b w:val="0"/>
          <w:i w:val="0"/>
        </w:rPr>
        <w:t xml:space="preserve"> 中，</w:t>
      </w:r>
      <w:r>
        <w:rPr>
          <w:rFonts w:ascii="DejaVu Sans Mono" w:hAnsi="DejaVu Sans Mono"/>
          <w:b w:val="0"/>
          <w:i w:val="0"/>
          <w:sz w:val="17"/>
        </w:rPr>
        <w:t>opening</w:t>
      </w:r>
      <w:r>
        <w:rPr>
          <w:b w:val="0"/>
          <w:i w:val="0"/>
        </w:rPr>
        <w:t xml:space="preserve"> 是初始储能侧 MWh，</w:t>
      </w:r>
      <w:r>
        <w:rPr>
          <w:rFonts w:ascii="DejaVu Sans Mono" w:hAnsi="DejaVu Sans Mono"/>
          <w:b w:val="0"/>
          <w:i w:val="0"/>
          <w:sz w:val="17"/>
        </w:rPr>
        <w:t>dispatch</w:t>
      </w:r>
      <w:r>
        <w:rPr>
          <w:b w:val="0"/>
          <w:i w:val="0"/>
        </w:rPr>
        <w:t xml:space="preserve"> 是最终向电网输出的 MWh，负值表示充电。更新后的 </w:t>
      </w:r>
      <w:r>
        <w:rPr>
          <w:rFonts w:ascii="DejaVu Sans Mono" w:hAnsi="DejaVu Sans Mono"/>
          <w:b w:val="0"/>
          <w:i w:val="0"/>
          <w:sz w:val="17"/>
        </w:rPr>
        <w:t>soc</w:t>
      </w:r>
      <w:r>
        <w:rPr>
          <w:b w:val="0"/>
          <w:i w:val="0"/>
        </w:rPr>
        <w:t xml:space="preserve"> 为：</w:t>
      </w:r>
    </w:p>
    <w:p>
      <w:pPr>
        <w:spacing w:after="160"/>
        <w:jc w:val="center"/>
      </w:pPr>
      <w:r>
        <w:drawing>
          <wp:inline xmlns:a="http://schemas.openxmlformats.org/drawingml/2006/main" xmlns:pic="http://schemas.openxmlformats.org/drawingml/2006/picture">
            <wp:extent cx="5403951" cy="413754"/>
            <wp:docPr id="34" name="Picture 34"/>
            <wp:cNvGraphicFramePr>
              <a:graphicFrameLocks noChangeAspect="1"/>
            </wp:cNvGraphicFramePr>
            <a:graphic>
              <a:graphicData uri="http://schemas.openxmlformats.org/drawingml/2006/picture">
                <pic:pic>
                  <pic:nvPicPr>
                    <pic:cNvPr id="0" name="eq-034.png"/>
                    <pic:cNvPicPr/>
                  </pic:nvPicPr>
                  <pic:blipFill>
                    <a:blip r:embed="rId44"/>
                    <a:stretch>
                      <a:fillRect/>
                    </a:stretch>
                  </pic:blipFill>
                  <pic:spPr>
                    <a:xfrm>
                      <a:off x="0" y="0"/>
                      <a:ext cx="5403951" cy="413754"/>
                    </a:xfrm>
                    <a:prstGeom prst="rect"/>
                  </pic:spPr>
                </pic:pic>
              </a:graphicData>
            </a:graphic>
          </wp:inline>
        </w:drawing>
      </w:r>
    </w:p>
    <w:p>
      <w:r>
        <w:rPr>
          <w:b w:val="0"/>
          <w:i w:val="0"/>
        </w:rPr>
        <w:t xml:space="preserve">库存范围为零至 </w:t>
      </w:r>
      <w:r>
        <w:rPr>
          <w:rFonts w:ascii="DejaVu Sans Mono" w:hAnsi="DejaVu Sans Mono"/>
          <w:b w:val="0"/>
          <w:i w:val="0"/>
          <w:sz w:val="17"/>
        </w:rPr>
        <w:t>energy_capacity_mwh</w:t>
      </w:r>
      <w:r>
        <w:rPr>
          <w:b w:val="0"/>
          <w:i w:val="0"/>
        </w:rPr>
        <w:t xml:space="preserve">，舍入容差为 10⁻⁸ MWh。分区调度分别表示充电与放电，每期至多一个方向超过 10⁻⁸ MWh。每年按 </w:t>
      </w:r>
      <w:r>
        <w:rPr>
          <w:rFonts w:ascii="DejaVu Sans Mono" w:hAnsi="DejaVu Sans Mono"/>
          <w:b w:val="0"/>
          <w:i w:val="0"/>
          <w:sz w:val="17"/>
        </w:rPr>
        <w:t>initial_soc_mwh</w:t>
      </w:r>
      <w:r>
        <w:rPr>
          <w:b w:val="0"/>
          <w:i w:val="0"/>
        </w:rPr>
        <w:t xml:space="preserve"> 开始：</w:t>
      </w:r>
      <w:r>
        <w:rPr>
          <w:rFonts w:ascii="DejaVu Sans Mono" w:hAnsi="DejaVu Sans Mono"/>
          <w:b w:val="0"/>
          <w:i w:val="0"/>
          <w:sz w:val="17"/>
        </w:rPr>
        <w:t>canonical_psm_data.py</w:t>
      </w:r>
      <w:r>
        <w:rPr>
          <w:b w:val="0"/>
          <w:i w:val="0"/>
        </w:rPr>
        <w:t xml:space="preserve"> 为普通输入赋予一半库容，为指定研究输入对齐赋予零库存。分段库存逐时段继承，下一年初始库存由年度输入确定。储能定价观察值跨年继承；第 6 章给出实验性带日期批次的状态转移。</w:t>
      </w:r>
    </w:p>
    <w:p>
      <w:pPr>
        <w:keepNext/>
      </w:pPr>
      <w:r>
        <w:rPr>
          <w:rFonts w:ascii="DejaVu Sans Mono" w:hAnsi="DejaVu Sans Mono"/>
          <w:b w:val="0"/>
          <w:i w:val="0"/>
          <w:sz w:val="17"/>
        </w:rPr>
        <w:t>DynamicAnnualStorageCost</w:t>
      </w:r>
      <w:r>
        <w:rPr>
          <w:b w:val="0"/>
          <w:i w:val="0"/>
        </w:rPr>
        <w:t xml:space="preserve"> 将设备成本回收分为循环折旧与持有回收。</w:t>
      </w:r>
      <w:r>
        <w:rPr>
          <w:rFonts w:ascii="DejaVu Sans Mono" w:hAnsi="DejaVu Sans Mono"/>
          <w:b w:val="0"/>
          <w:i w:val="0"/>
          <w:sz w:val="17"/>
        </w:rPr>
        <w:t>capital_recovery_factor</w:t>
      </w:r>
      <w:r>
        <w:rPr>
          <w:b w:val="0"/>
          <w:i w:val="0"/>
        </w:rPr>
        <w:t xml:space="preserve"> 接收 </w:t>
      </w:r>
      <w:r>
        <w:rPr>
          <w:rFonts w:ascii="DejaVu Sans Mono" w:hAnsi="DejaVu Sans Mono"/>
          <w:b w:val="0"/>
          <w:i w:val="0"/>
          <w:sz w:val="17"/>
        </w:rPr>
        <w:t>discount_rate</w:t>
      </w:r>
      <w:r>
        <w:rPr>
          <w:b w:val="0"/>
          <w:i w:val="0"/>
        </w:rPr>
        <w:t xml:space="preserve"> 与 </w:t>
      </w:r>
      <w:r>
        <w:rPr>
          <w:rFonts w:ascii="DejaVu Sans Mono" w:hAnsi="DejaVu Sans Mono"/>
          <w:b w:val="0"/>
          <w:i w:val="0"/>
          <w:sz w:val="17"/>
        </w:rPr>
        <w:t>lifetime_years</w:t>
      </w:r>
      <w:r>
        <w:rPr>
          <w:b w:val="0"/>
          <w:i w:val="0"/>
        </w:rPr>
        <w:t>；折现率非正时返回寿命的倒数，正折现率时采用：</w:t>
      </w:r>
    </w:p>
    <w:p>
      <w:pPr>
        <w:spacing w:after="160"/>
        <w:jc w:val="center"/>
      </w:pPr>
      <w:r>
        <w:drawing>
          <wp:inline xmlns:a="http://schemas.openxmlformats.org/drawingml/2006/main" xmlns:pic="http://schemas.openxmlformats.org/drawingml/2006/picture">
            <wp:extent cx="4877562" cy="623981"/>
            <wp:docPr id="35" name="Picture 35"/>
            <wp:cNvGraphicFramePr>
              <a:graphicFrameLocks noChangeAspect="1"/>
            </wp:cNvGraphicFramePr>
            <a:graphic>
              <a:graphicData uri="http://schemas.openxmlformats.org/drawingml/2006/picture">
                <pic:pic>
                  <pic:nvPicPr>
                    <pic:cNvPr id="0" name="eq-035.png"/>
                    <pic:cNvPicPr/>
                  </pic:nvPicPr>
                  <pic:blipFill>
                    <a:blip r:embed="rId45"/>
                    <a:stretch>
                      <a:fillRect/>
                    </a:stretch>
                  </pic:blipFill>
                  <pic:spPr>
                    <a:xfrm>
                      <a:off x="0" y="0"/>
                      <a:ext cx="4877562" cy="623981"/>
                    </a:xfrm>
                    <a:prstGeom prst="rect"/>
                  </pic:spPr>
                </pic:pic>
              </a:graphicData>
            </a:graphic>
          </wp:inline>
        </w:drawing>
      </w:r>
    </w:p>
    <w:p>
      <w:r>
        <w:rPr>
          <w:b w:val="0"/>
          <w:i w:val="0"/>
        </w:rPr>
        <w:t>年度成本为资产年化建设费用与固定维护费之和。</w:t>
      </w:r>
      <w:r>
        <w:rPr>
          <w:rFonts w:ascii="DejaVu Sans Mono" w:hAnsi="DejaVu Sans Mono"/>
          <w:b w:val="0"/>
          <w:i w:val="0"/>
          <w:sz w:val="17"/>
        </w:rPr>
        <w:t>prepare_year</w:t>
      </w:r>
      <w:r>
        <w:rPr>
          <w:b w:val="0"/>
          <w:i w:val="0"/>
        </w:rPr>
        <w:t xml:space="preserve"> 接收资产实际的 </w:t>
      </w:r>
      <w:r>
        <w:rPr>
          <w:rFonts w:ascii="DejaVu Sans Mono" w:hAnsi="DejaVu Sans Mono"/>
          <w:b w:val="0"/>
          <w:i w:val="0"/>
          <w:sz w:val="17"/>
        </w:rPr>
        <w:t>capital_cost_gbp</w:t>
      </w:r>
      <w:r>
        <w:rPr>
          <w:b w:val="0"/>
          <w:i w:val="0"/>
        </w:rPr>
        <w:t>、</w:t>
      </w:r>
      <w:r>
        <w:rPr>
          <w:rFonts w:ascii="DejaVu Sans Mono" w:hAnsi="DejaVu Sans Mono"/>
          <w:b w:val="0"/>
          <w:i w:val="0"/>
          <w:sz w:val="17"/>
        </w:rPr>
        <w:t>power_capacity_mw</w:t>
      </w:r>
      <w:r>
        <w:rPr>
          <w:b w:val="0"/>
          <w:i w:val="0"/>
        </w:rPr>
        <w:t>、</w:t>
      </w:r>
      <w:r>
        <w:rPr>
          <w:rFonts w:ascii="DejaVu Sans Mono" w:hAnsi="DejaVu Sans Mono"/>
          <w:b w:val="0"/>
          <w:i w:val="0"/>
          <w:sz w:val="17"/>
        </w:rPr>
        <w:t>energy_capacity_mwh</w:t>
      </w:r>
      <w:r>
        <w:rPr>
          <w:b w:val="0"/>
          <w:i w:val="0"/>
        </w:rPr>
        <w:t xml:space="preserve"> 和 </w:t>
      </w:r>
      <w:r>
        <w:rPr>
          <w:rFonts w:ascii="DejaVu Sans Mono" w:hAnsi="DejaVu Sans Mono"/>
          <w:b w:val="0"/>
          <w:i w:val="0"/>
          <w:sz w:val="17"/>
        </w:rPr>
        <w:t>discharge_efficiency</w:t>
      </w:r>
      <w:r>
        <w:rPr>
          <w:b w:val="0"/>
          <w:i w:val="0"/>
        </w:rPr>
        <w:t>，</w:t>
      </w:r>
      <w:r>
        <w:rPr>
          <w:rFonts w:ascii="DejaVu Sans Mono" w:hAnsi="DejaVu Sans Mono"/>
          <w:b w:val="0"/>
          <w:i w:val="0"/>
          <w:sz w:val="17"/>
        </w:rPr>
        <w:t>spec</w:t>
      </w:r>
      <w:r>
        <w:rPr>
          <w:b w:val="0"/>
          <w:i w:val="0"/>
        </w:rPr>
        <w:t xml:space="preserve"> 提供目录寿命、时长、循环寿命与固定维护费率。计算保留资产声明的能量功率比。</w:t>
      </w:r>
    </w:p>
    <w:p>
      <w:pPr>
        <w:keepLines/>
        <w:spacing w:line="276" w:lineRule="auto" w:after="160"/>
      </w:pPr>
      <w:r>
        <w:rPr>
          <w:rFonts w:ascii="DejaVu Sans Mono" w:hAnsi="DejaVu Sans Mono"/>
          <w:b w:val="0"/>
          <w:i w:val="0"/>
          <w:sz w:val="17"/>
        </w:rPr>
        <w:t>capex = max(capital_cost_gbp, 0)</w:t>
        <w:br/>
        <w:t>annualized_​capital_​cost_​gbp = capex * capital_​recovery_​factor(</w:t>
        <w:br/>
        <w:t xml:space="preserve">    discount_rate, spec.economic_​lifetime_​years)</w:t>
        <w:br/>
        <w:t>annual_fixed_opex_gbp = (</w:t>
        <w:br/>
        <w:t xml:space="preserve">    max(power_capacity_mw, 0) * 1000 * spec.fixed_​opex_​gbp_​per_​kw_​year)</w:t>
        <w:br/>
        <w:t>annual_​levelized_​project_​cost_​gbp = (</w:t>
        <w:br/>
        <w:t xml:space="preserve">    annualized_​capital_​cost_​gbp + annual_fixed_opex_gbp)</w:t>
        <w:br/>
      </w:r>
    </w:p>
    <w:p>
      <w:r>
        <w:rPr>
          <w:b w:val="0"/>
          <w:i w:val="0"/>
        </w:rPr>
        <w:t>参考年销量采用按寿命平均的年循环次数与可实现充放电次数中的较小值。</w:t>
      </w:r>
      <w:r>
        <w:rPr>
          <w:rFonts w:ascii="DejaVu Sans Mono" w:hAnsi="DejaVu Sans Mono"/>
          <w:b w:val="0"/>
          <w:i w:val="0"/>
          <w:sz w:val="17"/>
        </w:rPr>
        <w:t>_reference_observation</w:t>
      </w:r>
      <w:r>
        <w:rPr>
          <w:b w:val="0"/>
          <w:i w:val="0"/>
        </w:rPr>
        <w:t xml:space="preserve"> 计算年循环次数 </w:t>
      </w:r>
      <w:r>
        <w:rPr>
          <w:rFonts w:ascii="DejaVu Sans Mono" w:hAnsi="DejaVu Sans Mono"/>
          <w:b w:val="0"/>
          <w:i w:val="0"/>
          <w:sz w:val="17"/>
        </w:rPr>
        <w:t>cycles_per_year</w:t>
      </w:r>
      <w:r>
        <w:rPr>
          <w:b w:val="0"/>
          <w:i w:val="0"/>
        </w:rPr>
        <w:t xml:space="preserve">、以 MWh 计的年度交付销量 </w:t>
      </w:r>
      <w:r>
        <w:rPr>
          <w:rFonts w:ascii="DejaVu Sans Mono" w:hAnsi="DejaVu Sans Mono"/>
          <w:b w:val="0"/>
          <w:i w:val="0"/>
          <w:sz w:val="17"/>
        </w:rPr>
        <w:t>sold</w:t>
      </w:r>
      <w:r>
        <w:rPr>
          <w:b w:val="0"/>
          <w:i w:val="0"/>
        </w:rPr>
        <w:t xml:space="preserve">，以及以模型时段数计的参考持有时间 </w:t>
      </w:r>
      <w:r>
        <w:rPr>
          <w:rFonts w:ascii="DejaVu Sans Mono" w:hAnsi="DejaVu Sans Mono"/>
          <w:b w:val="0"/>
          <w:i w:val="0"/>
          <w:sz w:val="17"/>
        </w:rPr>
        <w:t>dwell_periods</w:t>
      </w:r>
      <w:r>
        <w:rPr>
          <w:b w:val="0"/>
          <w:i w:val="0"/>
        </w:rPr>
        <w:t>：</w:t>
      </w:r>
    </w:p>
    <w:p>
      <w:pPr>
        <w:keepLines/>
        <w:spacing w:line="276" w:lineRule="auto" w:after="160"/>
      </w:pPr>
      <w:r>
        <w:rPr>
          <w:rFonts w:ascii="DejaVu Sans Mono" w:hAnsi="DejaVu Sans Mono"/>
          <w:b w:val="0"/>
          <w:i w:val="0"/>
          <w:sz w:val="17"/>
        </w:rPr>
        <w:t>cycles_per_year = min(</w:t>
        <w:br/>
        <w:t xml:space="preserve">    spec.maximum_cycles / spec.economic_​lifetime_​years,</w:t>
        <w:br/>
        <w:t xml:space="preserve">    8760 / (2 * spec.duration_hours)</w:t>
        <w:br/>
        <w:t>)</w:t>
        <w:br/>
        <w:t>sold = energy_capacity_mwh * discharge_efficiency * cycles_per_year</w:t>
        <w:br/>
        <w:t>dwell_periods = max(spec.duration_hours / period_hours, 2)</w:t>
        <w:br/>
      </w:r>
    </w:p>
    <w:p>
      <w:r>
        <w:rPr>
          <w:b w:val="0"/>
          <w:i w:val="0"/>
        </w:rPr>
        <w:t>定价基准优先采用为正的上一年销量，并以参考销量的一定比例作为下限。</w:t>
      </w:r>
      <w:r>
        <w:rPr>
          <w:rFonts w:ascii="DejaVu Sans Mono" w:hAnsi="DejaVu Sans Mono"/>
          <w:b w:val="0"/>
          <w:i w:val="0"/>
          <w:sz w:val="17"/>
        </w:rPr>
        <w:t>reference</w:t>
      </w:r>
      <w:r>
        <w:rPr>
          <w:b w:val="0"/>
          <w:i w:val="0"/>
        </w:rPr>
        <w:t xml:space="preserve"> 是 </w:t>
      </w:r>
      <w:r>
        <w:rPr>
          <w:rFonts w:ascii="DejaVu Sans Mono" w:hAnsi="DejaVu Sans Mono"/>
          <w:b w:val="0"/>
          <w:i w:val="0"/>
          <w:sz w:val="17"/>
        </w:rPr>
        <w:t>_reference_observation</w:t>
      </w:r>
      <w:r>
        <w:rPr>
          <w:b w:val="0"/>
          <w:i w:val="0"/>
        </w:rPr>
        <w:t xml:space="preserve"> 返回的观察值，将 </w:t>
      </w:r>
      <w:r>
        <w:rPr>
          <w:rFonts w:ascii="DejaVu Sans Mono" w:hAnsi="DejaVu Sans Mono"/>
          <w:b w:val="0"/>
          <w:i w:val="0"/>
          <w:sz w:val="17"/>
        </w:rPr>
        <w:t>sold</w:t>
      </w:r>
      <w:r>
        <w:rPr>
          <w:b w:val="0"/>
          <w:i w:val="0"/>
        </w:rPr>
        <w:t xml:space="preserve"> 保存为 </w:t>
      </w:r>
      <w:r>
        <w:rPr>
          <w:rFonts w:ascii="DejaVu Sans Mono" w:hAnsi="DejaVu Sans Mono"/>
          <w:b w:val="0"/>
          <w:i w:val="0"/>
          <w:sz w:val="17"/>
        </w:rPr>
        <w:t>sold_energy_mwh</w:t>
      </w:r>
      <w:r>
        <w:rPr>
          <w:b w:val="0"/>
          <w:i w:val="0"/>
        </w:rPr>
        <w:t xml:space="preserve">，将参考持有时间保存为 </w:t>
      </w:r>
      <w:r>
        <w:rPr>
          <w:rFonts w:ascii="DejaVu Sans Mono" w:hAnsi="DejaVu Sans Mono"/>
          <w:b w:val="0"/>
          <w:i w:val="0"/>
          <w:sz w:val="17"/>
        </w:rPr>
        <w:t>average_dwell_periods</w:t>
      </w:r>
      <w:r>
        <w:rPr>
          <w:b w:val="0"/>
          <w:i w:val="0"/>
        </w:rPr>
        <w:t>；</w:t>
      </w:r>
      <w:r>
        <w:rPr>
          <w:rFonts w:ascii="DejaVu Sans Mono" w:hAnsi="DejaVu Sans Mono"/>
          <w:b w:val="0"/>
          <w:i w:val="0"/>
          <w:sz w:val="17"/>
        </w:rPr>
        <w:t>previous</w:t>
      </w:r>
      <w:r>
        <w:rPr>
          <w:b w:val="0"/>
          <w:i w:val="0"/>
        </w:rPr>
        <w:t xml:space="preserve"> 保存上一年观察值。选出的 </w:t>
      </w:r>
      <w:r>
        <w:rPr>
          <w:rFonts w:ascii="DejaVu Sans Mono" w:hAnsi="DejaVu Sans Mono"/>
          <w:b w:val="0"/>
          <w:i w:val="0"/>
          <w:sz w:val="17"/>
        </w:rPr>
        <w:t>basis_sold</w:t>
      </w:r>
      <w:r>
        <w:rPr>
          <w:b w:val="0"/>
          <w:i w:val="0"/>
        </w:rPr>
        <w:t xml:space="preserve"> 以 MWh 计，</w:t>
      </w:r>
      <w:r>
        <w:rPr>
          <w:rFonts w:ascii="DejaVu Sans Mono" w:hAnsi="DejaVu Sans Mono"/>
          <w:b w:val="0"/>
          <w:i w:val="0"/>
          <w:sz w:val="17"/>
        </w:rPr>
        <w:t>average_dwell</w:t>
      </w:r>
      <w:r>
        <w:rPr>
          <w:b w:val="0"/>
          <w:i w:val="0"/>
        </w:rPr>
        <w:t xml:space="preserve"> 为输出 MWh 加权的持有时段数：</w:t>
      </w:r>
    </w:p>
    <w:p>
      <w:pPr>
        <w:keepLines/>
        <w:spacing w:line="276" w:lineRule="auto" w:after="160"/>
      </w:pPr>
      <w:r>
        <w:rPr>
          <w:rFonts w:ascii="DejaVu Sans Mono" w:hAnsi="DejaVu Sans Mono"/>
          <w:b w:val="0"/>
          <w:i w:val="0"/>
          <w:sz w:val="17"/>
        </w:rPr>
        <w:t>observed = previous</w:t>
        <w:br/>
        <w:t>minimum_sold = reference.sold_​energy_​mwh * max(utilisation_floor, 0)</w:t>
        <w:br/>
        <w:t>if observed.sold_​energy_​mwh &gt; 0:</w:t>
        <w:br/>
        <w:t xml:space="preserve">    basis_sold = max(observed.sold_​energy_​mwh, minimum_sold)</w:t>
        <w:br/>
        <w:t xml:space="preserve">    average_dwell = max(observed.average_​dwell_​periods, 2)</w:t>
        <w:br/>
        <w:t>else:</w:t>
        <w:br/>
        <w:t xml:space="preserve">    basis_sold = reference.sold_​energy_​mwh</w:t>
        <w:br/>
        <w:t xml:space="preserve">    average_dwell = reference.average_​dwell_​periods</w:t>
        <w:br/>
      </w:r>
    </w:p>
    <w:p>
      <w:r>
        <w:rPr>
          <w:b w:val="0"/>
          <w:i w:val="0"/>
        </w:rPr>
        <w:t xml:space="preserve">默认 </w:t>
      </w:r>
      <w:r>
        <w:rPr>
          <w:rFonts w:ascii="DejaVu Sans Mono" w:hAnsi="DejaVu Sans Mono"/>
          <w:b w:val="0"/>
          <w:i w:val="0"/>
          <w:sz w:val="17"/>
        </w:rPr>
        <w:t>utilisation_floor=0</w:t>
      </w:r>
      <w:r>
        <w:rPr>
          <w:b w:val="0"/>
          <w:i w:val="0"/>
        </w:rPr>
        <w:t>、</w:t>
      </w:r>
      <w:r>
        <w:rPr>
          <w:rFonts w:ascii="DejaVu Sans Mono" w:hAnsi="DejaVu Sans Mono"/>
          <w:b w:val="0"/>
          <w:i w:val="0"/>
          <w:sz w:val="17"/>
        </w:rPr>
        <w:t>discount_rate=0.05</w:t>
      </w:r>
      <w:r>
        <w:rPr>
          <w:b w:val="0"/>
          <w:i w:val="0"/>
        </w:rPr>
        <w:t>。电池按输出 MWh 回收循环折旧，抽水蓄能和氢储能的循环折旧分量为零。</w:t>
      </w:r>
    </w:p>
    <w:p>
      <w:pPr>
        <w:keepLines/>
        <w:spacing w:line="276" w:lineRule="auto" w:after="160"/>
      </w:pPr>
      <w:r>
        <w:rPr>
          <w:rFonts w:ascii="DejaVu Sans Mono" w:hAnsi="DejaVu Sans Mono"/>
          <w:b w:val="0"/>
          <w:i w:val="0"/>
          <w:sz w:val="17"/>
        </w:rPr>
        <w:t>usable_cycle_output = energy_capacity_mwh * discharge_efficiency</w:t>
        <w:br/>
        <w:t>cycle_​depreciation_​gbp_​per_​mwh = (</w:t>
        <w:br/>
        <w:t xml:space="preserve">    capex / (usable_cycle_output * spec.maximum_cycles))</w:t>
        <w:br/>
        <w:t>expected_cycle_recovery = cycle_​depreciation_​gbp_​per_​mwh * basis_sold</w:t>
        <w:br/>
        <w:t>remaining_​annual_​recovery = max(</w:t>
        <w:br/>
        <w:t xml:space="preserve">    annual_​levelized_​project_​cost_​gbp - expected_​cycle_​recovery, 0)</w:t>
        <w:br/>
        <w:t>weighted_basis = basis_sold * max(average_dwell, 1)</w:t>
        <w:br/>
        <w:t>holding_​recovery_​gbp_​per_​mwh_​period = (</w:t>
        <w:br/>
        <w:t xml:space="preserve">    remaining_​annual_​recovery / weighted_basis)</w:t>
        <w:br/>
      </w:r>
    </w:p>
    <w:p>
      <w:r>
        <w:rPr>
          <w:b w:val="0"/>
          <w:i w:val="0"/>
        </w:rPr>
        <w:t xml:space="preserve">循环公式适用于 </w:t>
      </w:r>
      <w:r>
        <w:rPr>
          <w:rFonts w:ascii="DejaVu Sans Mono" w:hAnsi="DejaVu Sans Mono"/>
          <w:b w:val="0"/>
          <w:i w:val="0"/>
          <w:sz w:val="17"/>
        </w:rPr>
        <w:t>has_cycle_depreciation</w:t>
      </w:r>
      <w:r>
        <w:rPr>
          <w:b w:val="0"/>
          <w:i w:val="0"/>
        </w:rPr>
        <w:t xml:space="preserve"> 为真且两个分母项均为正的情形，其余情形循环折旧取零。</w:t>
      </w:r>
      <w:r>
        <w:rPr>
          <w:rFonts w:ascii="DejaVu Sans Mono" w:hAnsi="DejaVu Sans Mono"/>
          <w:b w:val="0"/>
          <w:i w:val="0"/>
          <w:sz w:val="17"/>
        </w:rPr>
        <w:t>weighted_basis</w:t>
      </w:r>
      <w:r>
        <w:rPr>
          <w:b w:val="0"/>
          <w:i w:val="0"/>
        </w:rPr>
        <w:t xml:space="preserve"> 为零时，持有回收取零。</w:t>
      </w:r>
      <w:r>
        <w:rPr>
          <w:rFonts w:ascii="DejaVu Sans Mono" w:hAnsi="DejaVu Sans Mono"/>
          <w:b w:val="0"/>
          <w:i w:val="0"/>
          <w:sz w:val="17"/>
        </w:rPr>
        <w:t>bid_​price_​gbp_​per_​mwh(dwell_​periods)</w:t>
      </w:r>
      <w:r>
        <w:rPr>
          <w:b w:val="0"/>
          <w:i w:val="0"/>
        </w:rPr>
        <w:t xml:space="preserve"> 将循环折旧与非负持有时长乘持有回收率相加。修正口径的默认 PSM 使用仅含循环项的报价：电池报价为 </w:t>
      </w:r>
      <w:r>
        <w:rPr>
          <w:rFonts w:ascii="DejaVu Sans Mono" w:hAnsi="DejaVu Sans Mono"/>
          <w:b w:val="0"/>
          <w:i w:val="0"/>
          <w:sz w:val="17"/>
        </w:rPr>
        <w:t>cycle_​depreciation_​gbp_​per_​mwh</w:t>
      </w:r>
      <w:r>
        <w:rPr>
          <w:b w:val="0"/>
          <w:i w:val="0"/>
        </w:rPr>
        <w:t>，抽水蓄能与氢储能报价为零，并优先释放最早存入的库存批次。</w:t>
      </w:r>
    </w:p>
    <w:p>
      <w:r>
        <w:rPr>
          <w:b w:val="0"/>
          <w:i w:val="0"/>
        </w:rPr>
        <w:t xml:space="preserve">分段调用传入 </w:t>
      </w:r>
      <w:r>
        <w:rPr>
          <w:rFonts w:ascii="DejaVu Sans Mono" w:hAnsi="DejaVu Sans Mono"/>
          <w:b w:val="0"/>
          <w:i w:val="0"/>
          <w:sz w:val="17"/>
        </w:rPr>
        <w:t>dwell_periods=0</w:t>
      </w:r>
      <w:r>
        <w:rPr>
          <w:b w:val="0"/>
          <w:i w:val="0"/>
        </w:rPr>
        <w:t xml:space="preserve">，售电批次年龄也记为零，其报告中的年龄来源为 </w:t>
      </w:r>
      <w:r>
        <w:rPr>
          <w:rFonts w:ascii="DejaVu Sans Mono" w:hAnsi="DejaVu Sans Mono"/>
          <w:b w:val="0"/>
          <w:i w:val="0"/>
          <w:sz w:val="17"/>
        </w:rPr>
        <w:t>not_​tracked_​staged_​single_​pool</w:t>
      </w:r>
      <w:r>
        <w:rPr>
          <w:b w:val="0"/>
          <w:i w:val="0"/>
        </w:rPr>
        <w:t xml:space="preserve">，因此动态报价的持有项为零。一般持有回收量仍可用于投资成本回收诊断。固定收费方案采用 </w:t>
      </w:r>
      <w:r>
        <w:rPr>
          <w:rFonts w:ascii="DejaVu Sans Mono" w:hAnsi="DejaVu Sans Mono"/>
          <w:b w:val="0"/>
          <w:i w:val="0"/>
          <w:sz w:val="17"/>
        </w:rPr>
        <w:t>storage_​fee_​gbp_​per_​mwh+dwell_​periods×holding_​fee_​gbp_​per_​mwh_​period</w:t>
      </w:r>
      <w:r>
        <w:rPr>
          <w:b w:val="0"/>
          <w:i w:val="0"/>
        </w:rPr>
        <w:t>；论文复现口径使用其旧费率配置。</w:t>
      </w:r>
    </w:p>
    <w:p>
      <w:r>
        <w:rPr>
          <w:b w:val="0"/>
          <w:i w:val="0"/>
        </w:rPr>
        <w:t>以 2025 年 GBP/​kW/​年计，目录固定维护费率分别为：抽水蓄能 13.4，1C、0.5C、0.25C 电池各 6.6，氢储能 19.7。抽水蓄能目录建设成本为 360,000 GBP/​MW。这些固定费用进入年度报价成本回收；系统成本账户将风电、光伏及储能固定运营费单独记为备忘项目。</w:t>
      </w:r>
    </w:p>
    <w:p>
      <w:pPr>
        <w:pStyle w:val="Heading2"/>
      </w:pPr>
      <w:r>
        <w:rPr>
          <w:b w:val="0"/>
          <w:i w:val="0"/>
        </w:rPr>
        <w:t>储能扩建上限</w:t>
      </w:r>
    </w:p>
    <w:p>
      <w:pPr>
        <w:keepNext/>
      </w:pPr>
      <w:r>
        <w:rPr>
          <w:b w:val="0"/>
          <w:i w:val="0"/>
        </w:rPr>
        <w:t>修正口径的储能扩建采用现有储能充电后的剩余电量。</w:t>
      </w:r>
      <w:r>
        <w:rPr>
          <w:rFonts w:ascii="DejaVu Sans Mono" w:hAnsi="DejaVu Sans Mono"/>
          <w:b w:val="0"/>
          <w:i w:val="0"/>
          <w:sz w:val="17"/>
        </w:rPr>
        <w:t>corrected_​storage_​headroom</w:t>
      </w:r>
      <w:r>
        <w:rPr>
          <w:b w:val="0"/>
          <w:i w:val="0"/>
        </w:rPr>
        <w:t xml:space="preserve"> 从 </w:t>
      </w:r>
      <w:r>
        <w:rPr>
          <w:rFonts w:ascii="DejaVu Sans Mono" w:hAnsi="DejaVu Sans Mono"/>
          <w:b w:val="0"/>
          <w:i w:val="0"/>
          <w:sz w:val="17"/>
        </w:rPr>
        <w:t>storage_headroom_inputs</w:t>
      </w:r>
      <w:r>
        <w:rPr>
          <w:b w:val="0"/>
          <w:i w:val="0"/>
        </w:rPr>
        <w:t xml:space="preserve"> 读取 </w:t>
      </w:r>
      <w:r>
        <w:rPr>
          <w:rFonts w:ascii="DejaVu Sans Mono" w:hAnsi="DejaVu Sans Mono"/>
          <w:b w:val="0"/>
          <w:i w:val="0"/>
          <w:sz w:val="17"/>
        </w:rPr>
        <w:t>leftover_excess_mwh</w:t>
      </w:r>
      <w:r>
        <w:rPr>
          <w:b w:val="0"/>
          <w:i w:val="0"/>
        </w:rPr>
        <w:t xml:space="preserve">，从各时段摘要读取 </w:t>
      </w:r>
      <w:r>
        <w:rPr>
          <w:rFonts w:ascii="DejaVu Sans Mono" w:hAnsi="DejaVu Sans Mono"/>
          <w:b w:val="0"/>
          <w:i w:val="0"/>
          <w:sz w:val="17"/>
        </w:rPr>
        <w:t>vre_accepted_mwh</w:t>
      </w:r>
      <w:r>
        <w:rPr>
          <w:b w:val="0"/>
          <w:i w:val="0"/>
        </w:rPr>
        <w:t>、</w:t>
      </w:r>
      <w:r>
        <w:rPr>
          <w:rFonts w:ascii="DejaVu Sans Mono" w:hAnsi="DejaVu Sans Mono"/>
          <w:b w:val="0"/>
          <w:i w:val="0"/>
          <w:sz w:val="17"/>
        </w:rPr>
        <w:t>real_demand_mwh</w:t>
      </w:r>
      <w:r>
        <w:rPr>
          <w:b w:val="0"/>
          <w:i w:val="0"/>
        </w:rPr>
        <w:t xml:space="preserve"> 与 </w:t>
      </w:r>
      <w:r>
        <w:rPr>
          <w:rFonts w:ascii="DejaVu Sans Mono" w:hAnsi="DejaVu Sans Mono"/>
          <w:b w:val="0"/>
          <w:i w:val="0"/>
          <w:sz w:val="17"/>
        </w:rPr>
        <w:t>storage_discharge_mwh</w:t>
      </w:r>
      <w:r>
        <w:rPr>
          <w:b w:val="0"/>
          <w:i w:val="0"/>
        </w:rPr>
        <w:t xml:space="preserve">。这些字段依次形成以时段 MWh 计的数组 </w:t>
      </w:r>
      <w:r>
        <w:rPr>
          <w:rFonts w:ascii="DejaVu Sans Mono" w:hAnsi="DejaVu Sans Mono"/>
          <w:b w:val="0"/>
          <w:i w:val="0"/>
          <w:sz w:val="17"/>
        </w:rPr>
        <w:t>leftover</w:t>
      </w:r>
      <w:r>
        <w:rPr>
          <w:b w:val="0"/>
          <w:i w:val="0"/>
        </w:rPr>
        <w:t>、</w:t>
      </w:r>
      <w:r>
        <w:rPr>
          <w:rFonts w:ascii="DejaVu Sans Mono" w:hAnsi="DejaVu Sans Mono"/>
          <w:b w:val="0"/>
          <w:i w:val="0"/>
          <w:sz w:val="17"/>
        </w:rPr>
        <w:t>vre</w:t>
      </w:r>
      <w:r>
        <w:rPr>
          <w:b w:val="0"/>
          <w:i w:val="0"/>
        </w:rPr>
        <w:t>、</w:t>
      </w:r>
      <w:r>
        <w:rPr>
          <w:rFonts w:ascii="DejaVu Sans Mono" w:hAnsi="DejaVu Sans Mono"/>
          <w:b w:val="0"/>
          <w:i w:val="0"/>
          <w:sz w:val="17"/>
        </w:rPr>
        <w:t>demand</w:t>
      </w:r>
      <w:r>
        <w:rPr>
          <w:b w:val="0"/>
          <w:i w:val="0"/>
        </w:rPr>
        <w:t xml:space="preserve"> 与 </w:t>
      </w:r>
      <w:r>
        <w:rPr>
          <w:rFonts w:ascii="DejaVu Sans Mono" w:hAnsi="DejaVu Sans Mono"/>
          <w:b w:val="0"/>
          <w:i w:val="0"/>
          <w:sz w:val="17"/>
        </w:rPr>
        <w:t>discharge</w:t>
      </w:r>
      <w:r>
        <w:rPr>
          <w:b w:val="0"/>
          <w:i w:val="0"/>
        </w:rPr>
        <w:t xml:space="preserve">。剩余电量形成 </w:t>
      </w:r>
      <w:r>
        <w:rPr>
          <w:rFonts w:ascii="DejaVu Sans Mono" w:hAnsi="DejaVu Sans Mono"/>
          <w:b w:val="0"/>
          <w:i w:val="0"/>
          <w:sz w:val="17"/>
        </w:rPr>
        <w:t>excess</w:t>
      </w:r>
      <w:r>
        <w:rPr>
          <w:b w:val="0"/>
          <w:i w:val="0"/>
        </w:rPr>
        <w:t xml:space="preserve">，接纳风光与现有储能放电之后的需求缺口形成 </w:t>
      </w:r>
      <w:r>
        <w:rPr>
          <w:rFonts w:ascii="DejaVu Sans Mono" w:hAnsi="DejaVu Sans Mono"/>
          <w:b w:val="0"/>
          <w:i w:val="0"/>
          <w:sz w:val="17"/>
        </w:rPr>
        <w:t>deficit</w:t>
      </w:r>
      <w:r>
        <w:rPr>
          <w:b w:val="0"/>
          <w:i w:val="0"/>
        </w:rPr>
        <w:t>：</w:t>
      </w:r>
    </w:p>
    <w:p>
      <w:pPr>
        <w:spacing w:after="160"/>
        <w:jc w:val="center"/>
      </w:pPr>
      <w:r>
        <w:drawing>
          <wp:inline xmlns:a="http://schemas.openxmlformats.org/drawingml/2006/main" xmlns:pic="http://schemas.openxmlformats.org/drawingml/2006/picture">
            <wp:extent cx="3579875" cy="395478"/>
            <wp:docPr id="36" name="Picture 36"/>
            <wp:cNvGraphicFramePr>
              <a:graphicFrameLocks noChangeAspect="1"/>
            </wp:cNvGraphicFramePr>
            <a:graphic>
              <a:graphicData uri="http://schemas.openxmlformats.org/drawingml/2006/picture">
                <pic:pic>
                  <pic:nvPicPr>
                    <pic:cNvPr id="0" name="eq-036.png"/>
                    <pic:cNvPicPr/>
                  </pic:nvPicPr>
                  <pic:blipFill>
                    <a:blip r:embed="rId46"/>
                    <a:stretch>
                      <a:fillRect/>
                    </a:stretch>
                  </pic:blipFill>
                  <pic:spPr>
                    <a:xfrm>
                      <a:off x="0" y="0"/>
                      <a:ext cx="3579875" cy="395478"/>
                    </a:xfrm>
                    <a:prstGeom prst="rect"/>
                  </pic:spPr>
                </pic:pic>
              </a:graphicData>
            </a:graphic>
          </wp:inline>
        </w:drawing>
      </w:r>
    </w:p>
    <w:p>
      <w:r>
        <w:rPr>
          <w:b w:val="0"/>
          <w:i w:val="0"/>
        </w:rPr>
        <w:t xml:space="preserve">虚拟储能从空库开始，取 </w:t>
      </w:r>
      <w:r>
        <w:rPr>
          <w:rFonts w:ascii="DejaVu Sans Mono" w:hAnsi="DejaVu Sans Mono"/>
          <w:b w:val="0"/>
          <w:i w:val="0"/>
          <w:sz w:val="17"/>
        </w:rPr>
        <w:t>power_mw=10⁹</w:t>
      </w:r>
      <w:r>
        <w:rPr>
          <w:b w:val="0"/>
          <w:i w:val="0"/>
        </w:rPr>
        <w:t xml:space="preserve"> MW、</w:t>
      </w:r>
      <w:r>
        <w:rPr>
          <w:rFonts w:ascii="DejaVu Sans Mono" w:hAnsi="DejaVu Sans Mono"/>
          <w:b w:val="0"/>
          <w:i w:val="0"/>
          <w:sz w:val="17"/>
        </w:rPr>
        <w:t>energy_cap_mwh=10⁹</w:t>
      </w:r>
      <w:r>
        <w:rPr>
          <w:b w:val="0"/>
          <w:i w:val="0"/>
        </w:rPr>
        <w:t xml:space="preserve"> MWh，充电效率 </w:t>
      </w:r>
      <w:r>
        <w:rPr>
          <w:rFonts w:ascii="DejaVu Sans Mono" w:hAnsi="DejaVu Sans Mono"/>
          <w:b w:val="0"/>
          <w:i w:val="0"/>
          <w:sz w:val="17"/>
        </w:rPr>
        <w:t>rte=0.98</w:t>
      </w:r>
      <w:r>
        <w:rPr>
          <w:b w:val="0"/>
          <w:i w:val="0"/>
        </w:rPr>
        <w:t>，放电效率为 1。</w:t>
      </w:r>
      <w:r>
        <w:rPr>
          <w:rFonts w:ascii="DejaVu Sans Mono" w:hAnsi="DejaVu Sans Mono"/>
          <w:b w:val="0"/>
          <w:i w:val="0"/>
          <w:sz w:val="17"/>
        </w:rPr>
        <w:t>_simulate_virtual_pool</w:t>
      </w:r>
      <w:r>
        <w:rPr>
          <w:b w:val="0"/>
          <w:i w:val="0"/>
        </w:rPr>
        <w:t xml:space="preserve"> 每期先充电再放电。以下更新中，</w:t>
      </w:r>
      <w:r>
        <w:rPr>
          <w:rFonts w:ascii="DejaVu Sans Mono" w:hAnsi="DejaVu Sans Mono"/>
          <w:b w:val="0"/>
          <w:i w:val="0"/>
          <w:sz w:val="17"/>
        </w:rPr>
        <w:t>exc</w:t>
      </w:r>
      <w:r>
        <w:rPr>
          <w:b w:val="0"/>
          <w:i w:val="0"/>
        </w:rPr>
        <w:t xml:space="preserve"> 与 </w:t>
      </w:r>
      <w:r>
        <w:rPr>
          <w:rFonts w:ascii="DejaVu Sans Mono" w:hAnsi="DejaVu Sans Mono"/>
          <w:b w:val="0"/>
          <w:i w:val="0"/>
          <w:sz w:val="17"/>
        </w:rPr>
        <w:t>dfc</w:t>
      </w:r>
      <w:r>
        <w:rPr>
          <w:b w:val="0"/>
          <w:i w:val="0"/>
        </w:rPr>
        <w:t xml:space="preserve"> 为当期剩余电量和缺口，</w:t>
      </w:r>
      <w:r>
        <w:rPr>
          <w:rFonts w:ascii="DejaVu Sans Mono" w:hAnsi="DejaVu Sans Mono"/>
          <w:b w:val="0"/>
          <w:i w:val="0"/>
          <w:sz w:val="17"/>
        </w:rPr>
        <w:t>max_​period_​mwh=power_​mw×PERIOD_​HOURS</w:t>
      </w:r>
      <w:r>
        <w:rPr>
          <w:b w:val="0"/>
          <w:i w:val="0"/>
        </w:rPr>
        <w:t>：</w:t>
      </w:r>
    </w:p>
    <w:p>
      <w:pPr>
        <w:keepLines/>
        <w:spacing w:line="276" w:lineRule="auto" w:after="160"/>
      </w:pPr>
      <w:r>
        <w:rPr>
          <w:rFonts w:ascii="DejaVu Sans Mono" w:hAnsi="DejaVu Sans Mono"/>
          <w:b w:val="0"/>
          <w:i w:val="0"/>
          <w:sz w:val="17"/>
        </w:rPr>
        <w:t>ch = min(exc, max_period_mwh, (energy_cap_mwh - soc) / rte)</w:t>
        <w:br/>
        <w:t>soc += ch * rte</w:t>
        <w:br/>
        <w:t>dis = min(dfc, max_period_mwh, soc)</w:t>
        <w:br/>
        <w:t>soc -= dis</w:t>
        <w:br/>
        <w:t>charge[t] = ch</w:t>
        <w:br/>
        <w:t>discharge[t] = dis</w:t>
        <w:br/>
      </w:r>
    </w:p>
    <w:p>
      <w:r>
        <w:rPr>
          <w:rFonts w:ascii="DejaVu Sans Mono" w:hAnsi="DejaVu Sans Mono"/>
          <w:b w:val="0"/>
          <w:i w:val="0"/>
          <w:sz w:val="17"/>
        </w:rPr>
        <w:t>aligned_max_mw</w:t>
      </w:r>
      <w:r>
        <w:rPr>
          <w:b w:val="0"/>
          <w:i w:val="0"/>
        </w:rPr>
        <w:t xml:space="preserve"> 求充电与放电都能达到至少 </w:t>
      </w:r>
      <w:r>
        <w:rPr>
          <w:rFonts w:ascii="DejaVu Sans Mono" w:hAnsi="DejaVu Sans Mono"/>
          <w:b w:val="0"/>
          <w:i w:val="0"/>
          <w:sz w:val="17"/>
        </w:rPr>
        <w:t>min_hours</w:t>
      </w:r>
      <w:r>
        <w:rPr>
          <w:b w:val="0"/>
          <w:i w:val="0"/>
        </w:rPr>
        <w:t xml:space="preserve"> 使用时长的最大共同功率。</w:t>
      </w:r>
      <w:r>
        <w:rPr>
          <w:rFonts w:ascii="DejaVu Sans Mono" w:hAnsi="DejaVu Sans Mono"/>
          <w:b w:val="0"/>
          <w:i w:val="0"/>
          <w:sz w:val="17"/>
        </w:rPr>
        <w:t>hours_​above_​power(power_​mw,p_​mw)</w:t>
      </w:r>
      <w:r>
        <w:rPr>
          <w:b w:val="0"/>
          <w:i w:val="0"/>
        </w:rPr>
        <w:t xml:space="preserve"> 统计严格超过试探功率的时段数，再乘 0.5 h。搜索在零与充放电峰值中的较小值之间进行 64 次二分；目标时长无法达到时返回零，目标时长非正时返回该峰值。</w:t>
      </w:r>
    </w:p>
    <w:p>
      <w:pPr>
        <w:keepNext/>
      </w:pPr>
      <w:r>
        <w:rPr>
          <w:rFonts w:ascii="DejaVu Sans Mono" w:hAnsi="DejaVu Sans Mono"/>
          <w:b w:val="0"/>
          <w:i w:val="0"/>
          <w:sz w:val="17"/>
        </w:rPr>
        <w:t>aligned_​utilisation_​spectrum</w:t>
      </w:r>
      <w:r>
        <w:rPr>
          <w:b w:val="0"/>
          <w:i w:val="0"/>
        </w:rPr>
        <w:t xml:space="preserve"> 分别按 730、365、52、0 小时计算，得到 </w:t>
      </w:r>
      <w:r>
        <w:rPr>
          <w:rFonts w:ascii="DejaVu Sans Mono" w:hAnsi="DejaVu Sans Mono"/>
          <w:b w:val="0"/>
          <w:i w:val="0"/>
          <w:sz w:val="17"/>
        </w:rPr>
        <w:t>mw_730</w:t>
      </w:r>
      <w:r>
        <w:rPr>
          <w:b w:val="0"/>
          <w:i w:val="0"/>
        </w:rPr>
        <w:t>、</w:t>
      </w:r>
      <w:r>
        <w:rPr>
          <w:rFonts w:ascii="DejaVu Sans Mono" w:hAnsi="DejaVu Sans Mono"/>
          <w:b w:val="0"/>
          <w:i w:val="0"/>
          <w:sz w:val="17"/>
        </w:rPr>
        <w:t>mw_365</w:t>
      </w:r>
      <w:r>
        <w:rPr>
          <w:b w:val="0"/>
          <w:i w:val="0"/>
        </w:rPr>
        <w:t>、</w:t>
      </w:r>
      <w:r>
        <w:rPr>
          <w:rFonts w:ascii="DejaVu Sans Mono" w:hAnsi="DejaVu Sans Mono"/>
          <w:b w:val="0"/>
          <w:i w:val="0"/>
          <w:sz w:val="17"/>
        </w:rPr>
        <w:t>mw_52</w:t>
      </w:r>
      <w:r>
        <w:rPr>
          <w:b w:val="0"/>
          <w:i w:val="0"/>
        </w:rPr>
        <w:t xml:space="preserve"> 与 </w:t>
      </w:r>
      <w:r>
        <w:rPr>
          <w:rFonts w:ascii="DejaVu Sans Mono" w:hAnsi="DejaVu Sans Mono"/>
          <w:b w:val="0"/>
          <w:i w:val="0"/>
          <w:sz w:val="17"/>
        </w:rPr>
        <w:t>mw_0</w:t>
      </w:r>
      <w:r>
        <w:rPr>
          <w:b w:val="0"/>
          <w:i w:val="0"/>
        </w:rPr>
        <w:t>，相邻 MW 区间为：</w:t>
      </w:r>
    </w:p>
    <w:p>
      <w:pPr>
        <w:spacing w:after="160"/>
        <w:jc w:val="center"/>
      </w:pPr>
      <w:r>
        <w:drawing>
          <wp:inline xmlns:a="http://schemas.openxmlformats.org/drawingml/2006/main" xmlns:pic="http://schemas.openxmlformats.org/drawingml/2006/picture">
            <wp:extent cx="2916555" cy="845710"/>
            <wp:docPr id="37" name="Picture 37"/>
            <wp:cNvGraphicFramePr>
              <a:graphicFrameLocks noChangeAspect="1"/>
            </wp:cNvGraphicFramePr>
            <a:graphic>
              <a:graphicData uri="http://schemas.openxmlformats.org/drawingml/2006/picture">
                <pic:pic>
                  <pic:nvPicPr>
                    <pic:cNvPr id="0" name="eq-037.png"/>
                    <pic:cNvPicPr/>
                  </pic:nvPicPr>
                  <pic:blipFill>
                    <a:blip r:embed="rId47"/>
                    <a:stretch>
                      <a:fillRect/>
                    </a:stretch>
                  </pic:blipFill>
                  <pic:spPr>
                    <a:xfrm>
                      <a:off x="0" y="0"/>
                      <a:ext cx="2916555" cy="845710"/>
                    </a:xfrm>
                    <a:prstGeom prst="rect"/>
                  </pic:spPr>
                </pic:pic>
              </a:graphicData>
            </a:graphic>
          </wp:inline>
        </w:drawing>
      </w:r>
    </w:p>
    <w:p>
      <w:r>
        <w:rPr>
          <w:b w:val="0"/>
          <w:i w:val="0"/>
        </w:rPr>
        <w:t xml:space="preserve">三类电池各自获得 </w:t>
      </w:r>
      <w:r>
        <w:rPr>
          <w:rFonts w:ascii="DejaVu Sans Mono" w:hAnsi="DejaVu Sans Mono"/>
          <w:b w:val="0"/>
          <w:i w:val="0"/>
          <w:sz w:val="17"/>
        </w:rPr>
        <w:t>power_​cap=cap_​fraction×power_​room</w:t>
      </w:r>
      <w:r>
        <w:rPr>
          <w:b w:val="0"/>
          <w:i w:val="0"/>
        </w:rPr>
        <w:t xml:space="preserve">，其中 </w:t>
      </w:r>
      <w:r>
        <w:rPr>
          <w:rFonts w:ascii="DejaVu Sans Mono" w:hAnsi="DejaVu Sans Mono"/>
          <w:b w:val="0"/>
          <w:i w:val="0"/>
          <w:sz w:val="17"/>
        </w:rPr>
        <w:t>power_​room=daily+intraday</w:t>
      </w:r>
      <w:r>
        <w:rPr>
          <w:b w:val="0"/>
          <w:i w:val="0"/>
        </w:rPr>
        <w:t>，</w:t>
      </w:r>
      <w:r>
        <w:rPr>
          <w:rFonts w:ascii="DejaVu Sans Mono" w:hAnsi="DejaVu Sans Mono"/>
          <w:b w:val="0"/>
          <w:i w:val="0"/>
          <w:sz w:val="17"/>
        </w:rPr>
        <w:t>cap_fraction</w:t>
      </w:r>
      <w:r>
        <w:rPr>
          <w:b w:val="0"/>
          <w:i w:val="0"/>
        </w:rPr>
        <w:t xml:space="preserve"> 默认取 0.20。氢储能取 </w:t>
      </w:r>
      <w:r>
        <w:rPr>
          <w:rFonts w:ascii="DejaVu Sans Mono" w:hAnsi="DejaVu Sans Mono"/>
          <w:b w:val="0"/>
          <w:i w:val="0"/>
          <w:sz w:val="17"/>
        </w:rPr>
        <w:t>hydrogen_​cap=cap_​fraction×seasonal</w:t>
      </w:r>
      <w:r>
        <w:rPr>
          <w:b w:val="0"/>
          <w:i w:val="0"/>
        </w:rPr>
        <w:t>。因此，1C、0.5C、0.25C 各有一份相同功率空间的 0.20 配额；同一技术的投资主体按稳定顺序消耗该技术剩余额度。报价与投资收益另行计算。</w:t>
      </w:r>
    </w:p>
    <w:p>
      <w:r>
        <w:rPr>
          <w:b w:val="0"/>
          <w:i w:val="0"/>
        </w:rPr>
        <w:t xml:space="preserve">这一计算要求完整的 17,520 个半小时时段及充电后剩余电量序列。部分年份以 </w:t>
      </w:r>
      <w:r>
        <w:rPr>
          <w:rFonts w:ascii="DejaVu Sans Mono" w:hAnsi="DejaVu Sans Mono"/>
          <w:b w:val="0"/>
          <w:i w:val="0"/>
          <w:sz w:val="17"/>
        </w:rPr>
        <w:t>partial_year_chronology</w:t>
      </w:r>
      <w:r>
        <w:rPr>
          <w:b w:val="0"/>
          <w:i w:val="0"/>
        </w:rPr>
        <w:t xml:space="preserve"> 返回零，缺少序列时以 </w:t>
      </w:r>
      <w:r>
        <w:rPr>
          <w:rFonts w:ascii="DejaVu Sans Mono" w:hAnsi="DejaVu Sans Mono"/>
          <w:b w:val="0"/>
          <w:i w:val="0"/>
          <w:sz w:val="17"/>
        </w:rPr>
        <w:t>leftover_​trace_​unavailable</w:t>
      </w:r>
      <w:r>
        <w:rPr>
          <w:b w:val="0"/>
          <w:i w:val="0"/>
        </w:rPr>
        <w:t xml:space="preserve"> 返回零。Native 调度提供该序列；分段调度、完全预见 LP、DC 调度及实验性全国路径在这些检查下取得零修正储能扩容空间。论文复现口径采用接纳风光减需求形成剩余电量，该 PSM 接纳风光受需求约束，因此扩容空间为零。</w:t>
      </w:r>
    </w:p>
    <w:p>
      <w:pPr>
        <w:pStyle w:val="Heading2"/>
      </w:pPr>
      <w:r>
        <w:rPr>
          <w:b w:val="0"/>
          <w:i w:val="0"/>
        </w:rPr>
        <w:t>年度投资</w:t>
      </w:r>
    </w:p>
    <w:p>
      <w:r>
        <w:rPr>
          <w:b w:val="0"/>
          <w:i w:val="0"/>
        </w:rPr>
        <w:t>投资按投资主体、技术与地区合并资产。</w:t>
      </w:r>
      <w:r>
        <w:rPr>
          <w:rFonts w:ascii="DejaVu Sans Mono" w:hAnsi="DejaVu Sans Mono"/>
          <w:b w:val="0"/>
          <w:i w:val="0"/>
          <w:sz w:val="17"/>
        </w:rPr>
        <w:t>adapt_​market_​for_​investment</w:t>
      </w:r>
      <w:r>
        <w:rPr>
          <w:b w:val="0"/>
          <w:i w:val="0"/>
        </w:rPr>
        <w:t xml:space="preserve"> 先按运行 MW 比例将主体收入分配给资产，资产级收入直接进入账户。</w:t>
      </w:r>
      <w:r>
        <w:rPr>
          <w:rFonts w:ascii="DejaVu Sans Mono" w:hAnsi="DejaVu Sans Mono"/>
          <w:b w:val="0"/>
          <w:i w:val="0"/>
          <w:sz w:val="17"/>
        </w:rPr>
        <w:t>SchemeCAgentInvestmentDefinition.decide</w:t>
      </w:r>
      <w:r>
        <w:rPr>
          <w:b w:val="0"/>
          <w:i w:val="0"/>
        </w:rPr>
        <w:t xml:space="preserve"> 将 </w:t>
      </w:r>
      <w:r>
        <w:rPr>
          <w:rFonts w:ascii="DejaVu Sans Mono" w:hAnsi="DejaVu Sans Mono"/>
          <w:b w:val="0"/>
          <w:i w:val="0"/>
          <w:sz w:val="17"/>
        </w:rPr>
        <w:t>capacity_mw</w:t>
      </w:r>
      <w:r>
        <w:rPr>
          <w:b w:val="0"/>
          <w:i w:val="0"/>
        </w:rPr>
        <w:t xml:space="preserve"> 汇总为 </w:t>
      </w:r>
      <w:r>
        <w:rPr>
          <w:rFonts w:ascii="DejaVu Sans Mono" w:hAnsi="DejaVu Sans Mono"/>
          <w:b w:val="0"/>
          <w:i w:val="0"/>
          <w:sz w:val="17"/>
        </w:rPr>
        <w:t>capacity</w:t>
      </w:r>
      <w:r>
        <w:rPr>
          <w:b w:val="0"/>
          <w:i w:val="0"/>
        </w:rPr>
        <w:t xml:space="preserve">，收入汇总为 </w:t>
      </w:r>
      <w:r>
        <w:rPr>
          <w:rFonts w:ascii="DejaVu Sans Mono" w:hAnsi="DejaVu Sans Mono"/>
          <w:b w:val="0"/>
          <w:i w:val="0"/>
          <w:sz w:val="17"/>
        </w:rPr>
        <w:t>income</w:t>
      </w:r>
      <w:r>
        <w:rPr>
          <w:b w:val="0"/>
          <w:i w:val="0"/>
        </w:rPr>
        <w:t xml:space="preserve">，资产总建设成本汇总为 </w:t>
      </w:r>
      <w:r>
        <w:rPr>
          <w:rFonts w:ascii="DejaVu Sans Mono" w:hAnsi="DejaVu Sans Mono"/>
          <w:b w:val="0"/>
          <w:i w:val="0"/>
          <w:sz w:val="17"/>
        </w:rPr>
        <w:t>replacement</w:t>
      </w:r>
      <w:r>
        <w:rPr>
          <w:b w:val="0"/>
          <w:i w:val="0"/>
        </w:rPr>
        <w:t xml:space="preserve">，运行支出汇总为 </w:t>
      </w:r>
      <w:r>
        <w:rPr>
          <w:rFonts w:ascii="DejaVu Sans Mono" w:hAnsi="DejaVu Sans Mono"/>
          <w:b w:val="0"/>
          <w:i w:val="0"/>
          <w:sz w:val="17"/>
        </w:rPr>
        <w:t>operational</w:t>
      </w:r>
      <w:r>
        <w:rPr>
          <w:b w:val="0"/>
          <w:i w:val="0"/>
        </w:rPr>
        <w:t>。</w:t>
      </w:r>
    </w:p>
    <w:p>
      <w:pPr>
        <w:keepNext/>
      </w:pPr>
      <w:r>
        <w:rPr>
          <w:b w:val="0"/>
          <w:i w:val="0"/>
        </w:rPr>
        <w:t>火电运行支出为发电 MWh 乘发电、燃料、碳及单位时间成本之和，</w:t>
      </w:r>
      <w:r>
        <w:rPr>
          <w:rFonts w:ascii="DejaVu Sans Mono" w:hAnsi="DejaVu Sans Mono"/>
          <w:b w:val="0"/>
          <w:i w:val="0"/>
          <w:sz w:val="17"/>
        </w:rPr>
        <w:t>agent_cashflow</w:t>
      </w:r>
      <w:r>
        <w:rPr>
          <w:b w:val="0"/>
          <w:i w:val="0"/>
        </w:rPr>
        <w:t xml:space="preserve"> 行提供 </w:t>
      </w:r>
      <w:r>
        <w:rPr>
          <w:rFonts w:ascii="DejaVu Sans Mono" w:hAnsi="DejaVu Sans Mono"/>
          <w:b w:val="0"/>
          <w:i w:val="0"/>
          <w:sz w:val="17"/>
        </w:rPr>
        <w:t>generated_mwh</w:t>
      </w:r>
      <w:r>
        <w:rPr>
          <w:b w:val="0"/>
          <w:i w:val="0"/>
        </w:rPr>
        <w:t>、</w:t>
      </w:r>
      <w:r>
        <w:rPr>
          <w:rFonts w:ascii="DejaVu Sans Mono" w:hAnsi="DejaVu Sans Mono"/>
          <w:b w:val="0"/>
          <w:i w:val="0"/>
          <w:sz w:val="17"/>
        </w:rPr>
        <w:t>generation_​cost_​gbp_​per_​mwh</w:t>
      </w:r>
      <w:r>
        <w:rPr>
          <w:b w:val="0"/>
          <w:i w:val="0"/>
        </w:rPr>
        <w:t>、</w:t>
      </w:r>
      <w:r>
        <w:rPr>
          <w:rFonts w:ascii="DejaVu Sans Mono" w:hAnsi="DejaVu Sans Mono"/>
          <w:b w:val="0"/>
          <w:i w:val="0"/>
          <w:sz w:val="17"/>
        </w:rPr>
        <w:t>fuel_cost_gbp_per_mwh</w:t>
      </w:r>
      <w:r>
        <w:rPr>
          <w:b w:val="0"/>
          <w:i w:val="0"/>
        </w:rPr>
        <w:t>、</w:t>
      </w:r>
      <w:r>
        <w:rPr>
          <w:rFonts w:ascii="DejaVu Sans Mono" w:hAnsi="DejaVu Sans Mono"/>
          <w:b w:val="0"/>
          <w:i w:val="0"/>
          <w:sz w:val="17"/>
        </w:rPr>
        <w:t>carbon_cost_gbp_per_mwh</w:t>
      </w:r>
      <w:r>
        <w:rPr>
          <w:b w:val="0"/>
          <w:i w:val="0"/>
        </w:rPr>
        <w:t xml:space="preserve"> 和 </w:t>
      </w:r>
      <w:r>
        <w:rPr>
          <w:rFonts w:ascii="DejaVu Sans Mono" w:hAnsi="DejaVu Sans Mono"/>
          <w:b w:val="0"/>
          <w:i w:val="0"/>
          <w:sz w:val="17"/>
        </w:rPr>
        <w:t>unit_​time_​cost_​gbp_​per_​mwh</w:t>
      </w:r>
      <w:r>
        <w:rPr>
          <w:b w:val="0"/>
          <w:i w:val="0"/>
        </w:rPr>
        <w:t xml:space="preserve">。这一投资规则对风电、光伏及储能的运行扣减取零。组内净收入 </w:t>
      </w:r>
      <w:r>
        <w:rPr>
          <w:rFonts w:ascii="DejaVu Sans Mono" w:hAnsi="DejaVu Sans Mono"/>
          <w:b w:val="0"/>
          <w:i w:val="0"/>
          <w:sz w:val="17"/>
        </w:rPr>
        <w:t>net</w:t>
      </w:r>
      <w:r>
        <w:rPr>
          <w:b w:val="0"/>
          <w:i w:val="0"/>
        </w:rPr>
        <w:t>、单位建设成本、</w:t>
      </w:r>
      <w:r>
        <w:rPr>
          <w:rFonts w:ascii="DejaVu Sans Mono" w:hAnsi="DejaVu Sans Mono"/>
          <w:b w:val="0"/>
          <w:i w:val="0"/>
          <w:sz w:val="17"/>
        </w:rPr>
        <w:t>roi</w:t>
      </w:r>
      <w:r>
        <w:rPr>
          <w:b w:val="0"/>
          <w:i w:val="0"/>
        </w:rPr>
        <w:t xml:space="preserve"> 与回收期为：</w:t>
      </w:r>
    </w:p>
    <w:p>
      <w:pPr>
        <w:spacing w:after="160"/>
        <w:jc w:val="center"/>
      </w:pPr>
      <w:r>
        <w:drawing>
          <wp:inline xmlns:a="http://schemas.openxmlformats.org/drawingml/2006/main" xmlns:pic="http://schemas.openxmlformats.org/drawingml/2006/picture">
            <wp:extent cx="3564026" cy="1085896"/>
            <wp:docPr id="38" name="Picture 38"/>
            <wp:cNvGraphicFramePr>
              <a:graphicFrameLocks noChangeAspect="1"/>
            </wp:cNvGraphicFramePr>
            <a:graphic>
              <a:graphicData uri="http://schemas.openxmlformats.org/drawingml/2006/picture">
                <pic:pic>
                  <pic:nvPicPr>
                    <pic:cNvPr id="0" name="eq-038.png"/>
                    <pic:cNvPicPr/>
                  </pic:nvPicPr>
                  <pic:blipFill>
                    <a:blip r:embed="rId48"/>
                    <a:stretch>
                      <a:fillRect/>
                    </a:stretch>
                  </pic:blipFill>
                  <pic:spPr>
                    <a:xfrm>
                      <a:off x="0" y="0"/>
                      <a:ext cx="3564026" cy="1085896"/>
                    </a:xfrm>
                    <a:prstGeom prst="rect"/>
                  </pic:spPr>
                </pic:pic>
              </a:graphicData>
            </a:graphic>
          </wp:inline>
        </w:drawing>
      </w:r>
    </w:p>
    <w:p>
      <w:pPr>
        <w:keepNext/>
      </w:pPr>
      <w:r>
        <w:rPr>
          <w:rFonts w:ascii="DejaVu Sans Mono" w:hAnsi="DejaVu Sans Mono"/>
          <w:b w:val="0"/>
          <w:i w:val="0"/>
          <w:sz w:val="17"/>
        </w:rPr>
        <w:t>income</w:t>
      </w:r>
      <w:r>
        <w:rPr>
          <w:b w:val="0"/>
          <w:i w:val="0"/>
        </w:rPr>
        <w:t>、</w:t>
      </w:r>
      <w:r>
        <w:rPr>
          <w:rFonts w:ascii="DejaVu Sans Mono" w:hAnsi="DejaVu Sans Mono"/>
          <w:b w:val="0"/>
          <w:i w:val="0"/>
          <w:sz w:val="17"/>
        </w:rPr>
        <w:t>operational</w:t>
      </w:r>
      <w:r>
        <w:rPr>
          <w:b w:val="0"/>
          <w:i w:val="0"/>
        </w:rPr>
        <w:t>、</w:t>
      </w:r>
      <w:r>
        <w:rPr>
          <w:rFonts w:ascii="DejaVu Sans Mono" w:hAnsi="DejaVu Sans Mono"/>
          <w:b w:val="0"/>
          <w:i w:val="0"/>
          <w:sz w:val="17"/>
        </w:rPr>
        <w:t>net</w:t>
      </w:r>
      <w:r>
        <w:rPr>
          <w:b w:val="0"/>
          <w:i w:val="0"/>
        </w:rPr>
        <w:t xml:space="preserve"> 和 </w:t>
      </w:r>
      <w:r>
        <w:rPr>
          <w:rFonts w:ascii="DejaVu Sans Mono" w:hAnsi="DejaVu Sans Mono"/>
          <w:b w:val="0"/>
          <w:i w:val="0"/>
          <w:sz w:val="17"/>
        </w:rPr>
        <w:t>replacement</w:t>
      </w:r>
      <w:r>
        <w:rPr>
          <w:b w:val="0"/>
          <w:i w:val="0"/>
        </w:rPr>
        <w:t xml:space="preserve"> 以 GBP 计，</w:t>
      </w:r>
      <w:r>
        <w:rPr>
          <w:rFonts w:ascii="DejaVu Sans Mono" w:hAnsi="DejaVu Sans Mono"/>
          <w:b w:val="0"/>
          <w:i w:val="0"/>
          <w:sz w:val="17"/>
        </w:rPr>
        <w:t>cost_per_mw</w:t>
      </w:r>
      <w:r>
        <w:rPr>
          <w:b w:val="0"/>
          <w:i w:val="0"/>
        </w:rPr>
        <w:t xml:space="preserve"> 以 GBP/MW 计，</w:t>
      </w:r>
      <w:r>
        <w:rPr>
          <w:rFonts w:ascii="DejaVu Sans Mono" w:hAnsi="DejaVu Sans Mono"/>
          <w:b w:val="0"/>
          <w:i w:val="0"/>
          <w:sz w:val="17"/>
        </w:rPr>
        <w:t>roi</w:t>
      </w:r>
      <w:r>
        <w:rPr>
          <w:b w:val="0"/>
          <w:i w:val="0"/>
        </w:rPr>
        <w:t xml:space="preserve"> 为年收益率，</w:t>
      </w:r>
      <w:r>
        <w:rPr>
          <w:rFonts w:ascii="DejaVu Sans Mono" w:hAnsi="DejaVu Sans Mono"/>
          <w:b w:val="0"/>
          <w:i w:val="0"/>
          <w:sz w:val="17"/>
        </w:rPr>
        <w:t>payback</w:t>
      </w:r>
      <w:r>
        <w:rPr>
          <w:b w:val="0"/>
          <w:i w:val="0"/>
        </w:rPr>
        <w:t xml:space="preserve"> 以年计。重置资本为零时 </w:t>
      </w:r>
      <w:r>
        <w:rPr>
          <w:rFonts w:ascii="DejaVu Sans Mono" w:hAnsi="DejaVu Sans Mono"/>
          <w:b w:val="0"/>
          <w:i w:val="0"/>
          <w:sz w:val="17"/>
        </w:rPr>
        <w:t>roi</w:t>
      </w:r>
      <w:r>
        <w:rPr>
          <w:b w:val="0"/>
          <w:i w:val="0"/>
        </w:rPr>
        <w:t xml:space="preserve"> 取零。火电满足以下条件时将 </w:t>
      </w:r>
      <w:r>
        <w:rPr>
          <w:rFonts w:ascii="DejaVu Sans Mono" w:hAnsi="DejaVu Sans Mono"/>
          <w:b w:val="0"/>
          <w:i w:val="0"/>
          <w:sz w:val="17"/>
        </w:rPr>
        <w:t>net</w:t>
      </w:r>
      <w:r>
        <w:rPr>
          <w:b w:val="0"/>
          <w:i w:val="0"/>
        </w:rPr>
        <w:t xml:space="preserve"> 置零，以吸收舍入差额：</w:t>
      </w:r>
    </w:p>
    <w:p>
      <w:pPr>
        <w:spacing w:after="160"/>
        <w:jc w:val="center"/>
      </w:pPr>
      <w:r>
        <w:drawing>
          <wp:inline xmlns:a="http://schemas.openxmlformats.org/drawingml/2006/main" xmlns:pic="http://schemas.openxmlformats.org/drawingml/2006/picture">
            <wp:extent cx="3182569" cy="196624"/>
            <wp:docPr id="39" name="Picture 39"/>
            <wp:cNvGraphicFramePr>
              <a:graphicFrameLocks noChangeAspect="1"/>
            </wp:cNvGraphicFramePr>
            <a:graphic>
              <a:graphicData uri="http://schemas.openxmlformats.org/drawingml/2006/picture">
                <pic:pic>
                  <pic:nvPicPr>
                    <pic:cNvPr id="0" name="eq-039.png"/>
                    <pic:cNvPicPr/>
                  </pic:nvPicPr>
                  <pic:blipFill>
                    <a:blip r:embed="rId49"/>
                    <a:stretch>
                      <a:fillRect/>
                    </a:stretch>
                  </pic:blipFill>
                  <pic:spPr>
                    <a:xfrm>
                      <a:off x="0" y="0"/>
                      <a:ext cx="3182569" cy="196624"/>
                    </a:xfrm>
                    <a:prstGeom prst="rect"/>
                  </pic:spPr>
                </pic:pic>
              </a:graphicData>
            </a:graphic>
          </wp:inline>
        </w:drawing>
      </w:r>
    </w:p>
    <w:p>
      <w:r>
        <w:rPr>
          <w:b w:val="0"/>
          <w:i w:val="0"/>
        </w:rPr>
        <w:t>两个口径都采用这一净收入账户。</w:t>
      </w:r>
      <w:r>
        <w:rPr>
          <w:rFonts w:ascii="DejaVu Sans Mono" w:hAnsi="DejaVu Sans Mono"/>
          <w:b w:val="0"/>
          <w:i w:val="0"/>
          <w:sz w:val="17"/>
        </w:rPr>
        <w:t>preferred</w:t>
      </w:r>
      <w:r>
        <w:rPr>
          <w:b w:val="0"/>
          <w:i w:val="0"/>
        </w:rPr>
        <w:t xml:space="preserve"> 取成员 </w:t>
      </w:r>
      <w:r>
        <w:rPr>
          <w:rFonts w:ascii="DejaVu Sans Mono" w:hAnsi="DejaVu Sans Mono"/>
          <w:b w:val="0"/>
          <w:i w:val="0"/>
          <w:sz w:val="17"/>
        </w:rPr>
        <w:t>preferred_rate</w:t>
      </w:r>
      <w:r>
        <w:rPr>
          <w:b w:val="0"/>
          <w:i w:val="0"/>
        </w:rPr>
        <w:t xml:space="preserve"> 的最大值，</w:t>
      </w:r>
      <w:r>
        <w:rPr>
          <w:rFonts w:ascii="DejaVu Sans Mono" w:hAnsi="DejaVu Sans Mono"/>
          <w:b w:val="0"/>
          <w:i w:val="0"/>
          <w:sz w:val="17"/>
        </w:rPr>
        <w:t>life</w:t>
      </w:r>
      <w:r>
        <w:rPr>
          <w:b w:val="0"/>
          <w:i w:val="0"/>
        </w:rPr>
        <w:t xml:space="preserve"> 取 </w:t>
      </w:r>
      <w:r>
        <w:rPr>
          <w:rFonts w:ascii="DejaVu Sans Mono" w:hAnsi="DejaVu Sans Mono"/>
          <w:b w:val="0"/>
          <w:i w:val="0"/>
          <w:sz w:val="17"/>
        </w:rPr>
        <w:t>economic_lifetime_years</w:t>
      </w:r>
      <w:r>
        <w:rPr>
          <w:b w:val="0"/>
          <w:i w:val="0"/>
        </w:rPr>
        <w:t xml:space="preserve"> 的最小值，</w:t>
      </w:r>
      <w:r>
        <w:rPr>
          <w:rFonts w:ascii="DejaVu Sans Mono" w:hAnsi="DejaVu Sans Mono"/>
          <w:b w:val="0"/>
          <w:i w:val="0"/>
          <w:sz w:val="17"/>
        </w:rPr>
        <w:t>target_payback</w:t>
      </w:r>
      <w:r>
        <w:rPr>
          <w:b w:val="0"/>
          <w:i w:val="0"/>
        </w:rPr>
        <w:t xml:space="preserve"> 取 </w:t>
      </w:r>
      <w:r>
        <w:rPr>
          <w:rFonts w:ascii="DejaVu Sans Mono" w:hAnsi="DejaVu Sans Mono"/>
          <w:b w:val="0"/>
          <w:i w:val="0"/>
          <w:sz w:val="17"/>
        </w:rPr>
        <w:t>target_payback_years</w:t>
      </w:r>
      <w:r>
        <w:rPr>
          <w:b w:val="0"/>
          <w:i w:val="0"/>
        </w:rPr>
        <w:t xml:space="preserve"> 的最小值，默认分别为 0.08、25 年及组内寿命，零值也采用相同默认值。投资以起始年不变价 GBP 比较未折现的 </w:t>
      </w:r>
      <w:r>
        <w:rPr>
          <w:rFonts w:ascii="DejaVu Sans Mono" w:hAnsi="DejaVu Sans Mono"/>
          <w:b w:val="0"/>
          <w:i w:val="0"/>
          <w:sz w:val="17"/>
        </w:rPr>
        <w:t>roi</w:t>
      </w:r>
      <w:r>
        <w:rPr>
          <w:b w:val="0"/>
          <w:i w:val="0"/>
        </w:rPr>
        <w:t xml:space="preserve"> 与 </w:t>
      </w:r>
      <w:r>
        <w:rPr>
          <w:rFonts w:ascii="DejaVu Sans Mono" w:hAnsi="DejaVu Sans Mono"/>
          <w:b w:val="0"/>
          <w:i w:val="0"/>
          <w:sz w:val="17"/>
        </w:rPr>
        <w:t>preferred</w:t>
      </w:r>
      <w:r>
        <w:rPr>
          <w:b w:val="0"/>
          <w:i w:val="0"/>
        </w:rPr>
        <w:t>、</w:t>
      </w:r>
      <w:r>
        <w:rPr>
          <w:rFonts w:ascii="DejaVu Sans Mono" w:hAnsi="DejaVu Sans Mono"/>
          <w:b w:val="0"/>
          <w:i w:val="0"/>
          <w:sz w:val="17"/>
        </w:rPr>
        <w:t>payback</w:t>
      </w:r>
      <w:r>
        <w:rPr>
          <w:b w:val="0"/>
          <w:i w:val="0"/>
        </w:rPr>
        <w:t xml:space="preserve"> 与 </w:t>
      </w:r>
      <w:r>
        <w:rPr>
          <w:rFonts w:ascii="DejaVu Sans Mono" w:hAnsi="DejaVu Sans Mono"/>
          <w:b w:val="0"/>
          <w:i w:val="0"/>
          <w:sz w:val="17"/>
        </w:rPr>
        <w:t>target_payback</w:t>
      </w:r>
      <w:r>
        <w:rPr>
          <w:b w:val="0"/>
          <w:i w:val="0"/>
        </w:rPr>
        <w:t>。</w:t>
      </w:r>
    </w:p>
    <w:p>
      <w:pPr>
        <w:keepNext/>
      </w:pPr>
      <w:r>
        <w:rPr>
          <w:b w:val="0"/>
          <w:i w:val="0"/>
        </w:rPr>
        <w:t xml:space="preserve">净收入为负且单位建设成本为正的组按成员 MW 比例分配退役容量。盈利组在 </w:t>
      </w:r>
      <w:r>
        <w:rPr>
          <w:rFonts w:ascii="DejaVu Sans Mono" w:hAnsi="DejaVu Sans Mono"/>
          <w:b w:val="0"/>
          <w:i w:val="0"/>
          <w:sz w:val="17"/>
        </w:rPr>
        <w:t>roi&gt;preferred</w:t>
      </w:r>
      <w:r>
        <w:rPr>
          <w:b w:val="0"/>
          <w:i w:val="0"/>
        </w:rPr>
        <w:t xml:space="preserve"> 时取 </w:t>
      </w:r>
      <w:r>
        <w:rPr>
          <w:rFonts w:ascii="DejaVu Sans Mono" w:hAnsi="DejaVu Sans Mono"/>
          <w:b w:val="0"/>
          <w:i w:val="0"/>
          <w:sz w:val="17"/>
        </w:rPr>
        <w:t>Invest_High</w:t>
      </w:r>
      <w:r>
        <w:rPr>
          <w:b w:val="0"/>
          <w:i w:val="0"/>
        </w:rPr>
        <w:t xml:space="preserve">，否则在 </w:t>
      </w:r>
      <w:r>
        <w:rPr>
          <w:rFonts w:ascii="DejaVu Sans Mono" w:hAnsi="DejaVu Sans Mono"/>
          <w:b w:val="0"/>
          <w:i w:val="0"/>
          <w:sz w:val="17"/>
        </w:rPr>
        <w:t>payback≤target_payback</w:t>
      </w:r>
      <w:r>
        <w:rPr>
          <w:b w:val="0"/>
          <w:i w:val="0"/>
        </w:rPr>
        <w:t xml:space="preserve"> 时取 </w:t>
      </w:r>
      <w:r>
        <w:rPr>
          <w:rFonts w:ascii="DejaVu Sans Mono" w:hAnsi="DejaVu Sans Mono"/>
          <w:b w:val="0"/>
          <w:i w:val="0"/>
          <w:sz w:val="17"/>
        </w:rPr>
        <w:t>Invest_Profit</w:t>
      </w:r>
      <w:r>
        <w:rPr>
          <w:b w:val="0"/>
          <w:i w:val="0"/>
        </w:rPr>
        <w:t xml:space="preserve">，其余取 </w:t>
      </w:r>
      <w:r>
        <w:rPr>
          <w:rFonts w:ascii="DejaVu Sans Mono" w:hAnsi="DejaVu Sans Mono"/>
          <w:b w:val="0"/>
          <w:i w:val="0"/>
          <w:sz w:val="17"/>
        </w:rPr>
        <w:t>Do_Nothing</w:t>
      </w:r>
      <w:r>
        <w:rPr>
          <w:b w:val="0"/>
          <w:i w:val="0"/>
        </w:rPr>
        <w:t>。两类投资均申请以利润除单位建设成本得到的容量。</w:t>
      </w:r>
    </w:p>
    <w:p>
      <w:pPr>
        <w:spacing w:after="160"/>
        <w:jc w:val="center"/>
      </w:pPr>
      <w:r>
        <w:drawing>
          <wp:inline xmlns:a="http://schemas.openxmlformats.org/drawingml/2006/main" xmlns:pic="http://schemas.openxmlformats.org/drawingml/2006/picture">
            <wp:extent cx="5379720" cy="864230"/>
            <wp:docPr id="40" name="Picture 40"/>
            <wp:cNvGraphicFramePr>
              <a:graphicFrameLocks noChangeAspect="1"/>
            </wp:cNvGraphicFramePr>
            <a:graphic>
              <a:graphicData uri="http://schemas.openxmlformats.org/drawingml/2006/picture">
                <pic:pic>
                  <pic:nvPicPr>
                    <pic:cNvPr id="0" name="eq-040.png"/>
                    <pic:cNvPicPr/>
                  </pic:nvPicPr>
                  <pic:blipFill>
                    <a:blip r:embed="rId50"/>
                    <a:stretch>
                      <a:fillRect/>
                    </a:stretch>
                  </pic:blipFill>
                  <pic:spPr>
                    <a:xfrm>
                      <a:off x="0" y="0"/>
                      <a:ext cx="5379720" cy="864230"/>
                    </a:xfrm>
                    <a:prstGeom prst="rect"/>
                  </pic:spPr>
                </pic:pic>
              </a:graphicData>
            </a:graphic>
          </wp:inline>
        </w:drawing>
      </w:r>
    </w:p>
    <w:p>
      <w:r>
        <w:rPr>
          <w:b w:val="0"/>
          <w:i w:val="0"/>
        </w:rPr>
        <w:t xml:space="preserve">风电、光伏、三类电池与氢储能的 </w:t>
      </w:r>
      <w:r>
        <w:rPr>
          <w:rFonts w:ascii="DejaVu Sans Mono" w:hAnsi="DejaVu Sans Mono"/>
          <w:b w:val="0"/>
          <w:i w:val="0"/>
          <w:sz w:val="17"/>
        </w:rPr>
        <w:t>allowed</w:t>
      </w:r>
      <w:r>
        <w:rPr>
          <w:b w:val="0"/>
          <w:i w:val="0"/>
        </w:rPr>
        <w:t xml:space="preserve"> 为技术剩余额度，多项政策同时生效时取最小值。CCGT、OCGT、燃气与生物质按无上限资格规则将申请量作为 </w:t>
      </w:r>
      <w:r>
        <w:rPr>
          <w:rFonts w:ascii="DejaVu Sans Mono" w:hAnsi="DejaVu Sans Mono"/>
          <w:b w:val="0"/>
          <w:i w:val="0"/>
          <w:sz w:val="17"/>
        </w:rPr>
        <w:t>allowed</w:t>
      </w:r>
      <w:r>
        <w:rPr>
          <w:b w:val="0"/>
          <w:i w:val="0"/>
        </w:rPr>
        <w:t>。结算收入等于运行支出时，火电净收入为零，新增容量也为零。核电遵循外生建设计划，水电与抽水蓄能扩建要求场址和水文输入。</w:t>
      </w:r>
    </w:p>
    <w:p>
      <w:r>
        <w:rPr>
          <w:b w:val="0"/>
          <w:i w:val="0"/>
        </w:rPr>
        <w:t>储能投资采用记录的提前与平衡收入，其中包含回购时保留的提前报酬。修正口径下，Native 调度按各阶段统一边际价结算储能；论文复现口径按储能自身最高接纳报价结算，接纳发电机集合为空的时段收入为零，具体规则见第 5 章。剩余电量充电免费，投资分子取扣除循环折旧和固定运营费之前的记录收入，</w:t>
      </w:r>
      <w:r>
        <w:rPr>
          <w:rFonts w:ascii="DejaVu Sans Mono" w:hAnsi="DejaVu Sans Mono"/>
          <w:b w:val="0"/>
          <w:i w:val="0"/>
          <w:sz w:val="17"/>
        </w:rPr>
        <w:t>tier_roi</w:t>
      </w:r>
      <w:r>
        <w:rPr>
          <w:b w:val="0"/>
          <w:i w:val="0"/>
        </w:rPr>
        <w:t xml:space="preserve"> 保持未启用状态。</w:t>
      </w:r>
    </w:p>
    <w:p>
      <w:pPr>
        <w:pStyle w:val="Heading2"/>
      </w:pPr>
      <w:r>
        <w:rPr>
          <w:b w:val="0"/>
          <w:i w:val="0"/>
        </w:rPr>
        <w:t>建设周期与规划成功率</w:t>
      </w:r>
    </w:p>
    <w:p>
      <w:r>
        <w:rPr>
          <w:b w:val="0"/>
          <w:i w:val="0"/>
        </w:rPr>
        <w:t>内生投资按数据包的建设周期与地区成功率进入规划流程，两个方法学口径都采用这一规则。</w:t>
      </w:r>
      <w:r>
        <w:rPr>
          <w:rFonts w:ascii="DejaVu Sans Mono" w:hAnsi="DejaVu Sans Mono"/>
          <w:b w:val="0"/>
          <w:i w:val="0"/>
          <w:sz w:val="17"/>
        </w:rPr>
        <w:t>native_initial_state</w:t>
      </w:r>
      <w:r>
        <w:rPr>
          <w:b w:val="0"/>
          <w:i w:val="0"/>
        </w:rPr>
        <w:t xml:space="preserve"> 通过 </w:t>
      </w:r>
      <w:r>
        <w:rPr>
          <w:rFonts w:ascii="DejaVu Sans Mono" w:hAnsi="DejaVu Sans Mono"/>
          <w:b w:val="0"/>
          <w:i w:val="0"/>
          <w:sz w:val="17"/>
        </w:rPr>
        <w:t>freeze_​planning_​parameters</w:t>
      </w:r>
      <w:r>
        <w:rPr>
          <w:b w:val="0"/>
          <w:i w:val="0"/>
        </w:rPr>
        <w:t xml:space="preserve"> 将 </w:t>
      </w:r>
      <w:r>
        <w:rPr>
          <w:rFonts w:ascii="DejaVu Sans Mono" w:hAnsi="DejaVu Sans Mono"/>
          <w:b w:val="0"/>
          <w:i w:val="0"/>
          <w:sz w:val="17"/>
        </w:rPr>
        <w:t>development_​stage_​timelines</w:t>
      </w:r>
      <w:r>
        <w:rPr>
          <w:b w:val="0"/>
          <w:i w:val="0"/>
        </w:rPr>
        <w:t>、</w:t>
      </w:r>
      <w:r>
        <w:rPr>
          <w:rFonts w:ascii="DejaVu Sans Mono" w:hAnsi="DejaVu Sans Mono"/>
          <w:b w:val="0"/>
          <w:i w:val="0"/>
          <w:sz w:val="17"/>
        </w:rPr>
        <w:t>repd_status_to_timeline</w:t>
      </w:r>
      <w:r>
        <w:rPr>
          <w:b w:val="0"/>
          <w:i w:val="0"/>
        </w:rPr>
        <w:t>、</w:t>
      </w:r>
      <w:r>
        <w:rPr>
          <w:rFonts w:ascii="DejaVu Sans Mono" w:hAnsi="DejaVu Sans Mono"/>
          <w:b w:val="0"/>
          <w:i w:val="0"/>
          <w:sz w:val="17"/>
        </w:rPr>
        <w:t>success_rates</w:t>
      </w:r>
      <w:r>
        <w:rPr>
          <w:b w:val="0"/>
          <w:i w:val="0"/>
        </w:rPr>
        <w:t xml:space="preserve"> 与 </w:t>
      </w:r>
      <w:r>
        <w:rPr>
          <w:rFonts w:ascii="DejaVu Sans Mono" w:hAnsi="DejaVu Sans Mono"/>
          <w:b w:val="0"/>
          <w:i w:val="0"/>
          <w:sz w:val="17"/>
        </w:rPr>
        <w:t>timeline_statistic</w:t>
      </w:r>
      <w:r>
        <w:rPr>
          <w:b w:val="0"/>
          <w:i w:val="0"/>
        </w:rPr>
        <w:t xml:space="preserve"> 保存到 </w:t>
      </w:r>
      <w:r>
        <w:rPr>
          <w:rFonts w:ascii="DejaVu Sans Mono" w:hAnsi="DejaVu Sans Mono"/>
          <w:b w:val="0"/>
          <w:i w:val="0"/>
          <w:sz w:val="17"/>
        </w:rPr>
        <w:t>state.extensions["planning_​parameters"]</w:t>
      </w:r>
      <w:r>
        <w:rPr>
          <w:b w:val="0"/>
          <w:i w:val="0"/>
        </w:rPr>
        <w:t xml:space="preserve">，年度状态继承这些冻结表。每项新增提案以 </w:t>
      </w:r>
      <w:r>
        <w:rPr>
          <w:rFonts w:ascii="DejaVu Sans Mono" w:hAnsi="DejaVu Sans Mono"/>
          <w:b w:val="0"/>
          <w:i w:val="0"/>
          <w:sz w:val="17"/>
        </w:rPr>
        <w:t>technology</w:t>
      </w:r>
      <w:r>
        <w:rPr>
          <w:b w:val="0"/>
          <w:i w:val="0"/>
        </w:rPr>
        <w:t>、</w:t>
      </w:r>
      <w:r>
        <w:rPr>
          <w:rFonts w:ascii="DejaVu Sans Mono" w:hAnsi="DejaVu Sans Mono"/>
          <w:b w:val="0"/>
          <w:i w:val="0"/>
          <w:sz w:val="17"/>
        </w:rPr>
        <w:t>owner</w:t>
      </w:r>
      <w:r>
        <w:rPr>
          <w:b w:val="0"/>
          <w:i w:val="0"/>
        </w:rPr>
        <w:t xml:space="preserve"> 和 </w:t>
      </w:r>
      <w:r>
        <w:rPr>
          <w:rFonts w:ascii="DejaVu Sans Mono" w:hAnsi="DejaVu Sans Mono"/>
          <w:b w:val="0"/>
          <w:i w:val="0"/>
          <w:sz w:val="17"/>
        </w:rPr>
        <w:t>decision_year</w:t>
      </w:r>
      <w:r>
        <w:rPr>
          <w:b w:val="0"/>
          <w:i w:val="0"/>
        </w:rPr>
        <w:t xml:space="preserve"> 调用 </w:t>
      </w:r>
      <w:r>
        <w:rPr>
          <w:rFonts w:ascii="DejaVu Sans Mono" w:hAnsi="DejaVu Sans Mono"/>
          <w:b w:val="0"/>
          <w:i w:val="0"/>
          <w:sz w:val="17"/>
        </w:rPr>
        <w:t>endogenous_​planning_​terms</w:t>
      </w:r>
      <w:r>
        <w:rPr>
          <w:b w:val="0"/>
          <w:i w:val="0"/>
        </w:rPr>
        <w:t>。</w:t>
      </w:r>
    </w:p>
    <w:p>
      <w:r>
        <w:rPr>
          <w:b w:val="0"/>
          <w:i w:val="0"/>
        </w:rPr>
        <w:t>技术标签同时选择建设周期表与成功率表。光伏对应 Solar Photovoltaics，陆上风电对应 Wind Onshore，海上风电对应 Wind Offshore，普通电池类型及电解槽对应 Battery。燃气、CCGT、OCGT 与生物质采用 Wind Onshore，</w:t>
      </w:r>
      <w:r>
        <w:rPr>
          <w:rFonts w:ascii="DejaVu Sans Mono" w:hAnsi="DejaVu Sans Mono"/>
          <w:b w:val="0"/>
          <w:i w:val="0"/>
          <w:sz w:val="17"/>
        </w:rPr>
        <w:t>hydrogen_battery</w:t>
      </w:r>
      <w:r>
        <w:rPr>
          <w:b w:val="0"/>
          <w:i w:val="0"/>
        </w:rPr>
        <w:t xml:space="preserve"> 按默认映射采用 Solar Photovoltaics。这些映射用于投资规划。</w:t>
      </w:r>
    </w:p>
    <w:p>
      <w:r>
        <w:rPr>
          <w:b w:val="0"/>
          <w:i w:val="0"/>
        </w:rPr>
        <w:t>开发状态取 Application Submitted。</w:t>
      </w:r>
      <w:r>
        <w:rPr>
          <w:rFonts w:ascii="DejaVu Sans Mono" w:hAnsi="DejaVu Sans Mono"/>
          <w:b w:val="0"/>
          <w:i w:val="0"/>
          <w:sz w:val="17"/>
        </w:rPr>
        <w:t>_timeline_months</w:t>
      </w:r>
      <w:r>
        <w:rPr>
          <w:b w:val="0"/>
          <w:i w:val="0"/>
        </w:rPr>
        <w:t xml:space="preserve"> 读取该状态对应的周期类型，通常为总开发期中位数；</w:t>
      </w:r>
      <w:r>
        <w:rPr>
          <w:rFonts w:ascii="DejaVu Sans Mono" w:hAnsi="DejaVu Sans Mono"/>
          <w:b w:val="0"/>
          <w:i w:val="0"/>
          <w:sz w:val="17"/>
        </w:rPr>
        <w:t>planning.timeline_​statistic=mean</w:t>
      </w:r>
      <w:r>
        <w:rPr>
          <w:b w:val="0"/>
          <w:i w:val="0"/>
        </w:rPr>
        <w:t xml:space="preserve"> 选择均值。缺少技术条目时采用光伏条目，缺少总周期均值时采用总周期中位数，所得 </w:t>
      </w:r>
      <w:r>
        <w:rPr>
          <w:rFonts w:ascii="DejaVu Sans Mono" w:hAnsi="DejaVu Sans Mono"/>
          <w:b w:val="0"/>
          <w:i w:val="0"/>
          <w:sz w:val="17"/>
        </w:rPr>
        <w:t>months</w:t>
      </w:r>
      <w:r>
        <w:rPr>
          <w:b w:val="0"/>
          <w:i w:val="0"/>
        </w:rPr>
        <w:t xml:space="preserve"> 为非负月数。缺少光伏回退条目或成功率超出有效范围时，提案构造停止。</w:t>
      </w:r>
    </w:p>
    <w:p>
      <w:pPr>
        <w:keepNext/>
      </w:pPr>
      <w:r>
        <w:rPr>
          <w:b w:val="0"/>
          <w:i w:val="0"/>
        </w:rPr>
        <w:t>同一投资主体的项目时长扰动在各次运行中保持固定。</w:t>
      </w:r>
      <w:r>
        <w:rPr>
          <w:rFonts w:ascii="DejaVu Sans Mono" w:hAnsi="DejaVu Sans Mono"/>
          <w:b w:val="0"/>
          <w:i w:val="0"/>
          <w:sz w:val="17"/>
        </w:rPr>
        <w:t>model_​project_​key(owner)</w:t>
      </w:r>
      <w:r>
        <w:rPr>
          <w:b w:val="0"/>
          <w:i w:val="0"/>
        </w:rPr>
        <w:t xml:space="preserve"> 形成 </w:t>
      </w:r>
      <w:r>
        <w:rPr>
          <w:rFonts w:ascii="DejaVu Sans Mono" w:hAnsi="DejaVu Sans Mono"/>
          <w:b w:val="0"/>
          <w:i w:val="0"/>
          <w:sz w:val="17"/>
        </w:rPr>
        <w:t>Model Decision: &lt;owner&gt;</w:t>
      </w:r>
      <w:r>
        <w:rPr>
          <w:b w:val="0"/>
          <w:i w:val="0"/>
        </w:rPr>
        <w:t>，</w:t>
      </w:r>
      <w:r>
        <w:rPr>
          <w:rFonts w:ascii="DejaVu Sans Mono" w:hAnsi="DejaVu Sans Mono"/>
          <w:b w:val="0"/>
          <w:i w:val="0"/>
          <w:sz w:val="17"/>
        </w:rPr>
        <w:t>stable_int_hash</w:t>
      </w:r>
      <w:r>
        <w:rPr>
          <w:b w:val="0"/>
          <w:i w:val="0"/>
        </w:rPr>
        <w:t xml:space="preserve"> 将其 MD5 摘要前 64 位转换为整数，取模 13 后减 6，得到 −6 至 +6 个月的 </w:t>
      </w:r>
      <w:r>
        <w:rPr>
          <w:rFonts w:ascii="DejaVu Sans Mono" w:hAnsi="DejaVu Sans Mono"/>
          <w:b w:val="0"/>
          <w:i w:val="0"/>
          <w:sz w:val="17"/>
        </w:rPr>
        <w:t>jitter</w:t>
      </w:r>
      <w:r>
        <w:rPr>
          <w:b w:val="0"/>
          <w:i w:val="0"/>
        </w:rPr>
        <w:t>。</w:t>
      </w:r>
      <w:r>
        <w:rPr>
          <w:rFonts w:ascii="DejaVu Sans Mono" w:hAnsi="DejaVu Sans Mono"/>
          <w:b w:val="0"/>
          <w:i w:val="0"/>
          <w:sz w:val="17"/>
        </w:rPr>
        <w:t>endogenous_​planning_​terms</w:t>
      </w:r>
      <w:r>
        <w:rPr>
          <w:b w:val="0"/>
          <w:i w:val="0"/>
        </w:rPr>
        <w:t xml:space="preserve"> 随后对周期取整，并将投运年下限设为决策年的下一年：</w:t>
      </w:r>
    </w:p>
    <w:p>
      <w:pPr>
        <w:spacing w:after="160"/>
        <w:jc w:val="center"/>
      </w:pPr>
      <w:r>
        <w:drawing>
          <wp:inline xmlns:a="http://schemas.openxmlformats.org/drawingml/2006/main" xmlns:pic="http://schemas.openxmlformats.org/drawingml/2006/picture">
            <wp:extent cx="5360289" cy="861761"/>
            <wp:docPr id="41" name="Picture 41"/>
            <wp:cNvGraphicFramePr>
              <a:graphicFrameLocks noChangeAspect="1"/>
            </wp:cNvGraphicFramePr>
            <a:graphic>
              <a:graphicData uri="http://schemas.openxmlformats.org/drawingml/2006/picture">
                <pic:pic>
                  <pic:nvPicPr>
                    <pic:cNvPr id="0" name="eq-041.png"/>
                    <pic:cNvPicPr/>
                  </pic:nvPicPr>
                  <pic:blipFill>
                    <a:blip r:embed="rId51"/>
                    <a:stretch>
                      <a:fillRect/>
                    </a:stretch>
                  </pic:blipFill>
                  <pic:spPr>
                    <a:xfrm>
                      <a:off x="0" y="0"/>
                      <a:ext cx="5360289" cy="861761"/>
                    </a:xfrm>
                    <a:prstGeom prst="rect"/>
                  </pic:spPr>
                </pic:pic>
              </a:graphicData>
            </a:graphic>
          </wp:inline>
        </w:drawing>
      </w:r>
    </w:p>
    <w:p>
      <w:r>
        <w:rPr>
          <w:b w:val="0"/>
          <w:i w:val="0"/>
        </w:rPr>
        <w:t xml:space="preserve">取整采用 Python 的半偶数规则，因此 58.5 个月取为 58 个月。提案将 </w:t>
      </w:r>
      <w:r>
        <w:rPr>
          <w:rFonts w:ascii="DejaVu Sans Mono" w:hAnsi="DejaVu Sans Mono"/>
          <w:b w:val="0"/>
          <w:i w:val="0"/>
          <w:sz w:val="17"/>
        </w:rPr>
        <w:t>completion</w:t>
      </w:r>
      <w:r>
        <w:rPr>
          <w:b w:val="0"/>
          <w:i w:val="0"/>
        </w:rPr>
        <w:t xml:space="preserve"> 保存为 </w:t>
      </w:r>
      <w:r>
        <w:rPr>
          <w:rFonts w:ascii="DejaVu Sans Mono" w:hAnsi="DejaVu Sans Mono"/>
          <w:b w:val="0"/>
          <w:i w:val="0"/>
          <w:sz w:val="17"/>
        </w:rPr>
        <w:t>expected_​completion_​year</w:t>
      </w:r>
      <w:r>
        <w:rPr>
          <w:b w:val="0"/>
          <w:i w:val="0"/>
        </w:rPr>
        <w:t xml:space="preserve">，并记录 </w:t>
      </w:r>
      <w:r>
        <w:rPr>
          <w:rFonts w:ascii="DejaVu Sans Mono" w:hAnsi="DejaVu Sans Mono"/>
          <w:b w:val="0"/>
          <w:i w:val="0"/>
          <w:sz w:val="17"/>
        </w:rPr>
        <w:t>timeline_months</w:t>
      </w:r>
      <w:r>
        <w:rPr>
          <w:b w:val="0"/>
          <w:i w:val="0"/>
        </w:rPr>
        <w:t>、</w:t>
      </w:r>
      <w:r>
        <w:rPr>
          <w:rFonts w:ascii="DejaVu Sans Mono" w:hAnsi="DejaVu Sans Mono"/>
          <w:b w:val="0"/>
          <w:i w:val="0"/>
          <w:sz w:val="17"/>
        </w:rPr>
        <w:t>timeline_jitter_months</w:t>
      </w:r>
      <w:r>
        <w:rPr>
          <w:b w:val="0"/>
          <w:i w:val="0"/>
        </w:rPr>
        <w:t>、</w:t>
      </w:r>
      <w:r>
        <w:rPr>
          <w:rFonts w:ascii="DejaVu Sans Mono" w:hAnsi="DejaVu Sans Mono"/>
          <w:b w:val="0"/>
          <w:i w:val="0"/>
          <w:sz w:val="17"/>
        </w:rPr>
        <w:t>timeline_months_applied</w:t>
      </w:r>
      <w:r>
        <w:rPr>
          <w:b w:val="0"/>
          <w:i w:val="0"/>
        </w:rPr>
        <w:t xml:space="preserve"> 与 </w:t>
      </w:r>
      <w:r>
        <w:rPr>
          <w:rFonts w:ascii="DejaVu Sans Mono" w:hAnsi="DejaVu Sans Mono"/>
          <w:b w:val="0"/>
          <w:i w:val="0"/>
          <w:sz w:val="17"/>
        </w:rPr>
        <w:t>completion_​floor_​applied</w:t>
      </w:r>
      <w:r>
        <w:rPr>
          <w:b w:val="0"/>
          <w:i w:val="0"/>
        </w:rPr>
        <w:t>。新增储能继承组内能量功率比。</w:t>
      </w:r>
    </w:p>
    <w:p>
      <w:r>
        <w:rPr>
          <w:b w:val="0"/>
          <w:i w:val="0"/>
        </w:rPr>
        <w:t>成功率先取技术标签与投资主体映射地区的条目，其次取该标签各地区的算术平均，再其次取 0.75。</w:t>
      </w:r>
      <w:r>
        <w:rPr>
          <w:rFonts w:ascii="DejaVu Sans Mono" w:hAnsi="DejaVu Sans Mono"/>
          <w:b w:val="0"/>
          <w:i w:val="0"/>
          <w:sz w:val="17"/>
        </w:rPr>
        <w:t>source_success_region</w:t>
      </w:r>
      <w:r>
        <w:rPr>
          <w:b w:val="0"/>
          <w:i w:val="0"/>
        </w:rPr>
        <w:t xml:space="preserve"> 将光伏及陆上风电城市名称映射到所属地区，将含 offshore 的名称映射到 All Offshore，其余主体映射到 England。因此，表中缺少 England 条目时，电池与火电主体通常采用该技术的地区均值。提案记录 </w:t>
      </w:r>
      <w:r>
        <w:rPr>
          <w:rFonts w:ascii="DejaVu Sans Mono" w:hAnsi="DejaVu Sans Mono"/>
          <w:b w:val="0"/>
          <w:i w:val="0"/>
          <w:sz w:val="17"/>
        </w:rPr>
        <w:t>success_​probability=terms["success_​rate"]</w:t>
      </w:r>
      <w:r>
        <w:rPr>
          <w:b w:val="0"/>
          <w:i w:val="0"/>
        </w:rPr>
        <w:t xml:space="preserve">，并在 </w:t>
      </w:r>
      <w:r>
        <w:rPr>
          <w:rFonts w:ascii="DejaVu Sans Mono" w:hAnsi="DejaVu Sans Mono"/>
          <w:b w:val="0"/>
          <w:i w:val="0"/>
          <w:sz w:val="17"/>
        </w:rPr>
        <w:t>success_rate_source</w:t>
      </w:r>
      <w:r>
        <w:rPr>
          <w:b w:val="0"/>
          <w:i w:val="0"/>
        </w:rPr>
        <w:t xml:space="preserve"> 中保存取值来源。城市映射为 Nottingham–East Midlands、Ipswich–Eastern、London–London、Newcastle–North East、Manchester–North West、Edinburgh–Scotland、Portsmouth–South East、Bournemouth–South West、Cardiff–Wales、Birmingham–West Midlands、Sheffield–Yorkshire and Humber。</w:t>
      </w:r>
    </w:p>
    <w:p>
      <w:r>
        <w:rPr>
          <w:rFonts w:ascii="DejaVu Sans Mono" w:hAnsi="DejaVu Sans Mono"/>
          <w:b w:val="0"/>
          <w:i w:val="0"/>
          <w:sz w:val="17"/>
        </w:rPr>
        <w:t>SchemeCPlanningPipelineDefinition.admit_​projects</w:t>
      </w:r>
      <w:r>
        <w:rPr>
          <w:b w:val="0"/>
          <w:i w:val="0"/>
        </w:rPr>
        <w:t xml:space="preserve"> 将成功结果应用于提案。</w:t>
      </w:r>
      <w:r>
        <w:rPr>
          <w:rFonts w:ascii="DejaVu Sans Mono" w:hAnsi="DejaVu Sans Mono"/>
          <w:b w:val="0"/>
          <w:i w:val="0"/>
          <w:sz w:val="17"/>
        </w:rPr>
        <w:t>expected_capacity</w:t>
      </w:r>
      <w:r>
        <w:rPr>
          <w:b w:val="0"/>
          <w:i w:val="0"/>
        </w:rPr>
        <w:t xml:space="preserve"> 模式取 </w:t>
      </w:r>
      <w:r>
        <w:rPr>
          <w:rFonts w:ascii="DejaVu Sans Mono" w:hAnsi="DejaVu Sans Mono"/>
          <w:b w:val="0"/>
          <w:i w:val="0"/>
          <w:sz w:val="17"/>
        </w:rPr>
        <w:t>capacity=proposal.capacity_​mw×probability</w:t>
      </w:r>
      <w:r>
        <w:rPr>
          <w:b w:val="0"/>
          <w:i w:val="0"/>
        </w:rPr>
        <w:t>，能量容量、总建设成本与年度总费用均只乘一次该因子。</w:t>
      </w:r>
      <w:r>
        <w:rPr>
          <w:rFonts w:ascii="DejaVu Sans Mono" w:hAnsi="DejaVu Sans Mono"/>
          <w:b w:val="0"/>
          <w:i w:val="0"/>
          <w:sz w:val="17"/>
        </w:rPr>
        <w:t>seeded_stochastic</w:t>
      </w:r>
      <w:r>
        <w:rPr>
          <w:b w:val="0"/>
          <w:i w:val="0"/>
        </w:rPr>
        <w:t xml:space="preserve"> 模式将 </w:t>
      </w:r>
      <w:r>
        <w:rPr>
          <w:rFonts w:ascii="DejaVu Sans Mono" w:hAnsi="DejaVu Sans Mono"/>
          <w:b w:val="0"/>
          <w:i w:val="0"/>
          <w:sz w:val="17"/>
        </w:rPr>
        <w:t>seed:proposal_id</w:t>
      </w:r>
      <w:r>
        <w:rPr>
          <w:b w:val="0"/>
          <w:i w:val="0"/>
        </w:rPr>
        <w:t xml:space="preserve"> 的 SHA-256 计算前 52 位除以 2⁵²−1，得到 [0,1] 内的 </w:t>
      </w:r>
      <w:r>
        <w:rPr>
          <w:rFonts w:ascii="DejaVu Sans Mono" w:hAnsi="DejaVu Sans Mono"/>
          <w:b w:val="0"/>
          <w:i w:val="0"/>
          <w:sz w:val="17"/>
        </w:rPr>
        <w:t>draw</w:t>
      </w:r>
      <w:r>
        <w:rPr>
          <w:b w:val="0"/>
          <w:i w:val="0"/>
        </w:rPr>
        <w:t>；</w:t>
      </w:r>
      <w:r>
        <w:rPr>
          <w:rFonts w:ascii="DejaVu Sans Mono" w:hAnsi="DejaVu Sans Mono"/>
          <w:b w:val="0"/>
          <w:i w:val="0"/>
          <w:sz w:val="17"/>
        </w:rPr>
        <w:t>probability</w:t>
      </w:r>
      <w:r>
        <w:rPr>
          <w:b w:val="0"/>
          <w:i w:val="0"/>
        </w:rPr>
        <w:t xml:space="preserve"> 为正且满足 </w:t>
      </w:r>
      <w:r>
        <w:rPr>
          <w:rFonts w:ascii="DejaVu Sans Mono" w:hAnsi="DejaVu Sans Mono"/>
          <w:b w:val="0"/>
          <w:i w:val="0"/>
          <w:sz w:val="17"/>
        </w:rPr>
        <w:t>probability=1</w:t>
      </w:r>
      <w:r>
        <w:rPr>
          <w:b w:val="0"/>
          <w:i w:val="0"/>
        </w:rPr>
        <w:t xml:space="preserve"> 或 </w:t>
      </w:r>
      <w:r>
        <w:rPr>
          <w:rFonts w:ascii="DejaVu Sans Mono" w:hAnsi="DejaVu Sans Mono"/>
          <w:b w:val="0"/>
          <w:i w:val="0"/>
          <w:sz w:val="17"/>
        </w:rPr>
        <w:t>draw&lt;probability</w:t>
      </w:r>
      <w:r>
        <w:rPr>
          <w:b w:val="0"/>
          <w:i w:val="0"/>
        </w:rPr>
        <w:t xml:space="preserve"> 时按全容量准入。退役在下一年生效。</w:t>
      </w:r>
    </w:p>
    <w:p>
      <w:r>
        <w:rPr>
          <w:b w:val="0"/>
          <w:i w:val="0"/>
        </w:rPr>
        <w:t>public2 表对应的 2025 年海上风电决策在 2033 或 2034 年投运，成功率约为 0.917；陆上风电在 2029–2030 年投运，地区成功率约为 0.22–0.71；光伏在 2026–2027 年投运，成功率约为 0.84–0.95；电池在 2027 年投运，成功率约为 0.873；火电在 2030 年投运，成功率约为 0.547。VALUE 101 的周期较短、成功率为 1，其 2025 年提案仍在 2026 年投运。</w:t>
      </w:r>
    </w:p>
    <w:p>
      <w:r>
        <w:rPr>
          <w:b w:val="0"/>
          <w:i w:val="0"/>
        </w:rPr>
        <w:t xml:space="preserve">年度扩容空间由当年运行结果计算，每年以 </w:t>
      </w:r>
      <w:r>
        <w:rPr>
          <w:rFonts w:ascii="DejaVu Sans Mono" w:hAnsi="DejaVu Sans Mono"/>
          <w:b w:val="0"/>
          <w:i w:val="0"/>
          <w:sz w:val="17"/>
        </w:rPr>
        <w:t>remaining_​caps=dict(caps)</w:t>
      </w:r>
      <w:r>
        <w:rPr>
          <w:b w:val="0"/>
          <w:i w:val="0"/>
        </w:rPr>
        <w:t xml:space="preserve"> 开始投资，逐项扣减当年接纳的新增量。此前提案保留于规划流程中，因此多个年份的提案可能在相同扩容机会之上累积。</w:t>
      </w:r>
    </w:p>
    <w:p>
      <w:pPr>
        <w:pStyle w:val="Heading2"/>
      </w:pPr>
      <w:r>
        <w:rPr>
          <w:b w:val="0"/>
          <w:i w:val="0"/>
        </w:rPr>
        <w:t>系统成本与排放</w:t>
      </w:r>
    </w:p>
    <w:p>
      <w:r>
        <w:rPr>
          <w:b w:val="0"/>
          <w:i w:val="0"/>
        </w:rPr>
        <w:t>资源成本主项由在运资本年化费用、适用的固定运营费及物理运行支出组成。</w:t>
      </w:r>
      <w:r>
        <w:rPr>
          <w:rFonts w:ascii="DejaVu Sans Mono" w:hAnsi="DejaVu Sans Mono"/>
          <w:b w:val="0"/>
          <w:i w:val="0"/>
          <w:sz w:val="17"/>
        </w:rPr>
        <w:t>build_cem_cost_ledger</w:t>
      </w:r>
      <w:r>
        <w:rPr>
          <w:b w:val="0"/>
          <w:i w:val="0"/>
        </w:rPr>
        <w:t xml:space="preserve"> 将年度资本总额读为 </w:t>
      </w:r>
      <w:r>
        <w:rPr>
          <w:rFonts w:ascii="DejaVu Sans Mono" w:hAnsi="DejaVu Sans Mono"/>
          <w:b w:val="0"/>
          <w:i w:val="0"/>
          <w:sz w:val="17"/>
        </w:rPr>
        <w:t>capital</w:t>
      </w:r>
      <w:r>
        <w:rPr>
          <w:b w:val="0"/>
          <w:i w:val="0"/>
        </w:rPr>
        <w:t xml:space="preserve">，物理运行成本读为 </w:t>
      </w:r>
      <w:r>
        <w:rPr>
          <w:rFonts w:ascii="DejaVu Sans Mono" w:hAnsi="DejaVu Sans Mono"/>
          <w:b w:val="0"/>
          <w:i w:val="0"/>
          <w:sz w:val="17"/>
        </w:rPr>
        <w:t>operating</w:t>
      </w:r>
      <w:r>
        <w:rPr>
          <w:b w:val="0"/>
          <w:i w:val="0"/>
        </w:rPr>
        <w:t>。</w:t>
      </w:r>
      <w:r>
        <w:rPr>
          <w:rFonts w:ascii="DejaVu Sans Mono" w:hAnsi="DejaVu Sans Mono"/>
          <w:b w:val="0"/>
          <w:i w:val="0"/>
          <w:sz w:val="17"/>
        </w:rPr>
        <w:t>excluded</w:t>
      </w:r>
      <w:r>
        <w:rPr>
          <w:b w:val="0"/>
          <w:i w:val="0"/>
        </w:rPr>
        <w:t xml:space="preserve"> 在两个口径中均含风电、光伏及储能固定运营费，在修正口径中还包含径流水电存量兼容资本。</w:t>
      </w:r>
      <w:r>
        <w:rPr>
          <w:rFonts w:ascii="DejaVu Sans Mono" w:hAnsi="DejaVu Sans Mono"/>
          <w:b w:val="0"/>
          <w:i w:val="0"/>
          <w:sz w:val="17"/>
        </w:rPr>
        <w:t>non_network_capital</w:t>
      </w:r>
      <w:r>
        <w:rPr>
          <w:b w:val="0"/>
          <w:i w:val="0"/>
        </w:rPr>
        <w:t xml:space="preserve"> 为扣除声明网络建设与固定运营费用后的机组资本，</w:t>
      </w:r>
      <w:r>
        <w:rPr>
          <w:rFonts w:ascii="DejaVu Sans Mono" w:hAnsi="DejaVu Sans Mono"/>
          <w:b w:val="0"/>
          <w:i w:val="0"/>
          <w:sz w:val="17"/>
        </w:rPr>
        <w:t>operating_sum</w:t>
      </w:r>
      <w:r>
        <w:rPr>
          <w:b w:val="0"/>
          <w:i w:val="0"/>
        </w:rPr>
        <w:t xml:space="preserve"> 为核对后的物理运行总额。保留的核算量为：</w:t>
      </w:r>
    </w:p>
    <w:p>
      <w:pPr>
        <w:keepLines/>
        <w:spacing w:line="276" w:lineRule="auto" w:after="160"/>
      </w:pPr>
      <w:r>
        <w:rPr>
          <w:rFonts w:ascii="DejaVu Sans Mono" w:hAnsi="DejaVu Sans Mono"/>
          <w:b w:val="0"/>
          <w:i w:val="0"/>
          <w:sz w:val="17"/>
        </w:rPr>
        <w:t>headline_fleet_capital = max(non_network_capital - excluded, 0)</w:t>
        <w:br/>
        <w:t>headline_capital = capital - (non_network_capital - headline_fleet_capital)</w:t>
        <w:br/>
        <w:t>system_cost = headline_capital + operating_sum</w:t>
        <w:br/>
        <w:t>served = max(demand - blackout - a2_​hidden_​unserved_​mwh(market), 0)</w:t>
        <w:br/>
      </w:r>
    </w:p>
    <w:p>
      <w:r>
        <w:rPr>
          <w:b w:val="0"/>
          <w:i w:val="0"/>
        </w:rPr>
        <w:t xml:space="preserve">账本的 </w:t>
      </w:r>
      <w:r>
        <w:rPr>
          <w:rFonts w:ascii="DejaVu Sans Mono" w:hAnsi="DejaVu Sans Mono"/>
          <w:b w:val="0"/>
          <w:i w:val="0"/>
          <w:sz w:val="17"/>
        </w:rPr>
        <w:t>cem_system_cost_gbp</w:t>
      </w:r>
      <w:r>
        <w:rPr>
          <w:b w:val="0"/>
          <w:i w:val="0"/>
        </w:rPr>
        <w:t xml:space="preserve"> 汇总保留资本与物理运行费用，</w:t>
      </w:r>
      <w:r>
        <w:rPr>
          <w:rFonts w:ascii="DejaVu Sans Mono" w:hAnsi="DejaVu Sans Mono"/>
          <w:b w:val="0"/>
          <w:i w:val="0"/>
          <w:sz w:val="17"/>
        </w:rPr>
        <w:t>cem_​system_​cost_​gbp_​per_​mwh_​served</w:t>
      </w:r>
      <w:r>
        <w:rPr>
          <w:b w:val="0"/>
          <w:i w:val="0"/>
        </w:rPr>
        <w:t xml:space="preserve"> 再除以 </w:t>
      </w:r>
      <w:r>
        <w:rPr>
          <w:rFonts w:ascii="DejaVu Sans Mono" w:hAnsi="DejaVu Sans Mono"/>
          <w:b w:val="0"/>
          <w:i w:val="0"/>
          <w:sz w:val="17"/>
        </w:rPr>
        <w:t>served</w:t>
      </w:r>
      <w:r>
        <w:rPr>
          <w:b w:val="0"/>
          <w:i w:val="0"/>
        </w:rPr>
        <w:t>。模型将风电、光伏及储能固定运营费视为已包含在平准化建设成本中，因此将其列为备忘项；火电固定运营费保留于主项。径流水电兼容资本在修正口径中列为备忘项，在论文复现口径中计入主项。</w:t>
      </w:r>
    </w:p>
    <w:p>
      <w:r>
        <w:rPr>
          <w:b w:val="0"/>
          <w:i w:val="0"/>
        </w:rPr>
        <w:t xml:space="preserve">Native 物理运行成本包括最终出力对应的发电、燃料、碳与时间成本、适用的运行启动项、按 VoLL 计价的记录停电量及储能循环损耗。用于下调排序的重启费用保留在报价计算中。修正口径的 VoLL 来自 </w:t>
      </w:r>
      <w:r>
        <w:rPr>
          <w:rFonts w:ascii="DejaVu Sans Mono" w:hAnsi="DejaVu Sans Mono"/>
          <w:b w:val="0"/>
          <w:i w:val="0"/>
          <w:sz w:val="17"/>
        </w:rPr>
        <w:t>market.voll_gbp_per_mwh</w:t>
      </w:r>
      <w:r>
        <w:rPr>
          <w:b w:val="0"/>
          <w:i w:val="0"/>
        </w:rPr>
        <w:t>，默认为 17,000 GBP/MWh；论文复现口径采用 17,000 GBP/MWh。</w:t>
      </w:r>
      <w:r>
        <w:rPr>
          <w:rFonts w:ascii="DejaVu Sans Mono" w:hAnsi="DejaVu Sans Mono"/>
          <w:b w:val="0"/>
          <w:i w:val="0"/>
          <w:sz w:val="17"/>
        </w:rPr>
        <w:t>a2_hidden_unserved_mwh</w:t>
      </w:r>
      <w:r>
        <w:rPr>
          <w:b w:val="0"/>
          <w:i w:val="0"/>
        </w:rPr>
        <w:t xml:space="preserve"> 从已供需求扣除额外压力短缺，无压力时段的年份返回零。成本主项对记录停电量计价，额外压力短缺作为单独电量列示。</w:t>
      </w:r>
    </w:p>
    <w:p>
      <w:r>
        <w:rPr>
          <w:b w:val="0"/>
          <w:i w:val="0"/>
        </w:rPr>
        <w:t>运行排放以发电 MWh 乘所选 kg/MWh 因子，再除以 1,000 换算为吨。</w:t>
      </w:r>
      <w:r>
        <w:rPr>
          <w:rFonts w:ascii="DejaVu Sans Mono" w:hAnsi="DejaVu Sans Mono"/>
          <w:b w:val="0"/>
          <w:i w:val="0"/>
          <w:sz w:val="17"/>
        </w:rPr>
        <w:t>carbon_ledger.py</w:t>
      </w:r>
      <w:r>
        <w:rPr>
          <w:b w:val="0"/>
          <w:i w:val="0"/>
        </w:rPr>
        <w:t xml:space="preserve"> 将其汇总为 </w:t>
      </w:r>
      <w:r>
        <w:rPr>
          <w:rFonts w:ascii="DejaVu Sans Mono" w:hAnsi="DejaVu Sans Mono"/>
          <w:b w:val="0"/>
          <w:i w:val="0"/>
          <w:sz w:val="17"/>
        </w:rPr>
        <w:t>operational</w:t>
      </w:r>
      <w:r>
        <w:rPr>
          <w:b w:val="0"/>
          <w:i w:val="0"/>
        </w:rPr>
        <w:t xml:space="preserve">，与年化 </w:t>
      </w:r>
      <w:r>
        <w:rPr>
          <w:rFonts w:ascii="DejaVu Sans Mono" w:hAnsi="DejaVu Sans Mono"/>
          <w:b w:val="0"/>
          <w:i w:val="0"/>
          <w:sz w:val="17"/>
        </w:rPr>
        <w:t>embodied</w:t>
      </w:r>
      <w:r>
        <w:rPr>
          <w:b w:val="0"/>
          <w:i w:val="0"/>
        </w:rPr>
        <w:t xml:space="preserve"> 排放相加形成 </w:t>
      </w:r>
      <w:r>
        <w:rPr>
          <w:rFonts w:ascii="DejaVu Sans Mono" w:hAnsi="DejaVu Sans Mono"/>
          <w:b w:val="0"/>
          <w:i w:val="0"/>
          <w:sz w:val="17"/>
        </w:rPr>
        <w:t>total</w:t>
      </w:r>
      <w:r>
        <w:rPr>
          <w:b w:val="0"/>
          <w:i w:val="0"/>
        </w:rPr>
        <w:t xml:space="preserve">，按 </w:t>
      </w:r>
      <w:r>
        <w:rPr>
          <w:rFonts w:ascii="DejaVu Sans Mono" w:hAnsi="DejaVu Sans Mono"/>
          <w:b w:val="0"/>
          <w:i w:val="0"/>
          <w:sz w:val="17"/>
        </w:rPr>
        <w:t>overall_​intensity=1000×total/​delivered_​demand_​mwh</w:t>
      </w:r>
      <w:r>
        <w:rPr>
          <w:b w:val="0"/>
          <w:i w:val="0"/>
        </w:rPr>
        <w:t xml:space="preserve"> 报告强度，分母为已供需求。第 9 章列出因子数值及 CO₂ 或 CO₂e 口径，已供需求为零时强度留空。</w:t>
      </w:r>
    </w:p>
    <w:p>
      <w:r>
        <w:rPr>
          <w:b w:val="0"/>
          <w:i w:val="0"/>
        </w:rPr>
        <w:t>年度隐含排放按因子声明的单位计算。</w:t>
      </w:r>
      <w:r>
        <w:rPr>
          <w:rFonts w:ascii="DejaVu Sans Mono" w:hAnsi="DejaVu Sans Mono"/>
          <w:b w:val="0"/>
          <w:i w:val="0"/>
          <w:sz w:val="17"/>
        </w:rPr>
        <w:t>tCO2e_per_MW_year</w:t>
      </w:r>
      <w:r>
        <w:rPr>
          <w:b w:val="0"/>
          <w:i w:val="0"/>
        </w:rPr>
        <w:t xml:space="preserve"> 因子直接给出 </w:t>
      </w:r>
      <w:r>
        <w:rPr>
          <w:rFonts w:ascii="DejaVu Sans Mono" w:hAnsi="DejaVu Sans Mono"/>
          <w:b w:val="0"/>
          <w:i w:val="0"/>
          <w:sz w:val="17"/>
        </w:rPr>
        <w:t>emissions=capacity_​mw×factor.value</w:t>
      </w:r>
      <w:r>
        <w:rPr>
          <w:b w:val="0"/>
          <w:i w:val="0"/>
        </w:rPr>
        <w:t xml:space="preserve">。以 </w:t>
      </w:r>
      <w:r>
        <w:rPr>
          <w:rFonts w:ascii="DejaVu Sans Mono" w:hAnsi="DejaVu Sans Mono"/>
          <w:b w:val="0"/>
          <w:i w:val="0"/>
          <w:sz w:val="17"/>
        </w:rPr>
        <w:t>kgCO2e_per_kWh_capacity</w:t>
      </w:r>
      <w:r>
        <w:rPr>
          <w:b w:val="0"/>
          <w:i w:val="0"/>
        </w:rPr>
        <w:t xml:space="preserve"> 表示的电池因子在数值上等于每 MWh 容量的吨数，采用 </w:t>
      </w:r>
      <w:r>
        <w:rPr>
          <w:rFonts w:ascii="DejaVu Sans Mono" w:hAnsi="DejaVu Sans Mono"/>
          <w:b w:val="0"/>
          <w:i w:val="0"/>
          <w:sz w:val="17"/>
        </w:rPr>
        <w:t>emissions=asset.energy_​capacity_​mwh×factor.value/​economic_​life</w:t>
      </w:r>
      <w:r>
        <w:rPr>
          <w:b w:val="0"/>
          <w:i w:val="0"/>
        </w:rPr>
        <w:t xml:space="preserve">。氢储能功率设备采用年度 MW 因子，能量储存部件采用 </w:t>
      </w:r>
      <w:r>
        <w:rPr>
          <w:rFonts w:ascii="DejaVu Sans Mono" w:hAnsi="DejaVu Sans Mono"/>
          <w:b w:val="0"/>
          <w:i w:val="0"/>
          <w:sz w:val="17"/>
        </w:rPr>
        <w:t>tCO2e_per_MWh_capacity</w:t>
      </w:r>
      <w:r>
        <w:rPr>
          <w:b w:val="0"/>
          <w:i w:val="0"/>
        </w:rPr>
        <w:t xml:space="preserve"> 因子并除以资产 </w:t>
      </w:r>
      <w:r>
        <w:rPr>
          <w:rFonts w:ascii="DejaVu Sans Mono" w:hAnsi="DejaVu Sans Mono"/>
          <w:b w:val="0"/>
          <w:i w:val="0"/>
          <w:sz w:val="17"/>
        </w:rPr>
        <w:t>economic_life</w:t>
      </w:r>
      <w:r>
        <w:rPr>
          <w:b w:val="0"/>
          <w:i w:val="0"/>
        </w:rPr>
        <w:t>。缺少因子输入的部件保留待评估状态。</w:t>
      </w:r>
    </w:p>
    <w:p>
      <w:r>
        <w:rPr>
          <w:b w:val="0"/>
          <w:i w:val="0"/>
        </w:rPr>
        <w:t xml:space="preserve">储能碳追踪维护混合库存 </w:t>
      </w:r>
      <w:r>
        <w:rPr>
          <w:rFonts w:ascii="DejaVu Sans Mono" w:hAnsi="DejaVu Sans Mono"/>
          <w:b w:val="0"/>
          <w:i w:val="0"/>
          <w:sz w:val="17"/>
        </w:rPr>
        <w:t>inventory_energy</w:t>
      </w:r>
      <w:r>
        <w:rPr>
          <w:b w:val="0"/>
          <w:i w:val="0"/>
        </w:rPr>
        <w:t xml:space="preserve">，单位为 MWh，以及 </w:t>
      </w:r>
      <w:r>
        <w:rPr>
          <w:rFonts w:ascii="DejaVu Sans Mono" w:hAnsi="DejaVu Sans Mono"/>
          <w:b w:val="0"/>
          <w:i w:val="0"/>
          <w:sz w:val="17"/>
        </w:rPr>
        <w:t>inventory_kg</w:t>
      </w:r>
      <w:r>
        <w:rPr>
          <w:b w:val="0"/>
          <w:i w:val="0"/>
        </w:rPr>
        <w:t>，单位为千克。充电增加按效率折算的储能电量及来源碳量，放电按相同库存比例移除储能侧电量与碳量。系统总排放在来源发电环节核算。</w:t>
      </w:r>
    </w:p>
    <w:p>
      <w:r>
        <w:rPr>
          <w:b w:val="0"/>
          <w:i w:val="0"/>
        </w:rPr>
        <w:t>网络约束成本采用资源价格、储能状态、出口范围及 VoLL 相同的分区与无网络调度对照，第 7 章定义资源成本差额和报价目标差额。结算转移、政策支出、建设承诺与残值分别核算。</w:t>
      </w:r>
    </w:p>
    <w:p>
      <w:pPr>
        <w:pStyle w:val="Heading1"/>
      </w:pPr>
      <w:r>
        <w:rPr>
          <w:b w:val="0"/>
          <w:i w:val="0"/>
        </w:rPr>
        <w:t>5 全国调度算法</w:t>
      </w:r>
    </w:p>
    <w:p>
      <w:r>
        <w:rPr>
          <w:b w:val="0"/>
          <w:i w:val="0"/>
        </w:rPr>
        <w:t>默认全国电力系统模型 Native（</w:t>
      </w:r>
      <w:r>
        <w:rPr>
          <w:rFonts w:ascii="DejaVu Sans Mono" w:hAnsi="DejaVu Sans Mono"/>
          <w:b w:val="0"/>
          <w:i w:val="0"/>
          <w:sz w:val="17"/>
        </w:rPr>
        <w:t>value-bid-at-cost-psm</w:t>
      </w:r>
      <w:r>
        <w:rPr>
          <w:b w:val="0"/>
          <w:i w:val="0"/>
        </w:rPr>
        <w:t xml:space="preserve">）每半小时在全国单节点上出清。方法学口径决定市场规则集：默认修正口径采用 </w:t>
      </w:r>
      <w:r>
        <w:rPr>
          <w:rFonts w:ascii="DejaVu Sans Mono" w:hAnsi="DejaVu Sans Mono"/>
          <w:b w:val="0"/>
          <w:i w:val="0"/>
          <w:sz w:val="17"/>
        </w:rPr>
        <w:t>native-corrected-v1</w:t>
      </w:r>
      <w:r>
        <w:rPr>
          <w:b w:val="0"/>
          <w:i w:val="0"/>
        </w:rPr>
        <w:t xml:space="preserve">，论文复现口径采用 </w:t>
      </w:r>
      <w:r>
        <w:rPr>
          <w:rFonts w:ascii="DejaVu Sans Mono" w:hAnsi="DejaVu Sans Mono"/>
          <w:b w:val="0"/>
          <w:i w:val="0"/>
          <w:sz w:val="17"/>
        </w:rPr>
        <w:t>native-doctoral-thesis-v1</w:t>
      </w:r>
      <w:r>
        <w:rPr>
          <w:b w:val="0"/>
          <w:i w:val="0"/>
        </w:rPr>
        <w:t>。实验性全国路径（</w:t>
      </w:r>
      <w:r>
        <w:rPr>
          <w:rFonts w:ascii="DejaVu Sans Mono" w:hAnsi="DejaVu Sans Mono"/>
          <w:b w:val="0"/>
          <w:i w:val="0"/>
          <w:sz w:val="17"/>
        </w:rPr>
        <w:t>value-doctoral-national-psm</w:t>
      </w:r>
      <w:r>
        <w:rPr>
          <w:b w:val="0"/>
          <w:i w:val="0"/>
        </w:rPr>
        <w:t>）具有独立的调度引擎和输入约定。第 6 章介绍与其相关的实验年度账户。</w:t>
      </w:r>
    </w:p>
    <w:p>
      <w:pPr>
        <w:pStyle w:val="Heading2"/>
      </w:pPr>
      <w:r>
        <w:rPr>
          <w:b w:val="0"/>
          <w:i w:val="0"/>
        </w:rPr>
        <w:t>输入、代理与可用出力</w:t>
      </w:r>
    </w:p>
    <w:p>
      <w:r>
        <w:rPr>
          <w:b w:val="0"/>
          <w:i w:val="0"/>
        </w:rPr>
        <w:t>调度量以 MW 表示，</w:t>
      </w:r>
      <w:r>
        <w:rPr>
          <w:rFonts w:ascii="DejaVu Sans Mono" w:hAnsi="DejaVu Sans Mono"/>
          <w:b w:val="0"/>
          <w:i w:val="0"/>
          <w:sz w:val="17"/>
        </w:rPr>
        <w:t>period_hours = 0.5</w:t>
      </w:r>
      <w:r>
        <w:rPr>
          <w:b w:val="0"/>
          <w:i w:val="0"/>
        </w:rPr>
        <w:t xml:space="preserve">。变量 </w:t>
      </w:r>
      <w:r>
        <w:rPr>
          <w:rFonts w:ascii="DejaVu Sans Mono" w:hAnsi="DejaVu Sans Mono"/>
          <w:b w:val="0"/>
          <w:i w:val="0"/>
          <w:sz w:val="17"/>
        </w:rPr>
        <w:t>forecast_demand</w:t>
      </w:r>
      <w:r>
        <w:rPr>
          <w:b w:val="0"/>
          <w:i w:val="0"/>
        </w:rPr>
        <w:t>、</w:t>
      </w:r>
      <w:r>
        <w:rPr>
          <w:rFonts w:ascii="DejaVu Sans Mono" w:hAnsi="DejaVu Sans Mono"/>
          <w:b w:val="0"/>
          <w:i w:val="0"/>
          <w:sz w:val="17"/>
        </w:rPr>
        <w:t>real_demand</w:t>
      </w:r>
      <w:r>
        <w:rPr>
          <w:b w:val="0"/>
          <w:i w:val="0"/>
        </w:rPr>
        <w:t>、</w:t>
      </w:r>
      <w:r>
        <w:rPr>
          <w:rFonts w:ascii="DejaVu Sans Mono" w:hAnsi="DejaVu Sans Mono"/>
          <w:b w:val="0"/>
          <w:i w:val="0"/>
          <w:sz w:val="17"/>
        </w:rPr>
        <w:t>capacity_limit</w:t>
      </w:r>
      <w:r>
        <w:rPr>
          <w:b w:val="0"/>
          <w:i w:val="0"/>
        </w:rPr>
        <w:t>、</w:t>
      </w:r>
      <w:r>
        <w:rPr>
          <w:rFonts w:ascii="DejaVu Sans Mono" w:hAnsi="DejaVu Sans Mono"/>
          <w:b w:val="0"/>
          <w:i w:val="0"/>
          <w:sz w:val="17"/>
        </w:rPr>
        <w:t>real_gen_energy</w:t>
      </w:r>
      <w:r>
        <w:rPr>
          <w:b w:val="0"/>
          <w:i w:val="0"/>
        </w:rPr>
        <w:t xml:space="preserve"> 和 </w:t>
      </w:r>
      <w:r>
        <w:rPr>
          <w:rFonts w:ascii="DejaVu Sans Mono" w:hAnsi="DejaVu Sans Mono"/>
          <w:b w:val="0"/>
          <w:i w:val="0"/>
          <w:sz w:val="17"/>
        </w:rPr>
        <w:t>alter_limit</w:t>
      </w:r>
      <w:r>
        <w:rPr>
          <w:b w:val="0"/>
          <w:i w:val="0"/>
        </w:rPr>
        <w:t xml:space="preserve"> 分别表示预测需求、实际需求、可用出力、实际出力和每期爬坡额度；资产与时段下标用于索引这些量。UTC 模型年含 17,520 期。</w:t>
      </w:r>
      <w:r>
        <w:rPr>
          <w:rFonts w:ascii="DejaVu Sans Mono" w:hAnsi="DejaVu Sans Mono"/>
          <w:b w:val="0"/>
          <w:i w:val="0"/>
          <w:sz w:val="17"/>
        </w:rPr>
        <w:t>canonical_psm_data.py</w:t>
      </w:r>
      <w:r>
        <w:rPr>
          <w:b w:val="0"/>
          <w:i w:val="0"/>
        </w:rPr>
        <w:t xml:space="preserve"> 按第 2 章读取规则，将 MW 需求乘 </w:t>
      </w:r>
      <w:r>
        <w:rPr>
          <w:rFonts w:ascii="DejaVu Sans Mono" w:hAnsi="DejaVu Sans Mono"/>
          <w:b w:val="0"/>
          <w:i w:val="0"/>
          <w:sz w:val="17"/>
        </w:rPr>
        <w:t>period_hours</w:t>
      </w:r>
      <w:r>
        <w:rPr>
          <w:b w:val="0"/>
          <w:i w:val="0"/>
        </w:rPr>
        <w:t xml:space="preserve"> 换成期间 MWh。</w:t>
      </w:r>
    </w:p>
    <w:p>
      <w:pPr>
        <w:keepNext/>
      </w:pPr>
      <w:r>
        <w:rPr>
          <w:b w:val="0"/>
          <w:i w:val="0"/>
        </w:rPr>
        <w:t xml:space="preserve">发电报价由运行费用和取决于上期接纳集合的启动加价构成。燃气和生物质采用 </w:t>
      </w:r>
      <w:r>
        <w:rPr>
          <w:rFonts w:ascii="DejaVu Sans Mono" w:hAnsi="DejaVu Sans Mono"/>
          <w:b w:val="0"/>
          <w:i w:val="0"/>
          <w:sz w:val="17"/>
        </w:rPr>
        <w:t>gen_cost + fuel_cost + carbon_price + unit_time_cost</w:t>
      </w:r>
      <w:r>
        <w:rPr>
          <w:b w:val="0"/>
          <w:i w:val="0"/>
        </w:rPr>
        <w:t xml:space="preserve">；核电、风光和天然水电采用 </w:t>
      </w:r>
      <w:r>
        <w:rPr>
          <w:rFonts w:ascii="DejaVu Sans Mono" w:hAnsi="DejaVu Sans Mono"/>
          <w:b w:val="0"/>
          <w:i w:val="0"/>
          <w:sz w:val="17"/>
        </w:rPr>
        <w:t>gen_cost + unit_time_cost</w:t>
      </w:r>
      <w:r>
        <w:rPr>
          <w:b w:val="0"/>
          <w:i w:val="0"/>
        </w:rPr>
        <w:t xml:space="preserve">。输入行的费用相加后写入运行对象的 </w:t>
      </w:r>
      <w:r>
        <w:rPr>
          <w:rFonts w:ascii="DejaVu Sans Mono" w:hAnsi="DejaVu Sans Mono"/>
          <w:b w:val="0"/>
          <w:i w:val="0"/>
          <w:sz w:val="17"/>
        </w:rPr>
        <w:t>gen_cost</w:t>
      </w:r>
      <w:r>
        <w:rPr>
          <w:b w:val="0"/>
          <w:i w:val="0"/>
        </w:rPr>
        <w:t>，单位为 GBP/MWh；</w:t>
      </w:r>
      <w:r>
        <w:rPr>
          <w:rFonts w:ascii="DejaVu Sans Mono" w:hAnsi="DejaVu Sans Mono"/>
          <w:b w:val="0"/>
          <w:i w:val="0"/>
          <w:sz w:val="17"/>
        </w:rPr>
        <w:t>carbon_price</w:t>
      </w:r>
      <w:r>
        <w:rPr>
          <w:b w:val="0"/>
          <w:i w:val="0"/>
        </w:rPr>
        <w:t xml:space="preserve"> 已表示每 MWh 发电的费用。设报价倍率为 </w:t>
      </w:r>
      <w:r>
        <w:drawing>
          <wp:inline xmlns:a="http://schemas.openxmlformats.org/drawingml/2006/main" xmlns:pic="http://schemas.openxmlformats.org/drawingml/2006/picture">
            <wp:extent cx="997318" cy="144569"/>
            <wp:docPr id="42" name="Picture 42"/>
            <wp:cNvGraphicFramePr>
              <a:graphicFrameLocks noChangeAspect="1"/>
            </wp:cNvGraphicFramePr>
            <a:graphic>
              <a:graphicData uri="http://schemas.openxmlformats.org/drawingml/2006/picture">
                <pic:pic>
                  <pic:nvPicPr>
                    <pic:cNvPr id="0" name="eq-042.png"/>
                    <pic:cNvPicPr/>
                  </pic:nvPicPr>
                  <pic:blipFill>
                    <a:blip r:embed="rId52"/>
                    <a:stretch>
                      <a:fillRect/>
                    </a:stretch>
                  </pic:blipFill>
                  <pic:spPr>
                    <a:xfrm>
                      <a:off x="0" y="0"/>
                      <a:ext cx="997318" cy="144569"/>
                    </a:xfrm>
                    <a:prstGeom prst="rect"/>
                  </pic:spPr>
                </pic:pic>
              </a:graphicData>
            </a:graphic>
          </wp:inline>
        </w:drawing>
      </w:r>
      <w:r>
        <w:rPr>
          <w:b w:val="0"/>
          <w:i w:val="0"/>
        </w:rPr>
        <w:t xml:space="preserve">⁠、综合运行费用为 </w:t>
      </w:r>
      <w:r>
        <w:drawing>
          <wp:inline xmlns:a="http://schemas.openxmlformats.org/drawingml/2006/main" xmlns:pic="http://schemas.openxmlformats.org/drawingml/2006/picture">
            <wp:extent cx="640664" cy="136089"/>
            <wp:docPr id="43" name="Picture 43"/>
            <wp:cNvGraphicFramePr>
              <a:graphicFrameLocks noChangeAspect="1"/>
            </wp:cNvGraphicFramePr>
            <a:graphic>
              <a:graphicData uri="http://schemas.openxmlformats.org/drawingml/2006/picture">
                <pic:pic>
                  <pic:nvPicPr>
                    <pic:cNvPr id="0" name="eq-043.png"/>
                    <pic:cNvPicPr/>
                  </pic:nvPicPr>
                  <pic:blipFill>
                    <a:blip r:embed="rId53"/>
                    <a:stretch>
                      <a:fillRect/>
                    </a:stretch>
                  </pic:blipFill>
                  <pic:spPr>
                    <a:xfrm>
                      <a:off x="0" y="0"/>
                      <a:ext cx="640664" cy="136089"/>
                    </a:xfrm>
                    <a:prstGeom prst="rect"/>
                  </pic:spPr>
                </pic:pic>
              </a:graphicData>
            </a:graphic>
          </wp:inline>
        </w:drawing>
      </w:r>
      <w:r>
        <w:rPr>
          <w:b w:val="0"/>
          <w:i w:val="0"/>
        </w:rPr>
        <w:t xml:space="preserve">⁠、启动加价为 </w:t>
      </w:r>
      <w:r>
        <w:drawing>
          <wp:inline xmlns:a="http://schemas.openxmlformats.org/drawingml/2006/main" xmlns:pic="http://schemas.openxmlformats.org/drawingml/2006/picture">
            <wp:extent cx="905535" cy="134153"/>
            <wp:docPr id="44" name="Picture 44"/>
            <wp:cNvGraphicFramePr>
              <a:graphicFrameLocks noChangeAspect="1"/>
            </wp:cNvGraphicFramePr>
            <a:graphic>
              <a:graphicData uri="http://schemas.openxmlformats.org/drawingml/2006/picture">
                <pic:pic>
                  <pic:nvPicPr>
                    <pic:cNvPr id="0" name="eq-044.png"/>
                    <pic:cNvPicPr/>
                  </pic:nvPicPr>
                  <pic:blipFill>
                    <a:blip r:embed="rId54"/>
                    <a:stretch>
                      <a:fillRect/>
                    </a:stretch>
                  </pic:blipFill>
                  <pic:spPr>
                    <a:xfrm>
                      <a:off x="0" y="0"/>
                      <a:ext cx="905535" cy="134153"/>
                    </a:xfrm>
                    <a:prstGeom prst="rect"/>
                  </pic:spPr>
                </pic:pic>
              </a:graphicData>
            </a:graphic>
          </wp:inline>
        </w:drawing>
      </w:r>
      <w:r>
        <w:rPr>
          <w:b w:val="0"/>
          <w:i w:val="0"/>
        </w:rPr>
        <w:t>⁠，则</w:t>
      </w:r>
    </w:p>
    <w:p>
      <w:pPr>
        <w:spacing w:after="160"/>
        <w:jc w:val="center"/>
      </w:pPr>
      <w:r>
        <w:drawing>
          <wp:inline xmlns:a="http://schemas.openxmlformats.org/drawingml/2006/main" xmlns:pic="http://schemas.openxmlformats.org/drawingml/2006/picture">
            <wp:extent cx="4312310" cy="423000"/>
            <wp:docPr id="45" name="Picture 45"/>
            <wp:cNvGraphicFramePr>
              <a:graphicFrameLocks noChangeAspect="1"/>
            </wp:cNvGraphicFramePr>
            <a:graphic>
              <a:graphicData uri="http://schemas.openxmlformats.org/drawingml/2006/picture">
                <pic:pic>
                  <pic:nvPicPr>
                    <pic:cNvPr id="0" name="eq-045.png"/>
                    <pic:cNvPicPr/>
                  </pic:nvPicPr>
                  <pic:blipFill>
                    <a:blip r:embed="rId55"/>
                    <a:stretch>
                      <a:fillRect/>
                    </a:stretch>
                  </pic:blipFill>
                  <pic:spPr>
                    <a:xfrm>
                      <a:off x="0" y="0"/>
                      <a:ext cx="4312310" cy="423000"/>
                    </a:xfrm>
                    <a:prstGeom prst="rect"/>
                  </pic:spPr>
                </pic:pic>
              </a:graphicData>
            </a:graphic>
          </wp:inline>
        </w:drawing>
      </w:r>
    </w:p>
    <w:p>
      <w:r>
        <w:rPr>
          <w:b w:val="0"/>
          <w:i w:val="0"/>
        </w:rPr>
        <w:t xml:space="preserve">倍率默认取 1，水电与风光的启动加价为零，物理运营费用直接采用 </w:t>
      </w:r>
      <w:r>
        <w:drawing>
          <wp:inline xmlns:a="http://schemas.openxmlformats.org/drawingml/2006/main" xmlns:pic="http://schemas.openxmlformats.org/drawingml/2006/picture">
            <wp:extent cx="640664" cy="136089"/>
            <wp:docPr id="46" name="Picture 46"/>
            <wp:cNvGraphicFramePr>
              <a:graphicFrameLocks noChangeAspect="1"/>
            </wp:cNvGraphicFramePr>
            <a:graphic>
              <a:graphicData uri="http://schemas.openxmlformats.org/drawingml/2006/picture">
                <pic:pic>
                  <pic:nvPicPr>
                    <pic:cNvPr id="0" name="eq-043.png"/>
                    <pic:cNvPicPr/>
                  </pic:nvPicPr>
                  <pic:blipFill>
                    <a:blip r:embed="rId53"/>
                    <a:stretch>
                      <a:fillRect/>
                    </a:stretch>
                  </pic:blipFill>
                  <pic:spPr>
                    <a:xfrm>
                      <a:off x="0" y="0"/>
                      <a:ext cx="640664" cy="136089"/>
                    </a:xfrm>
                    <a:prstGeom prst="rect"/>
                  </pic:spPr>
                </pic:pic>
              </a:graphicData>
            </a:graphic>
          </wp:inline>
        </w:drawing>
      </w:r>
      <w:r>
        <w:rPr>
          <w:b w:val="0"/>
          <w:i w:val="0"/>
        </w:rPr>
        <w:t>⁠。随模型提供的 GB 参数中，生物质 费用为 0.2 + 80 + 4.8 = 85 £/MWh，启动加价为 £83/MWh；CCGT、OCGT 的综合费用分别为 £55.07/​MWh、£74.92/​MWh。生物质收入按市场结算计量，CfD 和 ROC 补贴属于该收入设定之外的政策机制。在这些费用下，GBP1 public2 和 R029 public2 的修正口径计算中，4,762 MW 生物质在 2025 年约发电 0.01 TWh。两个修订数据包随 VALUE 0.7.0-alpha.1 提供（</w:t>
      </w:r>
      <w:r>
        <w:rPr>
          <w:b w:val="0"/>
          <w:i w:val="0"/>
        </w:rPr>
        <w:t>数据下载</w:t>
      </w:r>
      <w:r>
        <w:rPr>
          <w:b w:val="0"/>
          <w:i w:val="0"/>
        </w:rPr>
        <w:t>）。</w:t>
      </w:r>
    </w:p>
    <w:p>
      <w:pPr>
        <w:keepNext/>
      </w:pPr>
      <w:r>
        <w:rPr>
          <w:b w:val="0"/>
          <w:i w:val="0"/>
        </w:rPr>
        <w:t>Native 先按名称、再按技术与标准化区域，将在运和当年投运资产映射到市场代理。多个候选依次采用已映射容量、构造器容量或等份作为权重。</w:t>
      </w:r>
      <w:r>
        <w:rPr>
          <w:rFonts w:ascii="DejaVu Sans Mono" w:hAnsi="DejaVu Sans Mono"/>
          <w:b w:val="0"/>
          <w:i w:val="0"/>
          <w:sz w:val="17"/>
        </w:rPr>
        <w:t>weights</w:t>
      </w:r>
      <w:r>
        <w:rPr>
          <w:b w:val="0"/>
          <w:i w:val="0"/>
        </w:rPr>
        <w:t xml:space="preserve"> 与 </w:t>
      </w:r>
      <w:r>
        <w:rPr>
          <w:rFonts w:ascii="DejaVu Sans Mono" w:hAnsi="DejaVu Sans Mono"/>
          <w:b w:val="0"/>
          <w:i w:val="0"/>
          <w:sz w:val="17"/>
        </w:rPr>
        <w:t>total_weight</w:t>
      </w:r>
      <w:r>
        <w:rPr>
          <w:b w:val="0"/>
          <w:i w:val="0"/>
        </w:rPr>
        <w:t xml:space="preserve"> 将资产的 </w:t>
      </w:r>
      <w:r>
        <w:rPr>
          <w:rFonts w:ascii="DejaVu Sans Mono" w:hAnsi="DejaVu Sans Mono"/>
          <w:b w:val="0"/>
          <w:i w:val="0"/>
          <w:sz w:val="17"/>
        </w:rPr>
        <w:t>capacity_mw</w:t>
      </w:r>
      <w:r>
        <w:rPr>
          <w:b w:val="0"/>
          <w:i w:val="0"/>
        </w:rPr>
        <w:t xml:space="preserve"> 分配至 </w:t>
      </w:r>
      <w:r>
        <w:rPr>
          <w:rFonts w:ascii="DejaVu Sans Mono" w:hAnsi="DejaVu Sans Mono"/>
          <w:b w:val="0"/>
          <w:i w:val="0"/>
          <w:sz w:val="17"/>
        </w:rPr>
        <w:t>generator_sources</w:t>
      </w:r>
      <w:r>
        <w:rPr>
          <w:b w:val="0"/>
          <w:i w:val="0"/>
        </w:rPr>
        <w:t>，这些容量均以 MW 计量。</w:t>
      </w:r>
      <w:r>
        <w:rPr>
          <w:rFonts w:ascii="DejaVu Sans Mono" w:hAnsi="DejaVu Sans Mono"/>
          <w:b w:val="0"/>
          <w:i w:val="0"/>
          <w:sz w:val="17"/>
        </w:rPr>
        <w:t>_​allocate_​runtime_​income</w:t>
      </w:r>
      <w:r>
        <w:rPr>
          <w:b w:val="0"/>
          <w:i w:val="0"/>
        </w:rPr>
        <w:t xml:space="preserve"> 再按分配容量，将 </w:t>
      </w:r>
      <w:r>
        <w:rPr>
          <w:rFonts w:ascii="DejaVu Sans Mono" w:hAnsi="DejaVu Sans Mono"/>
          <w:b w:val="0"/>
          <w:i w:val="0"/>
          <w:sz w:val="17"/>
        </w:rPr>
        <w:t>raw_income</w:t>
      </w:r>
      <w:r>
        <w:rPr>
          <w:b w:val="0"/>
          <w:i w:val="0"/>
        </w:rPr>
        <w:t xml:space="preserve"> 分到资产账户 </w:t>
      </w:r>
      <w:r>
        <w:rPr>
          <w:rFonts w:ascii="DejaVu Sans Mono" w:hAnsi="DejaVu Sans Mono"/>
          <w:b w:val="0"/>
          <w:i w:val="0"/>
          <w:sz w:val="17"/>
        </w:rPr>
        <w:t>allocated</w:t>
      </w:r>
      <w:r>
        <w:rPr>
          <w:b w:val="0"/>
          <w:i w:val="0"/>
        </w:rPr>
        <w:t>，二者均以 GBP 计量：</w:t>
      </w:r>
    </w:p>
    <w:p>
      <w:pPr>
        <w:spacing w:after="160"/>
        <w:jc w:val="center"/>
      </w:pPr>
      <w:r>
        <w:drawing>
          <wp:inline xmlns:a="http://schemas.openxmlformats.org/drawingml/2006/main" xmlns:pic="http://schemas.openxmlformats.org/drawingml/2006/picture">
            <wp:extent cx="4706493" cy="1142907"/>
            <wp:docPr id="47" name="Picture 47"/>
            <wp:cNvGraphicFramePr>
              <a:graphicFrameLocks noChangeAspect="1"/>
            </wp:cNvGraphicFramePr>
            <a:graphic>
              <a:graphicData uri="http://schemas.openxmlformats.org/drawingml/2006/picture">
                <pic:pic>
                  <pic:nvPicPr>
                    <pic:cNvPr id="0" name="eq-047.png"/>
                    <pic:cNvPicPr/>
                  </pic:nvPicPr>
                  <pic:blipFill>
                    <a:blip r:embed="rId56"/>
                    <a:stretch>
                      <a:fillRect/>
                    </a:stretch>
                  </pic:blipFill>
                  <pic:spPr>
                    <a:xfrm>
                      <a:off x="0" y="0"/>
                      <a:ext cx="4706493" cy="1142907"/>
                    </a:xfrm>
                    <a:prstGeom prst="rect"/>
                  </pic:spPr>
                </pic:pic>
              </a:graphicData>
            </a:graphic>
          </wp:inline>
        </w:drawing>
      </w:r>
    </w:p>
    <w:p>
      <w:r>
        <w:rPr>
          <w:b w:val="0"/>
          <w:i w:val="0"/>
        </w:rPr>
        <w:t xml:space="preserve">风电采用 20 MW 参考机组和 </w:t>
      </w:r>
      <w:r>
        <w:drawing>
          <wp:inline xmlns:a="http://schemas.openxmlformats.org/drawingml/2006/main" xmlns:pic="http://schemas.openxmlformats.org/drawingml/2006/picture">
            <wp:extent cx="1196041" cy="180139"/>
            <wp:docPr id="48" name="Picture 48"/>
            <wp:cNvGraphicFramePr>
              <a:graphicFrameLocks noChangeAspect="1"/>
            </wp:cNvGraphicFramePr>
            <a:graphic>
              <a:graphicData uri="http://schemas.openxmlformats.org/drawingml/2006/picture">
                <pic:pic>
                  <pic:nvPicPr>
                    <pic:cNvPr id="0" name="eq-048.png"/>
                    <pic:cNvPicPr/>
                  </pic:nvPicPr>
                  <pic:blipFill>
                    <a:blip r:embed="rId57"/>
                    <a:stretch>
                      <a:fillRect/>
                    </a:stretch>
                  </pic:blipFill>
                  <pic:spPr>
                    <a:xfrm>
                      <a:off x="0" y="0"/>
                      <a:ext cx="1196041" cy="180139"/>
                    </a:xfrm>
                    <a:prstGeom prst="rect"/>
                  </pic:spPr>
                </pic:pic>
              </a:graphicData>
            </a:graphic>
          </wp:inline>
        </w:drawing>
      </w:r>
      <w:r>
        <w:rPr>
          <w:b w:val="0"/>
          <w:i w:val="0"/>
        </w:rPr>
        <w:t xml:space="preserve"> 倍率，光伏采用 1 MW 参考机组和 </w:t>
      </w:r>
      <w:r>
        <w:drawing>
          <wp:inline xmlns:a="http://schemas.openxmlformats.org/drawingml/2006/main" xmlns:pic="http://schemas.openxmlformats.org/drawingml/2006/picture">
            <wp:extent cx="958970" cy="165411"/>
            <wp:docPr id="49" name="Picture 49"/>
            <wp:cNvGraphicFramePr>
              <a:graphicFrameLocks noChangeAspect="1"/>
            </wp:cNvGraphicFramePr>
            <a:graphic>
              <a:graphicData uri="http://schemas.openxmlformats.org/drawingml/2006/picture">
                <pic:pic>
                  <pic:nvPicPr>
                    <pic:cNvPr id="0" name="eq-049.png"/>
                    <pic:cNvPicPr/>
                  </pic:nvPicPr>
                  <pic:blipFill>
                    <a:blip r:embed="rId58"/>
                    <a:stretch>
                      <a:fillRect/>
                    </a:stretch>
                  </pic:blipFill>
                  <pic:spPr>
                    <a:xfrm>
                      <a:off x="0" y="0"/>
                      <a:ext cx="958970" cy="165411"/>
                    </a:xfrm>
                    <a:prstGeom prst="rect"/>
                  </pic:spPr>
                </pic:pic>
              </a:graphicData>
            </a:graphic>
          </wp:inline>
        </w:drawing>
      </w:r>
      <w:r>
        <w:rPr>
          <w:b w:val="0"/>
          <w:i w:val="0"/>
        </w:rPr>
        <w:t xml:space="preserve"> 倍率，储能功率与能量按技术聚合。</w:t>
      </w:r>
      <w:r>
        <w:rPr>
          <w:rFonts w:ascii="DejaVu Sans Mono" w:hAnsi="DejaVu Sans Mono"/>
          <w:b w:val="0"/>
          <w:i w:val="0"/>
          <w:sz w:val="17"/>
        </w:rPr>
        <w:t>scheme_c_native_psm.py</w:t>
      </w:r>
      <w:r>
        <w:rPr>
          <w:b w:val="0"/>
          <w:i w:val="0"/>
        </w:rPr>
        <w:t xml:space="preserve"> 每年建立代理，并恢复上一年售电量及按售电量加权的持有时间，用于计算报价。物理库存采用新代理的初始状态；上一年对象的期末库存作为丢弃电量记入 </w:t>
      </w:r>
      <w:r>
        <w:rPr>
          <w:rFonts w:ascii="DejaVu Sans Mono" w:hAnsi="DejaVu Sans Mono"/>
          <w:b w:val="0"/>
          <w:i w:val="0"/>
          <w:sz w:val="17"/>
        </w:rPr>
        <w:t>storage_year_boundary</w:t>
      </w:r>
      <w:r>
        <w:rPr>
          <w:b w:val="0"/>
          <w:i w:val="0"/>
        </w:rPr>
        <w:t>。</w:t>
      </w:r>
    </w:p>
    <w:p>
      <w:pPr>
        <w:keepNext/>
      </w:pPr>
      <w:r>
        <w:rPr>
          <w:b w:val="0"/>
          <w:i w:val="0"/>
        </w:rPr>
        <w:t>修正口径的可用出力采用与标准输入适配器相同的逐期数组。</w:t>
      </w:r>
      <w:r>
        <w:rPr>
          <w:rFonts w:ascii="DejaVu Sans Mono" w:hAnsi="DejaVu Sans Mono"/>
          <w:b w:val="0"/>
          <w:i w:val="0"/>
          <w:sz w:val="17"/>
        </w:rPr>
        <w:t>site_​weather.site_​cf_​by_​source</w:t>
      </w:r>
      <w:r>
        <w:rPr>
          <w:b w:val="0"/>
          <w:i w:val="0"/>
        </w:rPr>
        <w:t xml:space="preserve"> 执行第 3 章的天气、损耗及组件平面辐照换算，</w:t>
      </w:r>
      <w:r>
        <w:rPr>
          <w:rFonts w:ascii="DejaVu Sans Mono" w:hAnsi="DejaVu Sans Mono"/>
          <w:b w:val="0"/>
          <w:i w:val="0"/>
          <w:sz w:val="17"/>
        </w:rPr>
        <w:t>kernel_​injection.KernelSiteInputs</w:t>
      </w:r>
      <w:r>
        <w:rPr>
          <w:b w:val="0"/>
          <w:i w:val="0"/>
        </w:rPr>
        <w:t xml:space="preserve"> 将容量因子 </w:t>
      </w:r>
      <w:r>
        <w:drawing>
          <wp:inline xmlns:a="http://schemas.openxmlformats.org/drawingml/2006/main" xmlns:pic="http://schemas.openxmlformats.org/drawingml/2006/picture">
            <wp:extent cx="249085" cy="156986"/>
            <wp:docPr id="50" name="Picture 50"/>
            <wp:cNvGraphicFramePr>
              <a:graphicFrameLocks noChangeAspect="1"/>
            </wp:cNvGraphicFramePr>
            <a:graphic>
              <a:graphicData uri="http://schemas.openxmlformats.org/drawingml/2006/picture">
                <pic:pic>
                  <pic:nvPicPr>
                    <pic:cNvPr id="0" name="eq-050.png"/>
                    <pic:cNvPicPr/>
                  </pic:nvPicPr>
                  <pic:blipFill>
                    <a:blip r:embed="rId59"/>
                    <a:stretch>
                      <a:fillRect/>
                    </a:stretch>
                  </pic:blipFill>
                  <pic:spPr>
                    <a:xfrm>
                      <a:off x="0" y="0"/>
                      <a:ext cx="249085" cy="156986"/>
                    </a:xfrm>
                    <a:prstGeom prst="rect"/>
                  </pic:spPr>
                </pic:pic>
              </a:graphicData>
            </a:graphic>
          </wp:inline>
        </w:drawing>
      </w:r>
      <w:r>
        <w:rPr>
          <w:b w:val="0"/>
          <w:i w:val="0"/>
        </w:rPr>
        <w:t xml:space="preserve"> 传入内核：</w:t>
      </w:r>
    </w:p>
    <w:p>
      <w:pPr>
        <w:spacing w:after="160"/>
        <w:jc w:val="center"/>
      </w:pPr>
      <w:r>
        <w:drawing>
          <wp:inline xmlns:a="http://schemas.openxmlformats.org/drawingml/2006/main" xmlns:pic="http://schemas.openxmlformats.org/drawingml/2006/picture">
            <wp:extent cx="2930728" cy="187456"/>
            <wp:docPr id="51" name="Picture 51"/>
            <wp:cNvGraphicFramePr>
              <a:graphicFrameLocks noChangeAspect="1"/>
            </wp:cNvGraphicFramePr>
            <a:graphic>
              <a:graphicData uri="http://schemas.openxmlformats.org/drawingml/2006/picture">
                <pic:pic>
                  <pic:nvPicPr>
                    <pic:cNvPr id="0" name="eq-051.png"/>
                    <pic:cNvPicPr/>
                  </pic:nvPicPr>
                  <pic:blipFill>
                    <a:blip r:embed="rId60"/>
                    <a:stretch>
                      <a:fillRect/>
                    </a:stretch>
                  </pic:blipFill>
                  <pic:spPr>
                    <a:xfrm>
                      <a:off x="0" y="0"/>
                      <a:ext cx="2930728" cy="187456"/>
                    </a:xfrm>
                    <a:prstGeom prst="rect"/>
                  </pic:spPr>
                </pic:pic>
              </a:graphicData>
            </a:graphic>
          </wp:inline>
        </w:drawing>
      </w:r>
    </w:p>
    <w:p>
      <w:r>
        <w:rPr>
          <w:b w:val="0"/>
          <w:i w:val="0"/>
        </w:rPr>
        <w:t>论文复现口径采用冻结的天气时钟与第 3 章风光曲线，每个小时值用于两个半小时。两个口径均按对应模型时段读取互联线价格与可用传输容量。</w:t>
      </w:r>
    </w:p>
    <w:p>
      <w:pPr>
        <w:keepNext/>
      </w:pPr>
      <w:r>
        <w:rPr>
          <w:b w:val="0"/>
          <w:i w:val="0"/>
        </w:rPr>
        <w:t>修正口径的核电可用率在换算模型容量时保留各站 PRIS 参考出力。</w:t>
      </w:r>
      <w:r>
        <w:rPr>
          <w:rFonts w:ascii="DejaVu Sans Mono" w:hAnsi="DejaVu Sans Mono"/>
          <w:b w:val="0"/>
          <w:i w:val="0"/>
          <w:sz w:val="17"/>
        </w:rPr>
        <w:t>nuclear_load_factor</w:t>
      </w:r>
      <w:r>
        <w:rPr>
          <w:b w:val="0"/>
          <w:i w:val="0"/>
        </w:rPr>
        <w:t xml:space="preserve"> 读取 </w:t>
      </w:r>
      <w:r>
        <w:rPr>
          <w:rFonts w:ascii="DejaVu Sans Mono" w:hAnsi="DejaVu Sans Mono"/>
          <w:b w:val="0"/>
          <w:i w:val="0"/>
          <w:sz w:val="17"/>
        </w:rPr>
        <w:t>pris_load_factor</w:t>
      </w:r>
      <w:r>
        <w:rPr>
          <w:b w:val="0"/>
          <w:i w:val="0"/>
        </w:rPr>
        <w:t>、</w:t>
      </w:r>
      <w:r>
        <w:rPr>
          <w:rFonts w:ascii="DejaVu Sans Mono" w:hAnsi="DejaVu Sans Mono"/>
          <w:b w:val="0"/>
          <w:i w:val="0"/>
          <w:sz w:val="17"/>
        </w:rPr>
        <w:t>pris_reference_mw</w:t>
      </w:r>
      <w:r>
        <w:rPr>
          <w:b w:val="0"/>
          <w:i w:val="0"/>
        </w:rPr>
        <w:t xml:space="preserve"> 和 </w:t>
      </w:r>
      <w:r>
        <w:rPr>
          <w:rFonts w:ascii="DejaVu Sans Mono" w:hAnsi="DejaVu Sans Mono"/>
          <w:b w:val="0"/>
          <w:i w:val="0"/>
          <w:sz w:val="17"/>
        </w:rPr>
        <w:t>capacity_mw</w:t>
      </w:r>
      <w:r>
        <w:rPr>
          <w:b w:val="0"/>
          <w:i w:val="0"/>
        </w:rPr>
        <w:t>；</w:t>
      </w:r>
      <w:r>
        <w:rPr>
          <w:rFonts w:ascii="DejaVu Sans Mono" w:hAnsi="DejaVu Sans Mono"/>
          <w:b w:val="0"/>
          <w:i w:val="0"/>
          <w:sz w:val="17"/>
        </w:rPr>
        <w:t>generation_end_period</w:t>
      </w:r>
      <w:r>
        <w:rPr>
          <w:b w:val="0"/>
          <w:i w:val="0"/>
        </w:rPr>
        <w:t xml:space="preserve"> 给出宣布停发月份后第一期 </w:t>
      </w:r>
      <w:r>
        <w:rPr>
          <w:rFonts w:ascii="DejaVu Sans Mono" w:hAnsi="DejaVu Sans Mono"/>
          <w:b w:val="0"/>
          <w:i w:val="0"/>
          <w:sz w:val="17"/>
        </w:rPr>
        <w:t>end</w:t>
      </w:r>
      <w:r>
        <w:rPr>
          <w:b w:val="0"/>
          <w:i w:val="0"/>
        </w:rPr>
        <w:t>，全年可用的电站在各期保留该负荷率。</w:t>
      </w:r>
      <w:r>
        <w:rPr>
          <w:rFonts w:ascii="DejaVu Sans Mono" w:hAnsi="DejaVu Sans Mono"/>
          <w:b w:val="0"/>
          <w:i w:val="0"/>
          <w:sz w:val="17"/>
        </w:rPr>
        <w:t>asset_availability</w:t>
      </w:r>
      <w:r>
        <w:rPr>
          <w:b w:val="0"/>
          <w:i w:val="0"/>
        </w:rPr>
        <w:t xml:space="preserve"> 生成各站数组 </w:t>
      </w:r>
      <w:r>
        <w:rPr>
          <w:rFonts w:ascii="DejaVu Sans Mono" w:hAnsi="DejaVu Sans Mono"/>
          <w:b w:val="0"/>
          <w:i w:val="0"/>
          <w:sz w:val="17"/>
        </w:rPr>
        <w:t>values</w:t>
      </w:r>
      <w:r>
        <w:rPr>
          <w:b w:val="0"/>
          <w:i w:val="0"/>
        </w:rPr>
        <w:t>，</w:t>
      </w:r>
      <w:r>
        <w:rPr>
          <w:rFonts w:ascii="DejaVu Sans Mono" w:hAnsi="DejaVu Sans Mono"/>
          <w:b w:val="0"/>
          <w:i w:val="0"/>
          <w:sz w:val="17"/>
        </w:rPr>
        <w:t>kernel_availability</w:t>
      </w:r>
      <w:r>
        <w:rPr>
          <w:b w:val="0"/>
          <w:i w:val="0"/>
        </w:rPr>
        <w:t xml:space="preserve"> 按容量合并：</w:t>
      </w:r>
    </w:p>
    <w:p>
      <w:pPr>
        <w:spacing w:after="160"/>
        <w:jc w:val="center"/>
      </w:pPr>
      <w:r>
        <w:drawing>
          <wp:inline xmlns:a="http://schemas.openxmlformats.org/drawingml/2006/main" xmlns:pic="http://schemas.openxmlformats.org/drawingml/2006/picture">
            <wp:extent cx="5863513" cy="1547602"/>
            <wp:docPr id="52" name="Picture 52"/>
            <wp:cNvGraphicFramePr>
              <a:graphicFrameLocks noChangeAspect="1"/>
            </wp:cNvGraphicFramePr>
            <a:graphic>
              <a:graphicData uri="http://schemas.openxmlformats.org/drawingml/2006/picture">
                <pic:pic>
                  <pic:nvPicPr>
                    <pic:cNvPr id="0" name="eq-052.png"/>
                    <pic:cNvPicPr/>
                  </pic:nvPicPr>
                  <pic:blipFill>
                    <a:blip r:embed="rId61"/>
                    <a:stretch>
                      <a:fillRect/>
                    </a:stretch>
                  </pic:blipFill>
                  <pic:spPr>
                    <a:xfrm>
                      <a:off x="0" y="0"/>
                      <a:ext cx="5863513" cy="1547602"/>
                    </a:xfrm>
                    <a:prstGeom prst="rect"/>
                  </pic:spPr>
                </pic:pic>
              </a:graphicData>
            </a:graphic>
          </wp:inline>
        </w:drawing>
      </w:r>
    </w:p>
    <w:p>
      <w:r>
        <w:rPr>
          <w:b w:val="0"/>
          <w:i w:val="0"/>
        </w:rPr>
        <w:t>2019–2024 年固定平均负荷率为 Heysham 1 的 0.668、Hartlepool 的 0.689、Heysham 2 的 0.752、Torness 的 0.792 和 Sizewell B 的 0.801。具有电站政策的输入将四座 AGR 的可用率从 2030 年第 4,320 期，即 4 月 1 日 00:00 UTC 起设为零；Sizewell B 在声明的退役年之前保持全年覆盖。回退负荷率分别为新建 PWR/EPR 的 0.801、未指定 AGR 的 0.727、全国合并核电资产的 0.723。GBP1 public2 采用 VALUE-UK 核电电站政策（</w:t>
      </w:r>
      <w:r>
        <w:rPr>
          <w:rFonts w:ascii="DejaVu Sans Mono" w:hAnsi="DejaVu Sans Mono"/>
          <w:b w:val="0"/>
          <w:i w:val="0"/>
          <w:sz w:val="17"/>
        </w:rPr>
        <w:t>value_​uk_​nuclear_​policy_​v1.json</w:t>
      </w:r>
      <w:r>
        <w:rPr>
          <w:b w:val="0"/>
          <w:i w:val="0"/>
        </w:rPr>
        <w:t xml:space="preserve">：五座 EDF 电站及其宣布的停发时间），其机组输入表只有一行合并核电；R029 保留全国合并资产，在修正 Native 调度中采用 0.723。参数由 </w:t>
      </w:r>
      <w:r>
        <w:rPr>
          <w:rFonts w:ascii="DejaVu Sans Mono" w:hAnsi="DejaVu Sans Mono"/>
          <w:b w:val="0"/>
          <w:i w:val="0"/>
          <w:sz w:val="17"/>
        </w:rPr>
        <w:t>value_​uk_​firm_​availability_​v1.json</w:t>
      </w:r>
      <w:r>
        <w:rPr>
          <w:b w:val="0"/>
          <w:i w:val="0"/>
        </w:rPr>
        <w:t xml:space="preserve"> 与 </w:t>
      </w:r>
      <w:r>
        <w:rPr>
          <w:rFonts w:ascii="DejaVu Sans Mono" w:hAnsi="DejaVu Sans Mono"/>
          <w:b w:val="0"/>
          <w:i w:val="0"/>
          <w:sz w:val="17"/>
        </w:rPr>
        <w:t>firm_availability.py</w:t>
      </w:r>
      <w:r>
        <w:rPr>
          <w:b w:val="0"/>
          <w:i w:val="0"/>
        </w:rPr>
        <w:t xml:space="preserve"> 提供。</w:t>
      </w:r>
    </w:p>
    <w:p>
      <w:pPr>
        <w:keepNext/>
      </w:pPr>
      <w:r>
        <w:rPr>
          <w:b w:val="0"/>
          <w:i w:val="0"/>
        </w:rPr>
        <w:t>修正口径的径流水电采用 DUKES 6.3 平均年负荷率，并结合 Energy Trends 季度数据形成的月度形状：</w:t>
      </w:r>
    </w:p>
    <w:p>
      <w:pPr>
        <w:spacing w:after="160"/>
        <w:jc w:val="center"/>
      </w:pPr>
      <w:r>
        <w:drawing>
          <wp:inline xmlns:a="http://schemas.openxmlformats.org/drawingml/2006/main" xmlns:pic="http://schemas.openxmlformats.org/drawingml/2006/picture">
            <wp:extent cx="3600373" cy="192020"/>
            <wp:docPr id="53" name="Picture 53"/>
            <wp:cNvGraphicFramePr>
              <a:graphicFrameLocks noChangeAspect="1"/>
            </wp:cNvGraphicFramePr>
            <a:graphic>
              <a:graphicData uri="http://schemas.openxmlformats.org/drawingml/2006/picture">
                <pic:pic>
                  <pic:nvPicPr>
                    <pic:cNvPr id="0" name="eq-053.png"/>
                    <pic:cNvPicPr/>
                  </pic:nvPicPr>
                  <pic:blipFill>
                    <a:blip r:embed="rId62"/>
                    <a:stretch>
                      <a:fillRect/>
                    </a:stretch>
                  </pic:blipFill>
                  <pic:spPr>
                    <a:xfrm>
                      <a:off x="0" y="0"/>
                      <a:ext cx="3600373" cy="192020"/>
                    </a:xfrm>
                    <a:prstGeom prst="rect"/>
                  </pic:spPr>
                </pic:pic>
              </a:graphicData>
            </a:graphic>
          </wp:inline>
        </w:drawing>
      </w:r>
    </w:p>
    <w:p>
      <w:pPr>
        <w:spacing w:after="160"/>
        <w:jc w:val="center"/>
      </w:pPr>
      <w:r>
        <w:drawing>
          <wp:inline xmlns:a="http://schemas.openxmlformats.org/drawingml/2006/main" xmlns:pic="http://schemas.openxmlformats.org/drawingml/2006/picture">
            <wp:extent cx="4766614" cy="395503"/>
            <wp:docPr id="54" name="Picture 54"/>
            <wp:cNvGraphicFramePr>
              <a:graphicFrameLocks noChangeAspect="1"/>
            </wp:cNvGraphicFramePr>
            <a:graphic>
              <a:graphicData uri="http://schemas.openxmlformats.org/drawingml/2006/picture">
                <pic:pic>
                  <pic:nvPicPr>
                    <pic:cNvPr id="0" name="eq-054.png"/>
                    <pic:cNvPicPr/>
                  </pic:nvPicPr>
                  <pic:blipFill>
                    <a:blip r:embed="rId63"/>
                    <a:stretch>
                      <a:fillRect/>
                    </a:stretch>
                  </pic:blipFill>
                  <pic:spPr>
                    <a:xfrm>
                      <a:off x="0" y="0"/>
                      <a:ext cx="4766614" cy="395503"/>
                    </a:xfrm>
                    <a:prstGeom prst="rect"/>
                  </pic:spPr>
                </pic:pic>
              </a:graphicData>
            </a:graphic>
          </wp:inline>
        </w:drawing>
      </w:r>
    </w:p>
    <w:p>
      <w:r>
        <w:rPr>
          <w:b w:val="0"/>
          <w:i w:val="0"/>
        </w:rPr>
        <w:t>形状的月度算术均值为 1，按 365 天加权的均值为 0.99883，对应模型年可用率 0.3483。核电与水电在各模型年采用这些固定曲线。论文复现口径中，两者可用率为 1。</w:t>
      </w:r>
    </w:p>
    <w:p>
      <w:r>
        <w:rPr>
          <w:b w:val="0"/>
          <w:i w:val="0"/>
        </w:rPr>
        <w:t xml:space="preserve">修正 Native 调度将核电设为每个模型年开局在运，因此核电属于 </w:t>
      </w:r>
      <w:r>
        <w:drawing>
          <wp:inline xmlns:a="http://schemas.openxmlformats.org/drawingml/2006/main" xmlns:pic="http://schemas.openxmlformats.org/drawingml/2006/picture">
            <wp:extent cx="1561426" cy="155095"/>
            <wp:docPr id="55" name="Picture 55"/>
            <wp:cNvGraphicFramePr>
              <a:graphicFrameLocks noChangeAspect="1"/>
            </wp:cNvGraphicFramePr>
            <a:graphic>
              <a:graphicData uri="http://schemas.openxmlformats.org/drawingml/2006/picture">
                <pic:pic>
                  <pic:nvPicPr>
                    <pic:cNvPr id="0" name="eq-055.png"/>
                    <pic:cNvPicPr/>
                  </pic:nvPicPr>
                  <pic:blipFill>
                    <a:blip r:embed="rId64"/>
                    <a:stretch>
                      <a:fillRect/>
                    </a:stretch>
                  </pic:blipFill>
                  <pic:spPr>
                    <a:xfrm>
                      <a:off x="0" y="0"/>
                      <a:ext cx="1561426" cy="155095"/>
                    </a:xfrm>
                    <a:prstGeom prst="rect"/>
                  </pic:spPr>
                </pic:pic>
              </a:graphicData>
            </a:graphic>
          </wp:inline>
        </w:drawing>
      </w:r>
      <w:r>
        <w:rPr>
          <w:b w:val="0"/>
          <w:i w:val="0"/>
        </w:rPr>
        <w:t xml:space="preserve">⁠。某期离开接纳集合后，重新被接纳的启动期计入启动加价；燃气与生物质开局位于接纳集合之外。论文复现口径采用 </w:t>
      </w:r>
      <w:r>
        <w:drawing>
          <wp:inline xmlns:a="http://schemas.openxmlformats.org/drawingml/2006/main" xmlns:pic="http://schemas.openxmlformats.org/drawingml/2006/picture">
            <wp:extent cx="1895170" cy="155136"/>
            <wp:docPr id="56" name="Picture 56"/>
            <wp:cNvGraphicFramePr>
              <a:graphicFrameLocks noChangeAspect="1"/>
            </wp:cNvGraphicFramePr>
            <a:graphic>
              <a:graphicData uri="http://schemas.openxmlformats.org/drawingml/2006/picture">
                <pic:pic>
                  <pic:nvPicPr>
                    <pic:cNvPr id="0" name="eq-056.png"/>
                    <pic:cNvPicPr/>
                  </pic:nvPicPr>
                  <pic:blipFill>
                    <a:blip r:embed="rId65"/>
                    <a:stretch>
                      <a:fillRect/>
                    </a:stretch>
                  </pic:blipFill>
                  <pic:spPr>
                    <a:xfrm>
                      <a:off x="0" y="0"/>
                      <a:ext cx="1895170" cy="155136"/>
                    </a:xfrm>
                    <a:prstGeom prst="rect"/>
                  </pic:spPr>
                </pic:pic>
              </a:graphicData>
            </a:graphic>
          </wp:inline>
        </w:drawing>
      </w:r>
      <w:r>
        <w:rPr>
          <w:b w:val="0"/>
          <w:i w:val="0"/>
        </w:rPr>
        <w:t>⁠：GBP1 核电初始报价为 £500/​MWh，被接纳后降为运行费用。GBP1 参数中的每期 500 MW 爬坡额度使其在后续低需求时段保留出力；未被接纳时，记忆出力每期乘 0.99。因此，年度核电量取决于当年首次进入接纳集合的时间。</w:t>
      </w:r>
    </w:p>
    <w:p>
      <w:pPr>
        <w:pStyle w:val="Heading2"/>
      </w:pPr>
      <w:r>
        <w:rPr>
          <w:b w:val="0"/>
          <w:i w:val="0"/>
        </w:rPr>
        <w:t>Native 储能批次与净头寸</w:t>
      </w:r>
    </w:p>
    <w:p>
      <w:pPr>
        <w:keepNext/>
      </w:pPr>
      <w:r>
        <w:rPr>
          <w:b w:val="0"/>
          <w:i w:val="0"/>
        </w:rPr>
        <w:t xml:space="preserve">Native 将各充电期的内部 MWh 记入 </w:t>
      </w:r>
      <w:r>
        <w:rPr>
          <w:rFonts w:ascii="DejaVu Sans Mono" w:hAnsi="DejaVu Sans Mono"/>
          <w:b w:val="0"/>
          <w:i w:val="0"/>
          <w:sz w:val="17"/>
        </w:rPr>
        <w:t>stored_energy</w:t>
      </w:r>
      <w:r>
        <w:rPr>
          <w:b w:val="0"/>
          <w:i w:val="0"/>
        </w:rPr>
        <w:t>。</w:t>
      </w:r>
      <w:r>
        <w:rPr>
          <w:rFonts w:ascii="DejaVu Sans Mono" w:hAnsi="DejaVu Sans Mono"/>
          <w:b w:val="0"/>
          <w:i w:val="0"/>
          <w:sz w:val="17"/>
        </w:rPr>
        <w:t>Battery.charge</w:t>
      </w:r>
      <w:r>
        <w:rPr>
          <w:b w:val="0"/>
          <w:i w:val="0"/>
        </w:rPr>
        <w:t xml:space="preserve"> 根据 </w:t>
      </w:r>
      <w:r>
        <w:rPr>
          <w:rFonts w:ascii="DejaVu Sans Mono" w:hAnsi="DejaVu Sans Mono"/>
          <w:b w:val="0"/>
          <w:i w:val="0"/>
          <w:sz w:val="17"/>
        </w:rPr>
        <w:t>power_capacity_mw</w:t>
      </w:r>
      <w:r>
        <w:rPr>
          <w:b w:val="0"/>
          <w:i w:val="0"/>
        </w:rPr>
        <w:t>、</w:t>
      </w:r>
      <w:r>
        <w:rPr>
          <w:rFonts w:ascii="DejaVu Sans Mono" w:hAnsi="DejaVu Sans Mono"/>
          <w:b w:val="0"/>
          <w:i w:val="0"/>
          <w:sz w:val="17"/>
        </w:rPr>
        <w:t>energy_capacity_mwh</w:t>
      </w:r>
      <w:r>
        <w:rPr>
          <w:b w:val="0"/>
          <w:i w:val="0"/>
        </w:rPr>
        <w:t xml:space="preserve">、充电效率 </w:t>
      </w:r>
      <w:r>
        <w:rPr>
          <w:rFonts w:ascii="DejaVu Sans Mono" w:hAnsi="DejaVu Sans Mono"/>
          <w:b w:val="0"/>
          <w:i w:val="0"/>
          <w:sz w:val="17"/>
        </w:rPr>
        <w:t>n_1</w:t>
      </w:r>
      <w:r>
        <w:rPr>
          <w:b w:val="0"/>
          <w:i w:val="0"/>
        </w:rPr>
        <w:t xml:space="preserve"> 和本期已有充电后的剩余功率限制输入。对各储能，计算为</w:t>
      </w:r>
    </w:p>
    <w:p>
      <w:pPr>
        <w:spacing w:after="160"/>
        <w:jc w:val="center"/>
      </w:pPr>
      <w:r>
        <w:drawing>
          <wp:inline xmlns:a="http://schemas.openxmlformats.org/drawingml/2006/main" xmlns:pic="http://schemas.openxmlformats.org/drawingml/2006/picture">
            <wp:extent cx="6215100" cy="2180657"/>
            <wp:docPr id="57" name="Picture 57"/>
            <wp:cNvGraphicFramePr>
              <a:graphicFrameLocks noChangeAspect="1"/>
            </wp:cNvGraphicFramePr>
            <a:graphic>
              <a:graphicData uri="http://schemas.openxmlformats.org/drawingml/2006/picture">
                <pic:pic>
                  <pic:nvPicPr>
                    <pic:cNvPr id="0" name="eq-057.png"/>
                    <pic:cNvPicPr/>
                  </pic:nvPicPr>
                  <pic:blipFill>
                    <a:blip r:embed="rId66"/>
                    <a:stretch>
                      <a:fillRect/>
                    </a:stretch>
                  </pic:blipFill>
                  <pic:spPr>
                    <a:xfrm>
                      <a:off x="0" y="0"/>
                      <a:ext cx="6215100" cy="2180657"/>
                    </a:xfrm>
                    <a:prstGeom prst="rect"/>
                  </pic:spPr>
                </pic:pic>
              </a:graphicData>
            </a:graphic>
          </wp:inline>
        </w:drawing>
      </w:r>
    </w:p>
    <w:p>
      <w:pPr>
        <w:keepNext/>
      </w:pPr>
      <w:r>
        <w:rPr>
          <w:b w:val="0"/>
          <w:i w:val="0"/>
        </w:rPr>
        <w:t>批次</w:t>
      </w:r>
      <w:r>
        <w:rPr>
          <w:rFonts w:ascii="DejaVu Sans Mono" w:hAnsi="DejaVu Sans Mono"/>
          <w:b w:val="0"/>
          <w:i w:val="0"/>
          <w:sz w:val="17"/>
        </w:rPr>
        <w:t>Battery.discharge</w:t>
      </w:r>
      <w:r>
        <w:rPr>
          <w:b w:val="0"/>
          <w:i w:val="0"/>
        </w:rPr>
        <w:t xml:space="preserve"> 从指定批次扣除 </w:t>
      </w:r>
      <w:r>
        <w:rPr>
          <w:rFonts w:ascii="DejaVu Sans Mono" w:hAnsi="DejaVu Sans Mono"/>
          <w:b w:val="0"/>
          <w:i w:val="0"/>
          <w:sz w:val="17"/>
        </w:rPr>
        <w:t>output_power * period_hours / n_2</w:t>
      </w:r>
      <w:r>
        <w:rPr>
          <w:b w:val="0"/>
          <w:i w:val="0"/>
        </w:rPr>
        <w:t xml:space="preserve"> MWh，其中 </w:t>
      </w:r>
      <w:r>
        <w:rPr>
          <w:rFonts w:ascii="DejaVu Sans Mono" w:hAnsi="DejaVu Sans Mono"/>
          <w:b w:val="0"/>
          <w:i w:val="0"/>
          <w:sz w:val="17"/>
        </w:rPr>
        <w:t>n_2</w:t>
      </w:r>
      <w:r>
        <w:rPr>
          <w:b w:val="0"/>
          <w:i w:val="0"/>
        </w:rPr>
        <w:t xml:space="preserve"> 为放电效率。全部批次及各阶段共享额定功率，日前采用已有批次，上调采用年龄至少两期的批次。期间账户中的 </w:t>
      </w:r>
      <w:r>
        <w:rPr>
          <w:rFonts w:ascii="DejaVu Sans Mono" w:hAnsi="DejaVu Sans Mono"/>
          <w:b w:val="0"/>
          <w:i w:val="0"/>
          <w:sz w:val="17"/>
        </w:rPr>
        <w:t>discharged_mw</w:t>
      </w:r>
      <w:r>
        <w:rPr>
          <w:b w:val="0"/>
          <w:i w:val="0"/>
        </w:rPr>
        <w:t>、</w:t>
      </w:r>
      <w:r>
        <w:rPr>
          <w:rFonts w:ascii="DejaVu Sans Mono" w:hAnsi="DejaVu Sans Mono"/>
          <w:b w:val="0"/>
          <w:i w:val="0"/>
          <w:sz w:val="17"/>
        </w:rPr>
        <w:t>charged_mw</w:t>
      </w:r>
      <w:r>
        <w:rPr>
          <w:b w:val="0"/>
          <w:i w:val="0"/>
        </w:rPr>
        <w:t xml:space="preserve"> 及 </w:t>
      </w:r>
      <w:r>
        <w:rPr>
          <w:rFonts w:ascii="DejaVu Sans Mono" w:hAnsi="DejaVu Sans Mono"/>
          <w:b w:val="0"/>
          <w:i w:val="0"/>
          <w:sz w:val="17"/>
        </w:rPr>
        <w:t>stored_energy</w:t>
      </w:r>
      <w:r>
        <w:rPr>
          <w:b w:val="0"/>
          <w:i w:val="0"/>
        </w:rPr>
        <w:t xml:space="preserve"> 合计满足</w:t>
      </w:r>
    </w:p>
    <w:p>
      <w:pPr>
        <w:spacing w:after="160"/>
        <w:jc w:val="center"/>
      </w:pPr>
      <w:r>
        <w:drawing>
          <wp:inline xmlns:a="http://schemas.openxmlformats.org/drawingml/2006/main" xmlns:pic="http://schemas.openxmlformats.org/drawingml/2006/picture">
            <wp:extent cx="5391302" cy="845963"/>
            <wp:docPr id="58" name="Picture 58"/>
            <wp:cNvGraphicFramePr>
              <a:graphicFrameLocks noChangeAspect="1"/>
            </wp:cNvGraphicFramePr>
            <a:graphic>
              <a:graphicData uri="http://schemas.openxmlformats.org/drawingml/2006/picture">
                <pic:pic>
                  <pic:nvPicPr>
                    <pic:cNvPr id="0" name="eq-058.png"/>
                    <pic:cNvPicPr/>
                  </pic:nvPicPr>
                  <pic:blipFill>
                    <a:blip r:embed="rId67"/>
                    <a:stretch>
                      <a:fillRect/>
                    </a:stretch>
                  </pic:blipFill>
                  <pic:spPr>
                    <a:xfrm>
                      <a:off x="0" y="0"/>
                      <a:ext cx="5391302" cy="845963"/>
                    </a:xfrm>
                    <a:prstGeom prst="rect"/>
                  </pic:spPr>
                </pic:pic>
              </a:graphicData>
            </a:graphic>
          </wp:inline>
        </w:drawing>
      </w:r>
    </w:p>
    <w:p>
      <w:r>
        <w:rPr>
          <w:b w:val="0"/>
          <w:i w:val="0"/>
        </w:rPr>
        <w:t>吸收盈余时，储能先回购本期放电，并将撤回的电量返回原批次；剩余放电降至零后，继续到达的盈余才能充电。本期已经充电的储能在后续阶段提供零放电。两个口径均先处理预测差额盈余，再处理其他可用盈余，并按时段结束时的净头寸记录售电。被回购的出力保留日前储能报酬。</w:t>
      </w:r>
    </w:p>
    <w:p>
      <w:r>
        <w:rPr>
          <w:b w:val="0"/>
          <w:i w:val="0"/>
        </w:rPr>
        <w:t xml:space="preserve">自放电在每期将库存乘 </w:t>
      </w:r>
      <w:r>
        <w:drawing>
          <wp:inline xmlns:a="http://schemas.openxmlformats.org/drawingml/2006/main" xmlns:pic="http://schemas.openxmlformats.org/drawingml/2006/picture">
            <wp:extent cx="1014501" cy="142533"/>
            <wp:docPr id="59" name="Picture 59"/>
            <wp:cNvGraphicFramePr>
              <a:graphicFrameLocks noChangeAspect="1"/>
            </wp:cNvGraphicFramePr>
            <a:graphic>
              <a:graphicData uri="http://schemas.openxmlformats.org/drawingml/2006/picture">
                <pic:pic>
                  <pic:nvPicPr>
                    <pic:cNvPr id="0" name="eq-059.png"/>
                    <pic:cNvPicPr/>
                  </pic:nvPicPr>
                  <pic:blipFill>
                    <a:blip r:embed="rId68"/>
                    <a:stretch>
                      <a:fillRect/>
                    </a:stretch>
                  </pic:blipFill>
                  <pic:spPr>
                    <a:xfrm>
                      <a:off x="0" y="0"/>
                      <a:ext cx="1014501" cy="142533"/>
                    </a:xfrm>
                    <a:prstGeom prst="rect"/>
                  </pic:spPr>
                </pic:pic>
              </a:graphicData>
            </a:graphic>
          </wp:inline>
        </w:drawing>
      </w:r>
      <w:r>
        <w:rPr>
          <w:b w:val="0"/>
          <w:i w:val="0"/>
        </w:rPr>
        <w:t xml:space="preserve">⁠。电池及其他默认类型的 </w:t>
      </w:r>
      <w:r>
        <w:drawing>
          <wp:inline xmlns:a="http://schemas.openxmlformats.org/drawingml/2006/main" xmlns:pic="http://schemas.openxmlformats.org/drawingml/2006/picture">
            <wp:extent cx="742295" cy="142588"/>
            <wp:docPr id="60" name="Picture 60"/>
            <wp:cNvGraphicFramePr>
              <a:graphicFrameLocks noChangeAspect="1"/>
            </wp:cNvGraphicFramePr>
            <a:graphic>
              <a:graphicData uri="http://schemas.openxmlformats.org/drawingml/2006/picture">
                <pic:pic>
                  <pic:nvPicPr>
                    <pic:cNvPr id="0" name="eq-060.png"/>
                    <pic:cNvPicPr/>
                  </pic:nvPicPr>
                  <pic:blipFill>
                    <a:blip r:embed="rId69"/>
                    <a:stretch>
                      <a:fillRect/>
                    </a:stretch>
                  </pic:blipFill>
                  <pic:spPr>
                    <a:xfrm>
                      <a:off x="0" y="0"/>
                      <a:ext cx="742295" cy="142588"/>
                    </a:xfrm>
                    <a:prstGeom prst="rect"/>
                  </pic:spPr>
                </pic:pic>
              </a:graphicData>
            </a:graphic>
          </wp:inline>
        </w:drawing>
      </w:r>
      <w:r>
        <w:rPr>
          <w:b w:val="0"/>
          <w:i w:val="0"/>
        </w:rPr>
        <w:t xml:space="preserve"> 为 0.000021，抽蓄为 0.000001，氢储能为 0.000005。小于 0.001 MWh 的批次被移除，并进入库存核对。</w:t>
      </w:r>
    </w:p>
    <w:p>
      <w:pPr>
        <w:keepNext/>
      </w:pPr>
      <w:r>
        <w:rPr>
          <w:b w:val="0"/>
          <w:i w:val="0"/>
        </w:rPr>
        <w:t xml:space="preserve">默认动态储能成本模块在修正口径中按循环折旧报价。电池报价为 </w:t>
      </w:r>
      <w:r>
        <w:drawing>
          <wp:inline xmlns:a="http://schemas.openxmlformats.org/drawingml/2006/main" xmlns:pic="http://schemas.openxmlformats.org/drawingml/2006/picture">
            <wp:extent cx="3478250" cy="150864"/>
            <wp:docPr id="61" name="Picture 61"/>
            <wp:cNvGraphicFramePr>
              <a:graphicFrameLocks noChangeAspect="1"/>
            </wp:cNvGraphicFramePr>
            <a:graphic>
              <a:graphicData uri="http://schemas.openxmlformats.org/drawingml/2006/picture">
                <pic:pic>
                  <pic:nvPicPr>
                    <pic:cNvPr id="0" name="eq-061.png"/>
                    <pic:cNvPicPr/>
                  </pic:nvPicPr>
                  <pic:blipFill>
                    <a:blip r:embed="rId70"/>
                    <a:stretch>
                      <a:fillRect/>
                    </a:stretch>
                  </pic:blipFill>
                  <pic:spPr>
                    <a:xfrm>
                      <a:off x="0" y="0"/>
                      <a:ext cx="3478250" cy="150864"/>
                    </a:xfrm>
                    <a:prstGeom prst="rect"/>
                  </pic:spPr>
                </pic:pic>
              </a:graphicData>
            </a:graphic>
          </wp:inline>
        </w:drawing>
      </w:r>
      <w:r>
        <w:rPr>
          <w:b w:val="0"/>
          <w:i w:val="0"/>
        </w:rPr>
        <w:t>⁠，抽蓄和氢储能报价为零，最老批次先行报价：</w:t>
      </w:r>
    </w:p>
    <w:p>
      <w:pPr>
        <w:spacing w:after="160"/>
        <w:jc w:val="center"/>
      </w:pPr>
      <w:r>
        <w:drawing>
          <wp:inline xmlns:a="http://schemas.openxmlformats.org/drawingml/2006/main" xmlns:pic="http://schemas.openxmlformats.org/drawingml/2006/picture">
            <wp:extent cx="6217920" cy="377033"/>
            <wp:docPr id="62" name="Picture 62"/>
            <wp:cNvGraphicFramePr>
              <a:graphicFrameLocks noChangeAspect="1"/>
            </wp:cNvGraphicFramePr>
            <a:graphic>
              <a:graphicData uri="http://schemas.openxmlformats.org/drawingml/2006/picture">
                <pic:pic>
                  <pic:nvPicPr>
                    <pic:cNvPr id="0" name="eq-062.png"/>
                    <pic:cNvPicPr/>
                  </pic:nvPicPr>
                  <pic:blipFill>
                    <a:blip r:embed="rId71"/>
                    <a:stretch>
                      <a:fillRect/>
                    </a:stretch>
                  </pic:blipFill>
                  <pic:spPr>
                    <a:xfrm>
                      <a:off x="0" y="0"/>
                      <a:ext cx="6217920" cy="377033"/>
                    </a:xfrm>
                    <a:prstGeom prst="rect"/>
                  </pic:spPr>
                </pic:pic>
              </a:graphicData>
            </a:graphic>
          </wp:inline>
        </w:drawing>
      </w:r>
    </w:p>
    <w:p>
      <w:pPr>
        <w:keepNext/>
      </w:pPr>
      <w:r>
        <w:rPr>
          <w:b w:val="0"/>
          <w:i w:val="0"/>
        </w:rPr>
        <w:t>模块根据第 4 章年度成本回收输入计算循环折旧。历史电价、用户公式和外部储能成本模块分别提供自身报价函数。论文复现口径保留所选模块随批次年龄变化的报价；历史电价形式为</w:t>
      </w:r>
    </w:p>
    <w:p>
      <w:pPr>
        <w:spacing w:after="160"/>
        <w:jc w:val="center"/>
      </w:pPr>
      <w:r>
        <w:drawing>
          <wp:inline xmlns:a="http://schemas.openxmlformats.org/drawingml/2006/main" xmlns:pic="http://schemas.openxmlformats.org/drawingml/2006/picture">
            <wp:extent cx="5389397" cy="463973"/>
            <wp:docPr id="63" name="Picture 63"/>
            <wp:cNvGraphicFramePr>
              <a:graphicFrameLocks noChangeAspect="1"/>
            </wp:cNvGraphicFramePr>
            <a:graphic>
              <a:graphicData uri="http://schemas.openxmlformats.org/drawingml/2006/picture">
                <pic:pic>
                  <pic:nvPicPr>
                    <pic:cNvPr id="0" name="eq-063.png"/>
                    <pic:cNvPicPr/>
                  </pic:nvPicPr>
                  <pic:blipFill>
                    <a:blip r:embed="rId72"/>
                    <a:stretch>
                      <a:fillRect/>
                    </a:stretch>
                  </pic:blipFill>
                  <pic:spPr>
                    <a:xfrm>
                      <a:off x="0" y="0"/>
                      <a:ext cx="5389397" cy="463973"/>
                    </a:xfrm>
                    <a:prstGeom prst="rect"/>
                  </pic:spPr>
                </pic:pic>
              </a:graphicData>
            </a:graphic>
          </wp:inline>
        </w:drawing>
      </w:r>
    </w:p>
    <w:p>
      <w:r>
        <w:rPr>
          <w:b w:val="0"/>
          <w:i w:val="0"/>
        </w:rPr>
        <w:t>正持有费使新批次更便宜，同价时保持批次顺序。年度观测保留送出 MWh 及 MWh 与年龄的乘积，供下一年定价使用。</w:t>
      </w:r>
    </w:p>
    <w:p>
      <w:pPr>
        <w:pStyle w:val="Heading2"/>
      </w:pPr>
      <w:r>
        <w:rPr>
          <w:b w:val="0"/>
          <w:i w:val="0"/>
        </w:rPr>
        <w:t>Native 预测出清与平衡</w:t>
      </w:r>
    </w:p>
    <w:p>
      <w:pPr>
        <w:keepNext/>
      </w:pPr>
      <w:r>
        <w:rPr>
          <w:b w:val="0"/>
          <w:i w:val="0"/>
        </w:rPr>
        <w:t>修正 Native 按稳定排序键排列发电、进口和储能批次报价。同一 0.01 £/MWh 档内，发电和进口位于储能之前，再按未取整价格和输入顺序处理并列：</w:t>
      </w:r>
    </w:p>
    <w:p>
      <w:pPr>
        <w:spacing w:after="160"/>
        <w:jc w:val="center"/>
      </w:pPr>
      <w:r>
        <w:drawing>
          <wp:inline xmlns:a="http://schemas.openxmlformats.org/drawingml/2006/main" xmlns:pic="http://schemas.openxmlformats.org/drawingml/2006/picture">
            <wp:extent cx="5119801" cy="171422"/>
            <wp:docPr id="64" name="Picture 64"/>
            <wp:cNvGraphicFramePr>
              <a:graphicFrameLocks noChangeAspect="1"/>
            </wp:cNvGraphicFramePr>
            <a:graphic>
              <a:graphicData uri="http://schemas.openxmlformats.org/drawingml/2006/picture">
                <pic:pic>
                  <pic:nvPicPr>
                    <pic:cNvPr id="0" name="eq-064.png"/>
                    <pic:cNvPicPr/>
                  </pic:nvPicPr>
                  <pic:blipFill>
                    <a:blip r:embed="rId73"/>
                    <a:stretch>
                      <a:fillRect/>
                    </a:stretch>
                  </pic:blipFill>
                  <pic:spPr>
                    <a:xfrm>
                      <a:off x="0" y="0"/>
                      <a:ext cx="5119801" cy="171422"/>
                    </a:xfrm>
                    <a:prstGeom prst="rect"/>
                  </pic:spPr>
                </pic:pic>
              </a:graphicData>
            </a:graphic>
          </wp:inline>
        </w:drawing>
      </w:r>
    </w:p>
    <w:p>
      <w:pPr>
        <w:keepNext/>
      </w:pPr>
      <w:r>
        <w:rPr>
          <w:b w:val="0"/>
          <w:i w:val="0"/>
        </w:rPr>
        <w:t>普通机组满足剩余预测需求，其出力上限为</w:t>
      </w:r>
    </w:p>
    <w:p>
      <w:pPr>
        <w:spacing w:after="160"/>
        <w:jc w:val="center"/>
      </w:pPr>
      <w:r>
        <w:drawing>
          <wp:inline xmlns:a="http://schemas.openxmlformats.org/drawingml/2006/main" xmlns:pic="http://schemas.openxmlformats.org/drawingml/2006/picture">
            <wp:extent cx="4294479" cy="194269"/>
            <wp:docPr id="65" name="Picture 65"/>
            <wp:cNvGraphicFramePr>
              <a:graphicFrameLocks noChangeAspect="1"/>
            </wp:cNvGraphicFramePr>
            <a:graphic>
              <a:graphicData uri="http://schemas.openxmlformats.org/drawingml/2006/picture">
                <pic:pic>
                  <pic:nvPicPr>
                    <pic:cNvPr id="0" name="eq-065.png"/>
                    <pic:cNvPicPr/>
                  </pic:nvPicPr>
                  <pic:blipFill>
                    <a:blip r:embed="rId74"/>
                    <a:stretch>
                      <a:fillRect/>
                    </a:stretch>
                  </pic:blipFill>
                  <pic:spPr>
                    <a:xfrm>
                      <a:off x="0" y="0"/>
                      <a:ext cx="4294479" cy="194269"/>
                    </a:xfrm>
                    <a:prstGeom prst="rect"/>
                  </pic:spPr>
                </pic:pic>
              </a:graphicData>
            </a:graphic>
          </wp:inline>
        </w:drawing>
      </w:r>
    </w:p>
    <w:p>
      <w:r>
        <w:rPr>
          <w:b w:val="0"/>
          <w:i w:val="0"/>
        </w:rPr>
        <w:t xml:space="preserve">水电与生物质还受剩余累计预算 </w:t>
      </w:r>
      <w:r>
        <w:drawing>
          <wp:inline xmlns:a="http://schemas.openxmlformats.org/drawingml/2006/main" xmlns:pic="http://schemas.openxmlformats.org/drawingml/2006/picture">
            <wp:extent cx="2321255" cy="148745"/>
            <wp:docPr id="66" name="Picture 66"/>
            <wp:cNvGraphicFramePr>
              <a:graphicFrameLocks noChangeAspect="1"/>
            </wp:cNvGraphicFramePr>
            <a:graphic>
              <a:graphicData uri="http://schemas.openxmlformats.org/drawingml/2006/picture">
                <pic:pic>
                  <pic:nvPicPr>
                    <pic:cNvPr id="0" name="eq-066.png"/>
                    <pic:cNvPicPr/>
                  </pic:nvPicPr>
                  <pic:blipFill>
                    <a:blip r:embed="rId75"/>
                    <a:stretch>
                      <a:fillRect/>
                    </a:stretch>
                  </pic:blipFill>
                  <pic:spPr>
                    <a:xfrm>
                      <a:off x="0" y="0"/>
                      <a:ext cx="2321255" cy="148745"/>
                    </a:xfrm>
                    <a:prstGeom prst="rect"/>
                  </pic:spPr>
                </pic:pic>
              </a:graphicData>
            </a:graphic>
          </wp:inline>
        </w:drawing>
      </w:r>
      <w:r>
        <w:rPr>
          <w:b w:val="0"/>
          <w:i w:val="0"/>
        </w:rPr>
        <w:t xml:space="preserve"> 约束，该预算以 MW·时段表示，乘 </w:t>
      </w:r>
      <w:r>
        <w:drawing>
          <wp:inline xmlns:a="http://schemas.openxmlformats.org/drawingml/2006/main" xmlns:pic="http://schemas.openxmlformats.org/drawingml/2006/picture">
            <wp:extent cx="888771" cy="140443"/>
            <wp:docPr id="67" name="Picture 67"/>
            <wp:cNvGraphicFramePr>
              <a:graphicFrameLocks noChangeAspect="1"/>
            </wp:cNvGraphicFramePr>
            <a:graphic>
              <a:graphicData uri="http://schemas.openxmlformats.org/drawingml/2006/picture">
                <pic:pic>
                  <pic:nvPicPr>
                    <pic:cNvPr id="0" name="eq-067.png"/>
                    <pic:cNvPicPr/>
                  </pic:nvPicPr>
                  <pic:blipFill>
                    <a:blip r:embed="rId76"/>
                    <a:stretch>
                      <a:fillRect/>
                    </a:stretch>
                  </pic:blipFill>
                  <pic:spPr>
                    <a:xfrm>
                      <a:off x="0" y="0"/>
                      <a:ext cx="888771" cy="140443"/>
                    </a:xfrm>
                    <a:prstGeom prst="rect"/>
                  </pic:spPr>
                </pic:pic>
              </a:graphicData>
            </a:graphic>
          </wp:inline>
        </w:drawing>
      </w:r>
      <w:r>
        <w:rPr>
          <w:b w:val="0"/>
          <w:i w:val="0"/>
        </w:rPr>
        <w:t xml:space="preserve"> 后转为 MWh。核电接纳量可高于剩余需求 </w:t>
      </w:r>
      <w:r>
        <w:drawing>
          <wp:inline xmlns:a="http://schemas.openxmlformats.org/drawingml/2006/main" xmlns:pic="http://schemas.openxmlformats.org/drawingml/2006/picture">
            <wp:extent cx="1155877" cy="121451"/>
            <wp:docPr id="68" name="Picture 68"/>
            <wp:cNvGraphicFramePr>
              <a:graphicFrameLocks noChangeAspect="1"/>
            </wp:cNvGraphicFramePr>
            <a:graphic>
              <a:graphicData uri="http://schemas.openxmlformats.org/drawingml/2006/picture">
                <pic:pic>
                  <pic:nvPicPr>
                    <pic:cNvPr id="0" name="eq-068.png"/>
                    <pic:cNvPicPr/>
                  </pic:nvPicPr>
                  <pic:blipFill>
                    <a:blip r:embed="rId77"/>
                    <a:stretch>
                      <a:fillRect/>
                    </a:stretch>
                  </pic:blipFill>
                  <pic:spPr>
                    <a:xfrm>
                      <a:off x="0" y="0"/>
                      <a:ext cx="1155877" cy="121451"/>
                    </a:xfrm>
                    <a:prstGeom prst="rect"/>
                  </pic:spPr>
                </pic:pic>
              </a:graphicData>
            </a:graphic>
          </wp:inline>
        </w:drawing>
      </w:r>
      <w:r>
        <w:rPr>
          <w:b w:val="0"/>
          <w:i w:val="0"/>
        </w:rPr>
        <w:t xml:space="preserve">⁠：当其上限高于 </w:t>
      </w:r>
      <w:r>
        <w:drawing>
          <wp:inline xmlns:a="http://schemas.openxmlformats.org/drawingml/2006/main" xmlns:pic="http://schemas.openxmlformats.org/drawingml/2006/picture">
            <wp:extent cx="1155877" cy="121451"/>
            <wp:docPr id="69" name="Picture 69"/>
            <wp:cNvGraphicFramePr>
              <a:graphicFrameLocks noChangeAspect="1"/>
            </wp:cNvGraphicFramePr>
            <a:graphic>
              <a:graphicData uri="http://schemas.openxmlformats.org/drawingml/2006/picture">
                <pic:pic>
                  <pic:nvPicPr>
                    <pic:cNvPr id="0" name="eq-068.png"/>
                    <pic:cNvPicPr/>
                  </pic:nvPicPr>
                  <pic:blipFill>
                    <a:blip r:embed="rId77"/>
                    <a:stretch>
                      <a:fillRect/>
                    </a:stretch>
                  </pic:blipFill>
                  <pic:spPr>
                    <a:xfrm>
                      <a:off x="0" y="0"/>
                      <a:ext cx="1155877" cy="121451"/>
                    </a:xfrm>
                    <a:prstGeom prst="rect"/>
                  </pic:spPr>
                </pic:pic>
              </a:graphicData>
            </a:graphic>
          </wp:inline>
        </w:drawing>
      </w:r>
      <w:r>
        <w:rPr>
          <w:b w:val="0"/>
          <w:i w:val="0"/>
        </w:rPr>
        <w:t xml:space="preserve"> 时，供应 </w:t>
      </w:r>
      <w:r>
        <w:drawing>
          <wp:inline xmlns:a="http://schemas.openxmlformats.org/drawingml/2006/main" xmlns:pic="http://schemas.openxmlformats.org/drawingml/2006/picture">
            <wp:extent cx="3977119" cy="178111"/>
            <wp:docPr id="70" name="Picture 70"/>
            <wp:cNvGraphicFramePr>
              <a:graphicFrameLocks noChangeAspect="1"/>
            </wp:cNvGraphicFramePr>
            <a:graphic>
              <a:graphicData uri="http://schemas.openxmlformats.org/drawingml/2006/picture">
                <pic:pic>
                  <pic:nvPicPr>
                    <pic:cNvPr id="0" name="eq-070.png"/>
                    <pic:cNvPicPr/>
                  </pic:nvPicPr>
                  <pic:blipFill>
                    <a:blip r:embed="rId78"/>
                    <a:stretch>
                      <a:fillRect/>
                    </a:stretch>
                  </pic:blipFill>
                  <pic:spPr>
                    <a:xfrm>
                      <a:off x="0" y="0"/>
                      <a:ext cx="3977119" cy="178111"/>
                    </a:xfrm>
                    <a:prstGeom prst="rect"/>
                  </pic:spPr>
                </pic:pic>
              </a:graphicData>
            </a:graphic>
          </wp:inline>
        </w:drawing>
      </w:r>
      <w:r>
        <w:rPr>
          <w:b w:val="0"/>
          <w:i w:val="0"/>
        </w:rPr>
        <w:t>⁠，超出部分成为已经发出的刚性盈余。风光高于需求接纳量的可用出力保留为可用盈余。</w:t>
      </w:r>
    </w:p>
    <w:p>
      <w:r>
        <w:rPr>
          <w:b w:val="0"/>
          <w:i w:val="0"/>
        </w:rPr>
        <w:t xml:space="preserve">修正口径的互联线以对侧价格乘 </w:t>
      </w:r>
      <w:r>
        <w:drawing>
          <wp:inline xmlns:a="http://schemas.openxmlformats.org/drawingml/2006/main" xmlns:pic="http://schemas.openxmlformats.org/drawingml/2006/picture">
            <wp:extent cx="997318" cy="144569"/>
            <wp:docPr id="71" name="Picture 71"/>
            <wp:cNvGraphicFramePr>
              <a:graphicFrameLocks noChangeAspect="1"/>
            </wp:cNvGraphicFramePr>
            <a:graphic>
              <a:graphicData uri="http://schemas.openxmlformats.org/drawingml/2006/picture">
                <pic:pic>
                  <pic:nvPicPr>
                    <pic:cNvPr id="0" name="eq-042.png"/>
                    <pic:cNvPicPr/>
                  </pic:nvPicPr>
                  <pic:blipFill>
                    <a:blip r:embed="rId52"/>
                    <a:stretch>
                      <a:fillRect/>
                    </a:stretch>
                  </pic:blipFill>
                  <pic:spPr>
                    <a:xfrm>
                      <a:off x="0" y="0"/>
                      <a:ext cx="997318" cy="144569"/>
                    </a:xfrm>
                    <a:prstGeom prst="rect"/>
                  </pic:spPr>
                </pic:pic>
              </a:graphicData>
            </a:graphic>
          </wp:inline>
        </w:drawing>
      </w:r>
      <w:r>
        <w:rPr>
          <w:b w:val="0"/>
          <w:i w:val="0"/>
        </w:rPr>
        <w:t xml:space="preserve"> 报出正的可用进口容量，参与日前出清。进口报价受容量约束，爬坡和启动加价均为零。平衡阶段仅报出 </w:t>
      </w:r>
      <w:r>
        <w:drawing>
          <wp:inline xmlns:a="http://schemas.openxmlformats.org/drawingml/2006/main" xmlns:pic="http://schemas.openxmlformats.org/drawingml/2006/picture">
            <wp:extent cx="3273729" cy="176052"/>
            <wp:docPr id="72" name="Picture 72"/>
            <wp:cNvGraphicFramePr>
              <a:graphicFrameLocks noChangeAspect="1"/>
            </wp:cNvGraphicFramePr>
            <a:graphic>
              <a:graphicData uri="http://schemas.openxmlformats.org/drawingml/2006/picture">
                <pic:pic>
                  <pic:nvPicPr>
                    <pic:cNvPr id="0" name="eq-072.png"/>
                    <pic:cNvPicPr/>
                  </pic:nvPicPr>
                  <pic:blipFill>
                    <a:blip r:embed="rId79"/>
                    <a:stretch>
                      <a:fillRect/>
                    </a:stretch>
                  </pic:blipFill>
                  <pic:spPr>
                    <a:xfrm>
                      <a:off x="0" y="0"/>
                      <a:ext cx="3273729" cy="176052"/>
                    </a:xfrm>
                    <a:prstGeom prst="rect"/>
                  </pic:spPr>
                </pic:pic>
              </a:graphicData>
            </a:graphic>
          </wp:inline>
        </w:drawing>
      </w:r>
      <w:r>
        <w:rPr>
          <w:b w:val="0"/>
          <w:i w:val="0"/>
        </w:rPr>
        <w:t>⁠。负的传输容量表示出口能力，在对侧价格为正时接纳出口。论文复现口径的进口仅进入上调平衡分支，满足实际需求高于预测需求的剩余部分。</w:t>
      </w:r>
    </w:p>
    <w:p>
      <w:r>
        <w:rPr>
          <w:b w:val="0"/>
          <w:i w:val="0"/>
        </w:rPr>
        <w:t>修正口径在日前结束后，以可用量减接纳量重建风光盈余，并先使用已经发出的核电盈余。风光盈余被储能、出口或柔性需求使用时，计入风光毛发电量。因此，</w:t>
      </w:r>
      <w:r>
        <w:rPr>
          <w:rFonts w:ascii="DejaVu Sans Mono" w:hAnsi="DejaVu Sans Mono"/>
          <w:b w:val="0"/>
          <w:i w:val="0"/>
          <w:sz w:val="17"/>
        </w:rPr>
        <w:t>vre_accepted</w:t>
      </w:r>
      <w:r>
        <w:rPr>
          <w:b w:val="0"/>
          <w:i w:val="0"/>
        </w:rPr>
        <w:t xml:space="preserve"> 表示风光毛出力，</w:t>
      </w:r>
      <w:r>
        <w:rPr>
          <w:rFonts w:ascii="DejaVu Sans Mono" w:hAnsi="DejaVu Sans Mono"/>
          <w:b w:val="0"/>
          <w:i w:val="0"/>
          <w:sz w:val="17"/>
        </w:rPr>
        <w:t>curtailed</w:t>
      </w:r>
      <w:r>
        <w:rPr>
          <w:b w:val="0"/>
          <w:i w:val="0"/>
        </w:rPr>
        <w:t xml:space="preserve"> 表示可用风光减毛出力，</w:t>
      </w:r>
      <w:r>
        <w:rPr>
          <w:rFonts w:ascii="DejaVu Sans Mono" w:hAnsi="DejaVu Sans Mono"/>
          <w:b w:val="0"/>
          <w:i w:val="0"/>
          <w:sz w:val="17"/>
        </w:rPr>
        <w:t>excess</w:t>
      </w:r>
      <w:r>
        <w:rPr>
          <w:b w:val="0"/>
          <w:i w:val="0"/>
        </w:rPr>
        <w:t xml:space="preserve"> 表示非风光溢出。已进入日前供给与结算的核电盈余在平衡阶段仅分配一次；在平衡阶段进入供给的风光盈余接受平衡结算。</w:t>
      </w:r>
    </w:p>
    <w:p>
      <w:r>
        <w:rPr>
          <w:b w:val="0"/>
          <w:i w:val="0"/>
        </w:rPr>
        <w:t xml:space="preserve">实时阶段按实际需求与预测需求的比较选择分支。实际需求较低时，执行盈余吸收和下调；较高或相等时，执行上调平衡。日前供给低于预测需求时，仍采用这一比较规则：较低实际需求的分支继续要求下调 </w:t>
      </w:r>
      <w:r>
        <w:drawing>
          <wp:inline xmlns:a="http://schemas.openxmlformats.org/drawingml/2006/main" xmlns:pic="http://schemas.openxmlformats.org/drawingml/2006/picture">
            <wp:extent cx="2334456" cy="136212"/>
            <wp:docPr id="73" name="Picture 73"/>
            <wp:cNvGraphicFramePr>
              <a:graphicFrameLocks noChangeAspect="1"/>
            </wp:cNvGraphicFramePr>
            <a:graphic>
              <a:graphicData uri="http://schemas.openxmlformats.org/drawingml/2006/picture">
                <pic:pic>
                  <pic:nvPicPr>
                    <pic:cNvPr id="0" name="eq-073.png"/>
                    <pic:cNvPicPr/>
                  </pic:nvPicPr>
                  <pic:blipFill>
                    <a:blip r:embed="rId80"/>
                    <a:stretch>
                      <a:fillRect/>
                    </a:stretch>
                  </pic:blipFill>
                  <pic:spPr>
                    <a:xfrm>
                      <a:off x="0" y="0"/>
                      <a:ext cx="2334456" cy="136212"/>
                    </a:xfrm>
                    <a:prstGeom prst="rect"/>
                  </pic:spPr>
                </pic:pic>
              </a:graphicData>
            </a:graphic>
          </wp:inline>
        </w:drawing>
      </w:r>
      <w:r>
        <w:rPr>
          <w:b w:val="0"/>
          <w:i w:val="0"/>
        </w:rPr>
        <w:t>⁠，由此留下的需求缺口进入下文的 stress 事件账户。</w:t>
      </w:r>
    </w:p>
    <w:p>
      <w:pPr>
        <w:keepLines/>
        <w:spacing w:line="276" w:lineRule="auto" w:after="160"/>
      </w:pPr>
      <w:r>
        <w:rPr>
          <w:rFonts w:ascii="DejaVu Sans Mono" w:hAnsi="DejaVu Sans Mono"/>
          <w:b w:val="0"/>
          <w:i w:val="0"/>
          <w:sz w:val="17"/>
        </w:rPr>
        <w:t>for each half-hour:</w:t>
        <w:br/>
        <w:t xml:space="preserve">    Read availability, demand and boundary inputs</w:t>
        <w:br/>
        <w:t xml:space="preserve">    Update budgets and self-discharge</w:t>
        <w:br/>
        <w:t xml:space="preserve">    Form generator, import and eligible storage-batch offers</w:t>
        <w:br/>
        <w:t xml:space="preserve">    ahead_​market_​bidding(...): clear forecast demand in merit order</w:t>
        <w:br/>
        <w:t xml:space="preserve">    rebuild_surplus(...): reconstruct renewable and already-generated surplus</w:t>
        <w:br/>
        <w:t xml:space="preserve">    if actual demand &lt; forecast demand:</w:t>
        <w:br/>
        <w:t xml:space="preserve">        Buy back storage discharge using forecast surplus, then existing surplus</w:t>
        <w:br/>
        <w:t xml:space="preserve">        Charge storage after its net discharge reaches zero</w:t>
        <w:br/>
        <w:t xml:space="preserve">        Accept positive-price exports in descending external-price order</w:t>
        <w:br/>
        <w:t xml:space="preserve">        Supply flexible electrolysis</w:t>
        <w:br/>
        <w:t xml:space="preserve">        economic_​downward_​stack(...): reduce remaining output</w:t>
        <w:br/>
        <w:t xml:space="preserve">    else:</w:t>
        <w:br/>
        <w:t xml:space="preserve">        Use existing surplus for demand and offer the remainder to storage</w:t>
        <w:br/>
        <w:t xml:space="preserve">        Merge remaining generation, eligible batches and residual imports</w:t>
        <w:br/>
        <w:t xml:space="preserve">        balancing_​market_​bidding(...): serve upward demand; record blackout</w:t>
        <w:br/>
        <w:t xml:space="preserve">    close_​battery_​period(...); uniform_income(...); physical_​cost_​terms(...)</w:t>
        <w:br/>
      </w:r>
    </w:p>
    <w:p>
      <w:r>
        <w:rPr>
          <w:b w:val="0"/>
          <w:i w:val="0"/>
        </w:rPr>
        <w:t xml:space="preserve">公共电解槽作为柔性需求，原始默认值为 10 MW、每期爬坡 0.125 MW、效率 0.65，数据包可替换这些参数。修正路径将可用风光依次送入出清和后续盈余分配。论文复现口径在出清前，为每个风光代理分流 </w:t>
      </w:r>
      <w:r>
        <w:drawing>
          <wp:inline xmlns:a="http://schemas.openxmlformats.org/drawingml/2006/main" xmlns:pic="http://schemas.openxmlformats.org/drawingml/2006/picture">
            <wp:extent cx="3514782" cy="157191"/>
            <wp:docPr id="74" name="Picture 74"/>
            <wp:cNvGraphicFramePr>
              <a:graphicFrameLocks noChangeAspect="1"/>
            </wp:cNvGraphicFramePr>
            <a:graphic>
              <a:graphicData uri="http://schemas.openxmlformats.org/drawingml/2006/picture">
                <pic:pic>
                  <pic:nvPicPr>
                    <pic:cNvPr id="0" name="eq-074.png"/>
                    <pic:cNvPicPr/>
                  </pic:nvPicPr>
                  <pic:blipFill>
                    <a:blip r:embed="rId81"/>
                    <a:stretch>
                      <a:fillRect/>
                    </a:stretch>
                  </pic:blipFill>
                  <pic:spPr>
                    <a:xfrm>
                      <a:off x="0" y="0"/>
                      <a:ext cx="3514782" cy="157191"/>
                    </a:xfrm>
                    <a:prstGeom prst="rect"/>
                  </pic:spPr>
                </pic:pic>
              </a:graphicData>
            </a:graphic>
          </wp:inline>
        </w:drawing>
      </w:r>
      <w:r>
        <w:rPr>
          <w:b w:val="0"/>
          <w:i w:val="0"/>
        </w:rPr>
        <w:t xml:space="preserve"> 至直接电解，并分别记录分流量及其超出可用风光的部分。该口径还采用未取整价格的稳定排序和盈余节点平衡边界。</w:t>
      </w:r>
    </w:p>
    <w:p>
      <w:pPr>
        <w:pStyle w:val="Heading2"/>
      </w:pPr>
      <w:r>
        <w:rPr>
          <w:b w:val="0"/>
          <w:i w:val="0"/>
        </w:rPr>
        <w:t>经济下调顺序</w:t>
      </w:r>
    </w:p>
    <w:p>
      <w:r>
        <w:rPr>
          <w:b w:val="0"/>
          <w:i w:val="0"/>
        </w:rPr>
        <w:t>修正口径在储能、出口和柔性需求吸收盈余后，比较下调能够避免的运行支出。</w:t>
      </w:r>
      <w:r>
        <w:rPr>
          <w:rFonts w:ascii="DejaVu Sans Mono" w:hAnsi="DejaVu Sans Mono"/>
          <w:b w:val="0"/>
          <w:i w:val="0"/>
          <w:sz w:val="17"/>
        </w:rPr>
        <w:t>ramp_floor_mw</w:t>
      </w:r>
      <w:r>
        <w:rPr>
          <w:b w:val="0"/>
          <w:i w:val="0"/>
        </w:rPr>
        <w:t xml:space="preserve"> 取零与上期 </w:t>
      </w:r>
      <w:r>
        <w:rPr>
          <w:rFonts w:ascii="DejaVu Sans Mono" w:hAnsi="DejaVu Sans Mono"/>
          <w:b w:val="0"/>
          <w:i w:val="0"/>
          <w:sz w:val="17"/>
        </w:rPr>
        <w:t>real_gen_energy</w:t>
      </w:r>
      <w:r>
        <w:rPr>
          <w:b w:val="0"/>
          <w:i w:val="0"/>
        </w:rPr>
        <w:t xml:space="preserve"> 减 </w:t>
      </w:r>
      <w:r>
        <w:rPr>
          <w:rFonts w:ascii="DejaVu Sans Mono" w:hAnsi="DejaVu Sans Mono"/>
          <w:b w:val="0"/>
          <w:i w:val="0"/>
          <w:sz w:val="17"/>
        </w:rPr>
        <w:t>alter_limit</w:t>
      </w:r>
      <w:r>
        <w:rPr>
          <w:b w:val="0"/>
          <w:i w:val="0"/>
        </w:rPr>
        <w:t xml:space="preserve"> 的较大值，风光和进口的下限为零。</w:t>
      </w:r>
      <w:r>
        <w:rPr>
          <w:rFonts w:ascii="DejaVu Sans Mono" w:hAnsi="DejaVu Sans Mono"/>
          <w:b w:val="0"/>
          <w:i w:val="0"/>
          <w:sz w:val="17"/>
        </w:rPr>
        <w:t>avoided_cost</w:t>
      </w:r>
      <w:r>
        <w:rPr>
          <w:b w:val="0"/>
          <w:i w:val="0"/>
        </w:rPr>
        <w:t xml:space="preserve"> 读取综合 </w:t>
      </w:r>
      <w:r>
        <w:rPr>
          <w:rFonts w:ascii="DejaVu Sans Mono" w:hAnsi="DejaVu Sans Mono"/>
          <w:b w:val="0"/>
          <w:i w:val="0"/>
          <w:sz w:val="17"/>
        </w:rPr>
        <w:t>gen_cost</w:t>
      </w:r>
      <w:r>
        <w:rPr>
          <w:b w:val="0"/>
          <w:i w:val="0"/>
        </w:rPr>
        <w:t xml:space="preserve">，核电扣除 </w:t>
      </w:r>
      <w:r>
        <w:rPr>
          <w:rFonts w:ascii="DejaVu Sans Mono" w:hAnsi="DejaVu Sans Mono"/>
          <w:b w:val="0"/>
          <w:i w:val="0"/>
          <w:sz w:val="17"/>
        </w:rPr>
        <w:t>NUCLEAR_​DEC_​PREMIUM_​GBP_​PER_​MWH = 100</w:t>
      </w:r>
      <w:r>
        <w:rPr>
          <w:b w:val="0"/>
          <w:i w:val="0"/>
        </w:rPr>
        <w:t xml:space="preserve">，进口采用 </w:t>
      </w:r>
      <w:r>
        <w:rPr>
          <w:rFonts w:ascii="DejaVu Sans Mono" w:hAnsi="DejaVu Sans Mono"/>
          <w:b w:val="0"/>
          <w:i w:val="0"/>
          <w:sz w:val="17"/>
        </w:rPr>
        <w:t>external_price</w:t>
      </w:r>
      <w:r>
        <w:rPr>
          <w:b w:val="0"/>
          <w:i w:val="0"/>
        </w:rPr>
        <w:t>。普通报价行按保留两位小数的避免费用降序排列。</w:t>
      </w:r>
    </w:p>
    <w:p>
      <w:pPr>
        <w:keepNext/>
      </w:pPr>
      <w:r>
        <w:rPr>
          <w:b w:val="0"/>
          <w:i w:val="0"/>
        </w:rPr>
        <w:t xml:space="preserve">燃气与生物质将当期日前接纳出力 </w:t>
      </w:r>
      <w:r>
        <w:drawing>
          <wp:inline xmlns:a="http://schemas.openxmlformats.org/drawingml/2006/main" xmlns:pic="http://schemas.openxmlformats.org/drawingml/2006/picture">
            <wp:extent cx="484409" cy="109044"/>
            <wp:docPr id="75" name="Picture 75"/>
            <wp:cNvGraphicFramePr>
              <a:graphicFrameLocks noChangeAspect="1"/>
            </wp:cNvGraphicFramePr>
            <a:graphic>
              <a:graphicData uri="http://schemas.openxmlformats.org/drawingml/2006/picture">
                <pic:pic>
                  <pic:nvPicPr>
                    <pic:cNvPr id="0" name="eq-075.png"/>
                    <pic:cNvPicPr/>
                  </pic:nvPicPr>
                  <pic:blipFill>
                    <a:blip r:embed="rId82"/>
                    <a:stretch>
                      <a:fillRect/>
                    </a:stretch>
                  </pic:blipFill>
                  <pic:spPr>
                    <a:xfrm>
                      <a:off x="0" y="0"/>
                      <a:ext cx="484409" cy="109044"/>
                    </a:xfrm>
                    <a:prstGeom prst="rect"/>
                  </pic:spPr>
                </pic:pic>
              </a:graphicData>
            </a:graphic>
          </wp:inline>
        </w:drawing>
      </w:r>
      <w:r>
        <w:rPr>
          <w:b w:val="0"/>
          <w:i w:val="0"/>
        </w:rPr>
        <w:t xml:space="preserve"> 拆为不停机段与停机段。在此排序规则中，</w:t>
      </w:r>
      <w:r>
        <w:drawing>
          <wp:inline xmlns:a="http://schemas.openxmlformats.org/drawingml/2006/main" xmlns:pic="http://schemas.openxmlformats.org/drawingml/2006/picture">
            <wp:extent cx="484409" cy="109044"/>
            <wp:docPr id="76" name="Picture 76"/>
            <wp:cNvGraphicFramePr>
              <a:graphicFrameLocks noChangeAspect="1"/>
            </wp:cNvGraphicFramePr>
            <a:graphic>
              <a:graphicData uri="http://schemas.openxmlformats.org/drawingml/2006/picture">
                <pic:pic>
                  <pic:nvPicPr>
                    <pic:cNvPr id="0" name="eq-075.png"/>
                    <pic:cNvPicPr/>
                  </pic:nvPicPr>
                  <pic:blipFill>
                    <a:blip r:embed="rId82"/>
                    <a:stretch>
                      <a:fillRect/>
                    </a:stretch>
                  </pic:blipFill>
                  <pic:spPr>
                    <a:xfrm>
                      <a:off x="0" y="0"/>
                      <a:ext cx="484409" cy="109044"/>
                    </a:xfrm>
                    <a:prstGeom prst="rect"/>
                  </pic:spPr>
                </pic:pic>
              </a:graphicData>
            </a:graphic>
          </wp:inline>
        </w:drawing>
      </w:r>
      <w:r>
        <w:rPr>
          <w:b w:val="0"/>
          <w:i w:val="0"/>
        </w:rPr>
        <w:t xml:space="preserve"> 代表聚合机组在线容量，</w:t>
      </w:r>
      <w:r>
        <w:drawing>
          <wp:inline xmlns:a="http://schemas.openxmlformats.org/drawingml/2006/main" xmlns:pic="http://schemas.openxmlformats.org/drawingml/2006/picture">
            <wp:extent cx="1429270" cy="136221"/>
            <wp:docPr id="77" name="Picture 77"/>
            <wp:cNvGraphicFramePr>
              <a:graphicFrameLocks noChangeAspect="1"/>
            </wp:cNvGraphicFramePr>
            <a:graphic>
              <a:graphicData uri="http://schemas.openxmlformats.org/drawingml/2006/picture">
                <pic:pic>
                  <pic:nvPicPr>
                    <pic:cNvPr id="0" name="eq-077.png"/>
                    <pic:cNvPicPr/>
                  </pic:nvPicPr>
                  <pic:blipFill>
                    <a:blip r:embed="rId83"/>
                    <a:stretch>
                      <a:fillRect/>
                    </a:stretch>
                  </pic:blipFill>
                  <pic:spPr>
                    <a:xfrm>
                      <a:off x="0" y="0"/>
                      <a:ext cx="1429270" cy="136221"/>
                    </a:xfrm>
                    <a:prstGeom prst="rect"/>
                  </pic:spPr>
                </pic:pic>
              </a:graphicData>
            </a:graphic>
          </wp:inline>
        </w:drawing>
      </w:r>
      <w:r>
        <w:rPr>
          <w:b w:val="0"/>
          <w:i w:val="0"/>
        </w:rPr>
        <w:t xml:space="preserve"> 为最小稳定出力比例：</w:t>
      </w:r>
    </w:p>
    <w:p>
      <w:pPr>
        <w:spacing w:after="160"/>
        <w:jc w:val="center"/>
      </w:pPr>
      <w:r>
        <w:drawing>
          <wp:inline xmlns:a="http://schemas.openxmlformats.org/drawingml/2006/main" xmlns:pic="http://schemas.openxmlformats.org/drawingml/2006/picture">
            <wp:extent cx="3599916" cy="621700"/>
            <wp:docPr id="78" name="Picture 78"/>
            <wp:cNvGraphicFramePr>
              <a:graphicFrameLocks noChangeAspect="1"/>
            </wp:cNvGraphicFramePr>
            <a:graphic>
              <a:graphicData uri="http://schemas.openxmlformats.org/drawingml/2006/picture">
                <pic:pic>
                  <pic:nvPicPr>
                    <pic:cNvPr id="0" name="eq-078.png"/>
                    <pic:cNvPicPr/>
                  </pic:nvPicPr>
                  <pic:blipFill>
                    <a:blip r:embed="rId84"/>
                    <a:stretch>
                      <a:fillRect/>
                    </a:stretch>
                  </pic:blipFill>
                  <pic:spPr>
                    <a:xfrm>
                      <a:off x="0" y="0"/>
                      <a:ext cx="3599916" cy="621700"/>
                    </a:xfrm>
                    <a:prstGeom prst="rect"/>
                  </pic:spPr>
                </pic:pic>
              </a:graphicData>
            </a:graphic>
          </wp:inline>
        </w:drawing>
      </w:r>
    </w:p>
    <w:p>
      <w:pPr>
        <w:keepNext/>
      </w:pPr>
      <w:r>
        <w:rPr>
          <w:b w:val="0"/>
          <w:i w:val="0"/>
        </w:rPr>
        <w:t xml:space="preserve">不停机段每 MWh 避免 </w:t>
      </w:r>
      <w:r>
        <w:drawing>
          <wp:inline xmlns:a="http://schemas.openxmlformats.org/drawingml/2006/main" xmlns:pic="http://schemas.openxmlformats.org/drawingml/2006/picture">
            <wp:extent cx="344290" cy="121761"/>
            <wp:docPr id="79" name="Picture 79"/>
            <wp:cNvGraphicFramePr>
              <a:graphicFrameLocks noChangeAspect="1"/>
            </wp:cNvGraphicFramePr>
            <a:graphic>
              <a:graphicData uri="http://schemas.openxmlformats.org/drawingml/2006/picture">
                <pic:pic>
                  <pic:nvPicPr>
                    <pic:cNvPr id="0" name="eq-079.png"/>
                    <pic:cNvPicPr/>
                  </pic:nvPicPr>
                  <pic:blipFill>
                    <a:blip r:embed="rId85"/>
                    <a:stretch>
                      <a:fillRect/>
                    </a:stretch>
                  </pic:blipFill>
                  <pic:spPr>
                    <a:xfrm>
                      <a:off x="0" y="0"/>
                      <a:ext cx="344290" cy="121761"/>
                    </a:xfrm>
                    <a:prstGeom prst="rect"/>
                  </pic:spPr>
                </pic:pic>
              </a:graphicData>
            </a:graphic>
          </wp:inline>
        </w:drawing>
      </w:r>
      <w:r>
        <w:rPr>
          <w:b w:val="0"/>
          <w:i w:val="0"/>
        </w:rPr>
        <w:t xml:space="preserve"> 英镑费用；停机段将预计停机时长 </w:t>
      </w:r>
      <w:r>
        <w:drawing>
          <wp:inline xmlns:a="http://schemas.openxmlformats.org/drawingml/2006/main" xmlns:pic="http://schemas.openxmlformats.org/drawingml/2006/picture">
            <wp:extent cx="676706" cy="119419"/>
            <wp:docPr id="80" name="Picture 80"/>
            <wp:cNvGraphicFramePr>
              <a:graphicFrameLocks noChangeAspect="1"/>
            </wp:cNvGraphicFramePr>
            <a:graphic>
              <a:graphicData uri="http://schemas.openxmlformats.org/drawingml/2006/picture">
                <pic:pic>
                  <pic:nvPicPr>
                    <pic:cNvPr id="0" name="eq-080.png"/>
                    <pic:cNvPicPr/>
                  </pic:nvPicPr>
                  <pic:blipFill>
                    <a:blip r:embed="rId86"/>
                    <a:stretch>
                      <a:fillRect/>
                    </a:stretch>
                  </pic:blipFill>
                  <pic:spPr>
                    <a:xfrm>
                      <a:off x="0" y="0"/>
                      <a:ext cx="676706" cy="119419"/>
                    </a:xfrm>
                    <a:prstGeom prst="rect"/>
                  </pic:spPr>
                </pic:pic>
              </a:graphicData>
            </a:graphic>
          </wp:inline>
        </w:drawing>
      </w:r>
      <w:r>
        <w:rPr>
          <w:b w:val="0"/>
          <w:i w:val="0"/>
        </w:rPr>
        <w:t xml:space="preserve"> 内的节省与重启费用 </w:t>
      </w:r>
      <w:r>
        <w:drawing>
          <wp:inline xmlns:a="http://schemas.openxmlformats.org/drawingml/2006/main" xmlns:pic="http://schemas.openxmlformats.org/drawingml/2006/picture">
            <wp:extent cx="1609902" cy="157217"/>
            <wp:docPr id="81" name="Picture 81"/>
            <wp:cNvGraphicFramePr>
              <a:graphicFrameLocks noChangeAspect="1"/>
            </wp:cNvGraphicFramePr>
            <a:graphic>
              <a:graphicData uri="http://schemas.openxmlformats.org/drawingml/2006/picture">
                <pic:pic>
                  <pic:nvPicPr>
                    <pic:cNvPr id="0" name="eq-081.png"/>
                    <pic:cNvPicPr/>
                  </pic:nvPicPr>
                  <pic:blipFill>
                    <a:blip r:embed="rId87"/>
                    <a:stretch>
                      <a:fillRect/>
                    </a:stretch>
                  </pic:blipFill>
                  <pic:spPr>
                    <a:xfrm>
                      <a:off x="0" y="0"/>
                      <a:ext cx="1609902" cy="157217"/>
                    </a:xfrm>
                    <a:prstGeom prst="rect"/>
                  </pic:spPr>
                </pic:pic>
              </a:graphicData>
            </a:graphic>
          </wp:inline>
        </w:drawing>
      </w:r>
      <w:r>
        <w:rPr>
          <w:b w:val="0"/>
          <w:i w:val="0"/>
        </w:rPr>
        <w:t xml:space="preserve"> 比较，后者按每 MW 装机每次启动计量：</w:t>
      </w:r>
    </w:p>
    <w:p>
      <w:pPr>
        <w:spacing w:after="160"/>
        <w:jc w:val="center"/>
      </w:pPr>
      <w:r>
        <w:drawing>
          <wp:inline xmlns:a="http://schemas.openxmlformats.org/drawingml/2006/main" xmlns:pic="http://schemas.openxmlformats.org/drawingml/2006/picture">
            <wp:extent cx="5253837" cy="605860"/>
            <wp:docPr id="82" name="Picture 82"/>
            <wp:cNvGraphicFramePr>
              <a:graphicFrameLocks noChangeAspect="1"/>
            </wp:cNvGraphicFramePr>
            <a:graphic>
              <a:graphicData uri="http://schemas.openxmlformats.org/drawingml/2006/picture">
                <pic:pic>
                  <pic:nvPicPr>
                    <pic:cNvPr id="0" name="eq-082.png"/>
                    <pic:cNvPicPr/>
                  </pic:nvPicPr>
                  <pic:blipFill>
                    <a:blip r:embed="rId88"/>
                    <a:stretch>
                      <a:fillRect/>
                    </a:stretch>
                  </pic:blipFill>
                  <pic:spPr>
                    <a:xfrm>
                      <a:off x="0" y="0"/>
                      <a:ext cx="5253837" cy="605860"/>
                    </a:xfrm>
                    <a:prstGeom prst="rect"/>
                  </pic:spPr>
                </pic:pic>
              </a:graphicData>
            </a:graphic>
          </wp:inline>
        </w:drawing>
      </w:r>
    </w:p>
    <w:p>
      <w:r>
        <w:rPr>
          <w:rFonts w:ascii="DejaVu Sans Mono" w:hAnsi="DejaVu Sans Mono"/>
          <w:b w:val="0"/>
          <w:i w:val="0"/>
          <w:sz w:val="17"/>
        </w:rPr>
        <w:t>SurplusOutlook.run_​after</w:t>
      </w:r>
      <w:r>
        <w:rPr>
          <w:b w:val="0"/>
          <w:i w:val="0"/>
        </w:rPr>
        <w:t xml:space="preserve"> 统计当前期之后连续满足“预测需求不高于预测风光加核电可用量”的期数，当前下调期另计一期。缺少注入可用率数组时，</w:t>
      </w:r>
      <w:r>
        <w:rPr>
          <w:rFonts w:ascii="DejaVu Sans Mono" w:hAnsi="DejaVu Sans Mono"/>
          <w:b w:val="0"/>
          <w:i w:val="0"/>
          <w:sz w:val="17"/>
        </w:rPr>
        <w:t>horizon_h = 0.5</w:t>
      </w:r>
      <w:r>
        <w:rPr>
          <w:b w:val="0"/>
          <w:i w:val="0"/>
        </w:rPr>
        <w:t xml:space="preserve"> h。在稳定出力比例处减少 1 MW，需要停运 </w:t>
      </w:r>
      <w:r>
        <w:rPr>
          <w:rFonts w:ascii="DejaVu Sans Mono" w:hAnsi="DejaVu Sans Mono"/>
          <w:b w:val="0"/>
          <w:i w:val="0"/>
          <w:sz w:val="17"/>
        </w:rPr>
        <w:t>1 / min_stable_fraction</w:t>
      </w:r>
      <w:r>
        <w:rPr>
          <w:b w:val="0"/>
          <w:i w:val="0"/>
        </w:rPr>
        <w:t xml:space="preserve"> MW 装机；重启比较因此将费用除以该比例及预计停机时长。</w:t>
      </w:r>
    </w:p>
    <w:p>
      <w:r>
        <w:rPr>
          <w:b w:val="0"/>
          <w:i w:val="0"/>
        </w:rPr>
        <w:t xml:space="preserve">当 </w:t>
      </w:r>
      <w:r>
        <w:drawing>
          <wp:inline xmlns:a="http://schemas.openxmlformats.org/drawingml/2006/main" xmlns:pic="http://schemas.openxmlformats.org/drawingml/2006/picture">
            <wp:extent cx="2223185" cy="134104"/>
            <wp:docPr id="83" name="Picture 83"/>
            <wp:cNvGraphicFramePr>
              <a:graphicFrameLocks noChangeAspect="1"/>
            </wp:cNvGraphicFramePr>
            <a:graphic>
              <a:graphicData uri="http://schemas.openxmlformats.org/drawingml/2006/picture">
                <pic:pic>
                  <pic:nvPicPr>
                    <pic:cNvPr id="0" name="eq-083.png"/>
                    <pic:cNvPicPr/>
                  </pic:nvPicPr>
                  <pic:blipFill>
                    <a:blip r:embed="rId89"/>
                    <a:stretch>
                      <a:fillRect/>
                    </a:stretch>
                  </pic:blipFill>
                  <pic:spPr>
                    <a:xfrm>
                      <a:off x="0" y="0"/>
                      <a:ext cx="2223185" cy="134104"/>
                    </a:xfrm>
                    <a:prstGeom prst="rect"/>
                  </pic:spPr>
                </pic:pic>
              </a:graphicData>
            </a:graphic>
          </wp:inline>
        </w:drawing>
      </w:r>
      <w:r>
        <w:rPr>
          <w:b w:val="0"/>
          <w:i w:val="0"/>
        </w:rPr>
        <w:t xml:space="preserve"> 时，停机段与其他资源按净节省降序排列。</w:t>
      </w:r>
      <w:r>
        <w:drawing>
          <wp:inline xmlns:a="http://schemas.openxmlformats.org/drawingml/2006/main" xmlns:pic="http://schemas.openxmlformats.org/drawingml/2006/picture">
            <wp:extent cx="506901" cy="144530"/>
            <wp:docPr id="84" name="Picture 84"/>
            <wp:cNvGraphicFramePr>
              <a:graphicFrameLocks noChangeAspect="1"/>
            </wp:cNvGraphicFramePr>
            <a:graphic>
              <a:graphicData uri="http://schemas.openxmlformats.org/drawingml/2006/picture">
                <pic:pic>
                  <pic:nvPicPr>
                    <pic:cNvPr id="0" name="eq-084.png"/>
                    <pic:cNvPicPr/>
                  </pic:nvPicPr>
                  <pic:blipFill>
                    <a:blip r:embed="rId90"/>
                    <a:stretch>
                      <a:fillRect/>
                    </a:stretch>
                  </pic:blipFill>
                  <pic:spPr>
                    <a:xfrm>
                      <a:off x="0" y="0"/>
                      <a:ext cx="506901" cy="144530"/>
                    </a:xfrm>
                    <a:prstGeom prst="rect"/>
                  </pic:spPr>
                </pic:pic>
              </a:graphicData>
            </a:graphic>
          </wp:inline>
        </w:drawing>
      </w:r>
      <w:r>
        <w:rPr>
          <w:b w:val="0"/>
          <w:i w:val="0"/>
        </w:rPr>
        <w:t xml:space="preserve"> 为正时排在零成本风光之前；为零或负时排在风光之后，取整后同值也按风光在前处理。当 </w:t>
      </w:r>
      <w:r>
        <w:drawing>
          <wp:inline xmlns:a="http://schemas.openxmlformats.org/drawingml/2006/main" xmlns:pic="http://schemas.openxmlformats.org/drawingml/2006/picture">
            <wp:extent cx="2223185" cy="134104"/>
            <wp:docPr id="85" name="Picture 85"/>
            <wp:cNvGraphicFramePr>
              <a:graphicFrameLocks noChangeAspect="1"/>
            </wp:cNvGraphicFramePr>
            <a:graphic>
              <a:graphicData uri="http://schemas.openxmlformats.org/drawingml/2006/picture">
                <pic:pic>
                  <pic:nvPicPr>
                    <pic:cNvPr id="0" name="eq-085.png"/>
                    <pic:cNvPicPr/>
                  </pic:nvPicPr>
                  <pic:blipFill>
                    <a:blip r:embed="rId91"/>
                    <a:stretch>
                      <a:fillRect/>
                    </a:stretch>
                  </pic:blipFill>
                  <pic:spPr>
                    <a:xfrm>
                      <a:off x="0" y="0"/>
                      <a:ext cx="2223185" cy="134104"/>
                    </a:xfrm>
                    <a:prstGeom prst="rect"/>
                  </pic:spPr>
                </pic:pic>
              </a:graphicData>
            </a:graphic>
          </wp:inline>
        </w:drawing>
      </w:r>
      <w:r>
        <w:rPr>
          <w:b w:val="0"/>
          <w:i w:val="0"/>
        </w:rPr>
        <w:t xml:space="preserve"> 时，该段排在其他全部可下调资源之后。这些量共同定义连续出力的排序规则；物理费用账户采用前文启动报价加价 </w:t>
      </w:r>
      <w:r>
        <w:drawing>
          <wp:inline xmlns:a="http://schemas.openxmlformats.org/drawingml/2006/main" xmlns:pic="http://schemas.openxmlformats.org/drawingml/2006/picture">
            <wp:extent cx="905535" cy="134153"/>
            <wp:docPr id="86" name="Picture 86"/>
            <wp:cNvGraphicFramePr>
              <a:graphicFrameLocks noChangeAspect="1"/>
            </wp:cNvGraphicFramePr>
            <a:graphic>
              <a:graphicData uri="http://schemas.openxmlformats.org/drawingml/2006/picture">
                <pic:pic>
                  <pic:nvPicPr>
                    <pic:cNvPr id="0" name="eq-044.png"/>
                    <pic:cNvPicPr/>
                  </pic:nvPicPr>
                  <pic:blipFill>
                    <a:blip r:embed="rId54"/>
                    <a:stretch>
                      <a:fillRect/>
                    </a:stretch>
                  </pic:blipFill>
                  <pic:spPr>
                    <a:xfrm>
                      <a:off x="0" y="0"/>
                      <a:ext cx="905535" cy="134153"/>
                    </a:xfrm>
                    <a:prstGeom prst="rect"/>
                  </pic:spPr>
                </pic:pic>
              </a:graphicData>
            </a:graphic>
          </wp:inline>
        </w:drawing>
      </w:r>
      <w:r>
        <w:rPr>
          <w:b w:val="0"/>
          <w:i w:val="0"/>
        </w:rPr>
        <w: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3469"/>
        <w:gridCol w:w="2372"/>
        <w:gridCol w:w="2314"/>
      </w:tblGrid>
      <w:tr>
        <w:trPr>
          <w:cantSplit/>
          <w:tblHeader w:val="true"/>
        </w:trPr>
        <w:tc>
          <w:tcPr>
            <w:tcW w:type="dxa" w:w="1637"/>
            <w:vAlign w:val="center"/>
            <w:tcMar>
              <w:top w:w="90" w:type="dxa"/>
              <w:left w:w="90" w:type="dxa"/>
              <w:bottom w:w="90" w:type="dxa"/>
              <w:right w:w="90" w:type="dxa"/>
            </w:tcMar>
            <w:shd w:fill="EEEEEE"/>
          </w:tcPr>
          <w:p>
            <w:pPr>
              <w:spacing w:after="40" w:line="276" w:lineRule="auto"/>
            </w:pPr>
            <w:r>
              <w:rPr>
                <w:b/>
                <w:i w:val="0"/>
                <w:sz w:val="18"/>
              </w:rPr>
              <w:t>技术</w:t>
            </w:r>
          </w:p>
        </w:tc>
        <w:tc>
          <w:tcPr>
            <w:tcW w:type="dxa" w:w="3469"/>
            <w:vAlign w:val="center"/>
            <w:tcMar>
              <w:top w:w="90" w:type="dxa"/>
              <w:left w:w="90" w:type="dxa"/>
              <w:bottom w:w="90" w:type="dxa"/>
              <w:right w:w="90" w:type="dxa"/>
            </w:tcMar>
            <w:shd w:fill="EEEEEE"/>
          </w:tcPr>
          <w:p>
            <w:pPr>
              <w:spacing w:after="40" w:line="276" w:lineRule="auto"/>
            </w:pPr>
            <w:r>
              <w:rPr>
                <w:b/>
                <w:i w:val="0"/>
                <w:sz w:val="18"/>
              </w:rPr>
              <w:t>热／温／冷重启费用，2025 年 GBP/MW</w:t>
            </w:r>
          </w:p>
        </w:tc>
        <w:tc>
          <w:tcPr>
            <w:tcW w:type="dxa" w:w="2372"/>
            <w:vAlign w:val="center"/>
            <w:tcMar>
              <w:top w:w="90" w:type="dxa"/>
              <w:left w:w="90" w:type="dxa"/>
              <w:bottom w:w="90" w:type="dxa"/>
              <w:right w:w="90" w:type="dxa"/>
            </w:tcMar>
            <w:shd w:fill="EEEEEE"/>
          </w:tcPr>
          <w:p>
            <w:pPr>
              <w:spacing w:after="40" w:line="276" w:lineRule="auto"/>
            </w:pPr>
            <w:r>
              <w:rPr>
                <w:b/>
                <w:i w:val="0"/>
                <w:sz w:val="18"/>
              </w:rPr>
              <w:t>最小稳定出力比例</w:t>
            </w:r>
          </w:p>
        </w:tc>
        <w:tc>
          <w:tcPr>
            <w:tcW w:type="dxa" w:w="2314"/>
            <w:vAlign w:val="center"/>
            <w:tcMar>
              <w:top w:w="90" w:type="dxa"/>
              <w:left w:w="90" w:type="dxa"/>
              <w:bottom w:w="90" w:type="dxa"/>
              <w:right w:w="90" w:type="dxa"/>
            </w:tcMar>
            <w:shd w:fill="EEEEEE"/>
          </w:tcPr>
          <w:p>
            <w:pPr>
              <w:spacing w:after="40" w:line="276" w:lineRule="auto"/>
            </w:pPr>
            <w:r>
              <w:rPr>
                <w:b/>
                <w:i w:val="0"/>
                <w:sz w:val="18"/>
              </w:rPr>
              <w:t>最短停机时间，h</w:t>
            </w:r>
          </w:p>
        </w:tc>
      </w:tr>
      <w:tr>
        <w:trPr>
          <w:cantSplit/>
        </w:trPr>
        <w:tc>
          <w:tcPr>
            <w:tcW w:type="dxa" w:w="1637"/>
            <w:vAlign w:val="center"/>
            <w:tcMar>
              <w:top w:w="90" w:type="dxa"/>
              <w:left w:w="90" w:type="dxa"/>
              <w:bottom w:w="90" w:type="dxa"/>
              <w:right w:w="90" w:type="dxa"/>
            </w:tcMar>
          </w:tcPr>
          <w:p>
            <w:pPr>
              <w:spacing w:after="40" w:line="276" w:lineRule="auto"/>
            </w:pPr>
            <w:r>
              <w:rPr>
                <w:b w:val="0"/>
                <w:i w:val="0"/>
                <w:sz w:val="18"/>
              </w:rPr>
              <w:t>CCGT</w:t>
            </w:r>
          </w:p>
        </w:tc>
        <w:tc>
          <w:tcPr>
            <w:tcW w:type="dxa" w:w="3469"/>
            <w:vAlign w:val="center"/>
            <w:tcMar>
              <w:top w:w="90" w:type="dxa"/>
              <w:left w:w="90" w:type="dxa"/>
              <w:bottom w:w="90" w:type="dxa"/>
              <w:right w:w="90" w:type="dxa"/>
            </w:tcMar>
          </w:tcPr>
          <w:p>
            <w:pPr>
              <w:spacing w:after="40" w:line="276" w:lineRule="auto"/>
            </w:pPr>
            <w:r>
              <w:rPr>
                <w:b w:val="0"/>
                <w:i w:val="0"/>
                <w:sz w:val="18"/>
              </w:rPr>
              <w:t>113.7 / 134.4 / 155.0</w:t>
            </w:r>
          </w:p>
        </w:tc>
        <w:tc>
          <w:tcPr>
            <w:tcW w:type="dxa" w:w="2372"/>
            <w:vAlign w:val="center"/>
            <w:tcMar>
              <w:top w:w="90" w:type="dxa"/>
              <w:left w:w="90" w:type="dxa"/>
              <w:bottom w:w="90" w:type="dxa"/>
              <w:right w:w="90" w:type="dxa"/>
            </w:tcMar>
          </w:tcPr>
          <w:p>
            <w:pPr>
              <w:spacing w:after="40" w:line="276" w:lineRule="auto"/>
            </w:pPr>
            <w:r>
              <w:rPr>
                <w:b w:val="0"/>
                <w:i w:val="0"/>
                <w:sz w:val="18"/>
              </w:rPr>
              <w:t>0.50</w:t>
            </w:r>
          </w:p>
        </w:tc>
        <w:tc>
          <w:tcPr>
            <w:tcW w:type="dxa" w:w="2314"/>
            <w:vAlign w:val="center"/>
            <w:tcMar>
              <w:top w:w="90" w:type="dxa"/>
              <w:left w:w="90" w:type="dxa"/>
              <w:bottom w:w="90" w:type="dxa"/>
              <w:right w:w="90" w:type="dxa"/>
            </w:tcMar>
          </w:tcPr>
          <w:p>
            <w:pPr>
              <w:spacing w:after="40" w:line="276" w:lineRule="auto"/>
            </w:pPr>
            <w:r>
              <w:rPr>
                <w:b w:val="0"/>
                <w:i w:val="0"/>
                <w:sz w:val="18"/>
              </w:rPr>
              <w:t>6</w:t>
            </w:r>
          </w:p>
        </w:tc>
      </w:tr>
      <w:tr>
        <w:trPr>
          <w:cantSplit/>
        </w:trPr>
        <w:tc>
          <w:tcPr>
            <w:tcW w:type="dxa" w:w="1637"/>
            <w:vAlign w:val="center"/>
            <w:tcMar>
              <w:top w:w="90" w:type="dxa"/>
              <w:left w:w="90" w:type="dxa"/>
              <w:bottom w:w="90" w:type="dxa"/>
              <w:right w:w="90" w:type="dxa"/>
            </w:tcMar>
          </w:tcPr>
          <w:p>
            <w:pPr>
              <w:spacing w:after="40" w:line="276" w:lineRule="auto"/>
            </w:pPr>
            <w:r>
              <w:rPr>
                <w:b w:val="0"/>
                <w:i w:val="0"/>
                <w:sz w:val="18"/>
              </w:rPr>
              <w:t>OCGT</w:t>
            </w:r>
          </w:p>
        </w:tc>
        <w:tc>
          <w:tcPr>
            <w:tcW w:type="dxa" w:w="3469"/>
            <w:vAlign w:val="center"/>
            <w:tcMar>
              <w:top w:w="90" w:type="dxa"/>
              <w:left w:w="90" w:type="dxa"/>
              <w:bottom w:w="90" w:type="dxa"/>
              <w:right w:w="90" w:type="dxa"/>
            </w:tcMar>
          </w:tcPr>
          <w:p>
            <w:pPr>
              <w:spacing w:after="40" w:line="276" w:lineRule="auto"/>
            </w:pPr>
            <w:r>
              <w:rPr>
                <w:b w:val="0"/>
                <w:i w:val="0"/>
                <w:sz w:val="18"/>
              </w:rPr>
              <w:t>175.7 / 175.7 / 175.7</w:t>
            </w:r>
          </w:p>
        </w:tc>
        <w:tc>
          <w:tcPr>
            <w:tcW w:type="dxa" w:w="2372"/>
            <w:vAlign w:val="center"/>
            <w:tcMar>
              <w:top w:w="90" w:type="dxa"/>
              <w:left w:w="90" w:type="dxa"/>
              <w:bottom w:w="90" w:type="dxa"/>
              <w:right w:w="90" w:type="dxa"/>
            </w:tcMar>
          </w:tcPr>
          <w:p>
            <w:pPr>
              <w:spacing w:after="40" w:line="276" w:lineRule="auto"/>
            </w:pPr>
            <w:r>
              <w:rPr>
                <w:b w:val="0"/>
                <w:i w:val="0"/>
                <w:sz w:val="18"/>
              </w:rPr>
              <w:t>0.50</w:t>
            </w:r>
          </w:p>
        </w:tc>
        <w:tc>
          <w:tcPr>
            <w:tcW w:type="dxa" w:w="2314"/>
            <w:vAlign w:val="center"/>
            <w:tcMar>
              <w:top w:w="90" w:type="dxa"/>
              <w:left w:w="90" w:type="dxa"/>
              <w:bottom w:w="90" w:type="dxa"/>
              <w:right w:w="90" w:type="dxa"/>
            </w:tcMar>
          </w:tcPr>
          <w:p>
            <w:pPr>
              <w:spacing w:after="40" w:line="276" w:lineRule="auto"/>
            </w:pPr>
            <w:r>
              <w:rPr>
                <w:b w:val="0"/>
                <w:i w:val="0"/>
                <w:sz w:val="18"/>
              </w:rPr>
              <w:t>0.5</w:t>
            </w:r>
          </w:p>
        </w:tc>
      </w:tr>
      <w:tr>
        <w:trPr>
          <w:cantSplit/>
        </w:trPr>
        <w:tc>
          <w:tcPr>
            <w:tcW w:type="dxa" w:w="1637"/>
            <w:vAlign w:val="center"/>
            <w:tcMar>
              <w:top w:w="90" w:type="dxa"/>
              <w:left w:w="90" w:type="dxa"/>
              <w:bottom w:w="90" w:type="dxa"/>
              <w:right w:w="90" w:type="dxa"/>
            </w:tcMar>
          </w:tcPr>
          <w:p>
            <w:pPr>
              <w:spacing w:after="40" w:line="276" w:lineRule="auto"/>
            </w:pPr>
            <w:r>
              <w:rPr>
                <w:b w:val="0"/>
                <w:i w:val="0"/>
                <w:sz w:val="18"/>
              </w:rPr>
              <w:t>生物质</w:t>
            </w:r>
          </w:p>
        </w:tc>
        <w:tc>
          <w:tcPr>
            <w:tcW w:type="dxa" w:w="3469"/>
            <w:vAlign w:val="center"/>
            <w:tcMar>
              <w:top w:w="90" w:type="dxa"/>
              <w:left w:w="90" w:type="dxa"/>
              <w:bottom w:w="90" w:type="dxa"/>
              <w:right w:w="90" w:type="dxa"/>
            </w:tcMar>
          </w:tcPr>
          <w:p>
            <w:pPr>
              <w:spacing w:after="40" w:line="276" w:lineRule="auto"/>
            </w:pPr>
            <w:r>
              <w:rPr>
                <w:b w:val="0"/>
                <w:i w:val="0"/>
                <w:sz w:val="18"/>
              </w:rPr>
              <w:t>129.2 / 129.2 / 129.2</w:t>
            </w:r>
          </w:p>
        </w:tc>
        <w:tc>
          <w:tcPr>
            <w:tcW w:type="dxa" w:w="2372"/>
            <w:vAlign w:val="center"/>
            <w:tcMar>
              <w:top w:w="90" w:type="dxa"/>
              <w:left w:w="90" w:type="dxa"/>
              <w:bottom w:w="90" w:type="dxa"/>
              <w:right w:w="90" w:type="dxa"/>
            </w:tcMar>
          </w:tcPr>
          <w:p>
            <w:pPr>
              <w:spacing w:after="40" w:line="276" w:lineRule="auto"/>
            </w:pPr>
            <w:r>
              <w:rPr>
                <w:b w:val="0"/>
                <w:i w:val="0"/>
                <w:sz w:val="18"/>
              </w:rPr>
              <w:t>0.35</w:t>
            </w:r>
          </w:p>
        </w:tc>
        <w:tc>
          <w:tcPr>
            <w:tcW w:type="dxa" w:w="2314"/>
            <w:vAlign w:val="center"/>
            <w:tcMar>
              <w:top w:w="90" w:type="dxa"/>
              <w:left w:w="90" w:type="dxa"/>
              <w:bottom w:w="90" w:type="dxa"/>
              <w:right w:w="90" w:type="dxa"/>
            </w:tcMar>
          </w:tcPr>
          <w:p>
            <w:pPr>
              <w:spacing w:after="40" w:line="276" w:lineRule="auto"/>
            </w:pPr>
            <w:r>
              <w:rPr>
                <w:b w:val="0"/>
                <w:i w:val="0"/>
                <w:sz w:val="18"/>
              </w:rPr>
              <w:t>6</w:t>
            </w:r>
          </w:p>
        </w:tc>
      </w:tr>
    </w:tbl>
    <w:p>
      <w:pPr>
        <w:spacing w:after="20"/>
      </w:pPr>
    </w:p>
    <w:p>
      <w:r>
        <w:rPr>
          <w:b w:val="0"/>
          <w:i w:val="0"/>
        </w:rPr>
        <w:t xml:space="preserve">CCGT 在 </w:t>
      </w:r>
      <w:r>
        <w:drawing>
          <wp:inline xmlns:a="http://schemas.openxmlformats.org/drawingml/2006/main" xmlns:pic="http://schemas.openxmlformats.org/drawingml/2006/picture">
            <wp:extent cx="1045444" cy="119419"/>
            <wp:docPr id="87" name="Picture 87"/>
            <wp:cNvGraphicFramePr>
              <a:graphicFrameLocks noChangeAspect="1"/>
            </wp:cNvGraphicFramePr>
            <a:graphic>
              <a:graphicData uri="http://schemas.openxmlformats.org/drawingml/2006/picture">
                <pic:pic>
                  <pic:nvPicPr>
                    <pic:cNvPr id="0" name="eq-087.png"/>
                    <pic:cNvPicPr/>
                  </pic:nvPicPr>
                  <pic:blipFill>
                    <a:blip r:embed="rId92"/>
                    <a:stretch>
                      <a:fillRect/>
                    </a:stretch>
                  </pic:blipFill>
                  <pic:spPr>
                    <a:xfrm>
                      <a:off x="0" y="0"/>
                      <a:ext cx="1045444" cy="119419"/>
                    </a:xfrm>
                    <a:prstGeom prst="rect"/>
                  </pic:spPr>
                </pic:pic>
              </a:graphicData>
            </a:graphic>
          </wp:inline>
        </w:drawing>
      </w:r>
      <w:r>
        <w:rPr>
          <w:b w:val="0"/>
          <w:i w:val="0"/>
        </w:rPr>
        <w:t xml:space="preserve"> h 时采用热启动值，</w:t>
      </w:r>
      <w:r>
        <w:drawing>
          <wp:inline xmlns:a="http://schemas.openxmlformats.org/drawingml/2006/main" xmlns:pic="http://schemas.openxmlformats.org/drawingml/2006/picture">
            <wp:extent cx="1414252" cy="131997"/>
            <wp:docPr id="88" name="Picture 88"/>
            <wp:cNvGraphicFramePr>
              <a:graphicFrameLocks noChangeAspect="1"/>
            </wp:cNvGraphicFramePr>
            <a:graphic>
              <a:graphicData uri="http://schemas.openxmlformats.org/drawingml/2006/picture">
                <pic:pic>
                  <pic:nvPicPr>
                    <pic:cNvPr id="0" name="eq-088.png"/>
                    <pic:cNvPicPr/>
                  </pic:nvPicPr>
                  <pic:blipFill>
                    <a:blip r:embed="rId93"/>
                    <a:stretch>
                      <a:fillRect/>
                    </a:stretch>
                  </pic:blipFill>
                  <pic:spPr>
                    <a:xfrm>
                      <a:off x="0" y="0"/>
                      <a:ext cx="1414252" cy="131997"/>
                    </a:xfrm>
                    <a:prstGeom prst="rect"/>
                  </pic:spPr>
                </pic:pic>
              </a:graphicData>
            </a:graphic>
          </wp:inline>
        </w:drawing>
      </w:r>
      <w:r>
        <w:rPr>
          <w:b w:val="0"/>
          <w:i w:val="0"/>
        </w:rPr>
        <w:t xml:space="preserve"> h 时采用温启动值，</w:t>
      </w:r>
      <w:r>
        <w:drawing>
          <wp:inline xmlns:a="http://schemas.openxmlformats.org/drawingml/2006/main" xmlns:pic="http://schemas.openxmlformats.org/drawingml/2006/picture">
            <wp:extent cx="1045444" cy="119419"/>
            <wp:docPr id="89" name="Picture 89"/>
            <wp:cNvGraphicFramePr>
              <a:graphicFrameLocks noChangeAspect="1"/>
            </wp:cNvGraphicFramePr>
            <a:graphic>
              <a:graphicData uri="http://schemas.openxmlformats.org/drawingml/2006/picture">
                <pic:pic>
                  <pic:nvPicPr>
                    <pic:cNvPr id="0" name="eq-089.png"/>
                    <pic:cNvPicPr/>
                  </pic:nvPicPr>
                  <pic:blipFill>
                    <a:blip r:embed="rId94"/>
                    <a:stretch>
                      <a:fillRect/>
                    </a:stretch>
                  </pic:blipFill>
                  <pic:spPr>
                    <a:xfrm>
                      <a:off x="0" y="0"/>
                      <a:ext cx="1045444" cy="119419"/>
                    </a:xfrm>
                    <a:prstGeom prst="rect"/>
                  </pic:spPr>
                </pic:pic>
              </a:graphicData>
            </a:graphic>
          </wp:inline>
        </w:drawing>
      </w:r>
      <w:r>
        <w:rPr>
          <w:b w:val="0"/>
          <w:i w:val="0"/>
        </w:rPr>
        <w:t xml:space="preserve"> h 时采用冷启动值。</w:t>
      </w:r>
      <w:r>
        <w:rPr>
          <w:rFonts w:ascii="DejaVu Sans Mono" w:hAnsi="DejaVu Sans Mono"/>
          <w:b w:val="0"/>
          <w:i w:val="0"/>
          <w:sz w:val="17"/>
        </w:rPr>
        <w:t>value_​thermal_​restart_​v1.json</w:t>
      </w:r>
      <w:r>
        <w:rPr>
          <w:b w:val="0"/>
          <w:i w:val="0"/>
        </w:rPr>
        <w:t xml:space="preserve"> 综合 </w:t>
      </w:r>
      <w:r>
        <w:rPr>
          <w:b w:val="0"/>
          <w:i w:val="0"/>
        </w:rPr>
        <w:t>Kumar 等（2012）</w:t>
      </w:r>
      <w:r>
        <w:rPr>
          <w:b w:val="0"/>
          <w:i w:val="0"/>
        </w:rPr>
        <w:t xml:space="preserve"> 的循环磨损估计与 </w:t>
      </w:r>
      <w:r>
        <w:rPr>
          <w:b w:val="0"/>
          <w:i w:val="0"/>
        </w:rPr>
        <w:t>Staffell 和 Green（2016）</w:t>
      </w:r>
      <w:r>
        <w:rPr>
          <w:b w:val="0"/>
          <w:i w:val="0"/>
        </w:rPr>
        <w:t xml:space="preserve"> 的 GB 启动燃料和碳费用估计。最小出力和停机时间参考 Elexon 申报值及参数表记录的技术资料。参数表以 </w:t>
      </w:r>
      <w:r>
        <w:rPr>
          <w:b w:val="0"/>
          <w:i w:val="0"/>
        </w:rPr>
        <w:t>ONS CPI D7BT</w:t>
      </w:r>
      <w:r>
        <w:rPr>
          <w:b w:val="0"/>
          <w:i w:val="0"/>
        </w:rPr>
        <w:t xml:space="preserve"> 的 </w:t>
      </w:r>
      <w:r>
        <w:drawing>
          <wp:inline xmlns:a="http://schemas.openxmlformats.org/drawingml/2006/main" xmlns:pic="http://schemas.openxmlformats.org/drawingml/2006/picture">
            <wp:extent cx="799014" cy="157286"/>
            <wp:docPr id="90" name="Picture 90"/>
            <wp:cNvGraphicFramePr>
              <a:graphicFrameLocks noChangeAspect="1"/>
            </wp:cNvGraphicFramePr>
            <a:graphic>
              <a:graphicData uri="http://schemas.openxmlformats.org/drawingml/2006/picture">
                <pic:pic>
                  <pic:nvPicPr>
                    <pic:cNvPr id="0" name="eq-090.png"/>
                    <pic:cNvPicPr/>
                  </pic:nvPicPr>
                  <pic:blipFill>
                    <a:blip r:embed="rId95"/>
                    <a:stretch>
                      <a:fillRect/>
                    </a:stretch>
                  </pic:blipFill>
                  <pic:spPr>
                    <a:xfrm>
                      <a:off x="0" y="0"/>
                      <a:ext cx="799014" cy="157286"/>
                    </a:xfrm>
                    <a:prstGeom prst="rect"/>
                  </pic:spPr>
                </pic:pic>
              </a:graphicData>
            </a:graphic>
          </wp:inline>
        </w:drawing>
      </w:r>
      <w:r>
        <w:rPr>
          <w:b w:val="0"/>
          <w:i w:val="0"/>
        </w:rPr>
        <w:t xml:space="preserve"> 将选定的 2024 年英镑值换算为 2025 年英镑，并将重启费用保留一位小数；记录的换算系数为 1.0336。</w:t>
      </w:r>
    </w:p>
    <w:p>
      <w:r>
        <w:rPr>
          <w:rFonts w:ascii="DejaVu Sans Mono" w:hAnsi="DejaVu Sans Mono"/>
          <w:b w:val="0"/>
          <w:i w:val="0"/>
          <w:sz w:val="17"/>
        </w:rPr>
        <w:t>RestartParameters.break_​even_​hours</w:t>
      </w:r>
      <w:r>
        <w:rPr>
          <w:b w:val="0"/>
          <w:i w:val="0"/>
        </w:rPr>
        <w:t xml:space="preserve"> 将重启费用除以 </w:t>
      </w:r>
      <w:r>
        <w:rPr>
          <w:rFonts w:ascii="DejaVu Sans Mono" w:hAnsi="DejaVu Sans Mono"/>
          <w:b w:val="0"/>
          <w:i w:val="0"/>
          <w:sz w:val="17"/>
        </w:rPr>
        <w:t>min_stable_fraction</w:t>
      </w:r>
      <w:r>
        <w:rPr>
          <w:b w:val="0"/>
          <w:i w:val="0"/>
        </w:rPr>
        <w:t xml:space="preserve"> 与避免费用的乘积。按 GB 运行费用，热启动 CCGT、OCGT、生物质的盈亏平衡时长分别为 4.13 h、4.69 h、4.34 h。因此，满足 6 h 条件的 CCGT 和生物质停机段具有正净节省，OCGT 在半小时时钟上从 5 h 开始取得正净节省。CCGT 六小时停机对应的费用边界为 113.7 / (0.5 × 6) = 37.9 £/MWh。</w:t>
      </w:r>
    </w:p>
    <w:p>
      <w:pPr>
        <w:keepNext/>
      </w:pPr>
      <w:r>
        <w:rPr>
          <w:b w:val="0"/>
          <w:i w:val="0"/>
        </w:rPr>
        <w:t>相同的取整净节省依次采用类别值：火电 0、进口 0.5、水电与生物质 1、风光 2、停机段 2.5、核电 3，再按名称和输入顺序排列。每次接纳的下调量消耗一次剩余需求：</w:t>
      </w:r>
    </w:p>
    <w:p>
      <w:pPr>
        <w:spacing w:after="160"/>
        <w:jc w:val="center"/>
      </w:pPr>
      <w:r>
        <w:drawing>
          <wp:inline xmlns:a="http://schemas.openxmlformats.org/drawingml/2006/main" xmlns:pic="http://schemas.openxmlformats.org/drawingml/2006/picture">
            <wp:extent cx="3219678" cy="621983"/>
            <wp:docPr id="91" name="Picture 91"/>
            <wp:cNvGraphicFramePr>
              <a:graphicFrameLocks noChangeAspect="1"/>
            </wp:cNvGraphicFramePr>
            <a:graphic>
              <a:graphicData uri="http://schemas.openxmlformats.org/drawingml/2006/picture">
                <pic:pic>
                  <pic:nvPicPr>
                    <pic:cNvPr id="0" name="eq-091.png"/>
                    <pic:cNvPicPr/>
                  </pic:nvPicPr>
                  <pic:blipFill>
                    <a:blip r:embed="rId96"/>
                    <a:stretch>
                      <a:fillRect/>
                    </a:stretch>
                  </pic:blipFill>
                  <pic:spPr>
                    <a:xfrm>
                      <a:off x="0" y="0"/>
                      <a:ext cx="3219678" cy="621983"/>
                    </a:xfrm>
                    <a:prstGeom prst="rect"/>
                  </pic:spPr>
                </pic:pic>
              </a:graphicData>
            </a:graphic>
          </wp:inline>
        </w:drawing>
      </w:r>
    </w:p>
    <w:p>
      <w:r>
        <w:rPr>
          <w:rFonts w:ascii="DejaVu Sans Mono" w:hAnsi="DejaVu Sans Mono"/>
          <w:b w:val="0"/>
          <w:i w:val="0"/>
          <w:sz w:val="17"/>
        </w:rPr>
        <w:t>limit</w:t>
      </w:r>
      <w:r>
        <w:rPr>
          <w:b w:val="0"/>
          <w:i w:val="0"/>
        </w:rPr>
        <w:t xml:space="preserve"> 为报价段可下调 MW，</w:t>
      </w:r>
      <w:r>
        <w:rPr>
          <w:rFonts w:ascii="DejaVu Sans Mono" w:hAnsi="DejaVu Sans Mono"/>
          <w:b w:val="0"/>
          <w:i w:val="0"/>
          <w:sz w:val="17"/>
        </w:rPr>
        <w:t>item[2]</w:t>
      </w:r>
      <w:r>
        <w:rPr>
          <w:b w:val="0"/>
          <w:i w:val="0"/>
        </w:rPr>
        <w:t xml:space="preserve"> 为该行剩余接纳出力，</w:t>
      </w:r>
      <w:r>
        <w:rPr>
          <w:rFonts w:ascii="DejaVu Sans Mono" w:hAnsi="DejaVu Sans Mono"/>
          <w:b w:val="0"/>
          <w:i w:val="0"/>
          <w:sz w:val="17"/>
        </w:rPr>
        <w:t>remaining</w:t>
      </w:r>
      <w:r>
        <w:rPr>
          <w:b w:val="0"/>
          <w:i w:val="0"/>
        </w:rPr>
        <w:t xml:space="preserve"> 为尚需下调的量。水电与生物质将下调量返回累计预算，受爬坡下限保留的出力记为调度内溢出。</w:t>
      </w:r>
      <w:r>
        <w:rPr>
          <w:rFonts w:ascii="DejaVu Sans Mono" w:hAnsi="DejaVu Sans Mono"/>
          <w:b w:val="0"/>
          <w:i w:val="0"/>
          <w:sz w:val="17"/>
        </w:rPr>
        <w:t>native_​corrected.economic_​downward_​stack</w:t>
      </w:r>
      <w:r>
        <w:rPr>
          <w:b w:val="0"/>
          <w:i w:val="0"/>
        </w:rPr>
        <w:t xml:space="preserve"> 执行这些下调。</w:t>
      </w:r>
    </w:p>
    <w:p>
      <w:r>
        <w:rPr>
          <w:b w:val="0"/>
          <w:i w:val="0"/>
        </w:rPr>
        <w:t xml:space="preserve">论文复现口径按 </w:t>
      </w:r>
      <w:r>
        <w:rPr>
          <w:rFonts w:ascii="DejaVu Sans Mono" w:hAnsi="DejaVu Sans Mono"/>
          <w:b w:val="0"/>
          <w:i w:val="0"/>
          <w:sz w:val="17"/>
        </w:rPr>
        <w:t>curtail_cost</w:t>
      </w:r>
      <w:r>
        <w:rPr>
          <w:b w:val="0"/>
          <w:i w:val="0"/>
        </w:rPr>
        <w:t xml:space="preserve"> 升序下调，零成本风电位于燃气之前，水电下调量返回其预算。两个口径均在剩余下调需求降为零时结束下调。</w:t>
      </w:r>
    </w:p>
    <w:p>
      <w:pPr>
        <w:pStyle w:val="Heading2"/>
      </w:pPr>
      <w:r>
        <w:rPr>
          <w:b w:val="0"/>
          <w:i w:val="0"/>
        </w:rPr>
        <w:t>结算、显示价格与物理费用</w:t>
      </w:r>
    </w:p>
    <w:p>
      <w:pPr>
        <w:keepNext/>
      </w:pPr>
      <w:r>
        <w:rPr>
          <w:b w:val="0"/>
          <w:i w:val="0"/>
        </w:rPr>
        <w:t>修正 Native 对各阶段全部接纳供给采用统一边际价。日前取包含进口与储能在内的最高接纳报价，</w:t>
      </w:r>
      <w:r>
        <w:rPr>
          <w:rFonts w:ascii="DejaVu Sans Mono" w:hAnsi="DejaVu Sans Mono"/>
          <w:b w:val="0"/>
          <w:i w:val="0"/>
          <w:sz w:val="17"/>
        </w:rPr>
        <w:t>uniform_income</w:t>
      </w:r>
      <w:r>
        <w:rPr>
          <w:b w:val="0"/>
          <w:i w:val="0"/>
        </w:rPr>
        <w:t xml:space="preserve"> 将接纳 </w:t>
      </w:r>
      <w:r>
        <w:rPr>
          <w:rFonts w:ascii="DejaVu Sans Mono" w:hAnsi="DejaVu Sans Mono"/>
          <w:b w:val="0"/>
          <w:i w:val="0"/>
          <w:sz w:val="17"/>
        </w:rPr>
        <w:t>power_mw</w:t>
      </w:r>
      <w:r>
        <w:rPr>
          <w:b w:val="0"/>
          <w:i w:val="0"/>
        </w:rPr>
        <w:t xml:space="preserve"> 乘时段长度及阶段 </w:t>
      </w:r>
      <w:r>
        <w:rPr>
          <w:rFonts w:ascii="DejaVu Sans Mono" w:hAnsi="DejaVu Sans Mono"/>
          <w:b w:val="0"/>
          <w:i w:val="0"/>
          <w:sz w:val="17"/>
        </w:rPr>
        <w:t>price_gbp_per_mwh</w:t>
      </w:r>
      <w:r>
        <w:rPr>
          <w:b w:val="0"/>
          <w:i w:val="0"/>
        </w:rPr>
        <w:t>；平衡价格同样包含接纳进口报价：</w:t>
      </w:r>
    </w:p>
    <w:p>
      <w:pPr>
        <w:spacing w:after="160"/>
        <w:jc w:val="center"/>
      </w:pPr>
      <w:r>
        <w:drawing>
          <wp:inline xmlns:a="http://schemas.openxmlformats.org/drawingml/2006/main" xmlns:pic="http://schemas.openxmlformats.org/drawingml/2006/picture">
            <wp:extent cx="4659782" cy="182916"/>
            <wp:docPr id="92" name="Picture 92"/>
            <wp:cNvGraphicFramePr>
              <a:graphicFrameLocks noChangeAspect="1"/>
            </wp:cNvGraphicFramePr>
            <a:graphic>
              <a:graphicData uri="http://schemas.openxmlformats.org/drawingml/2006/picture">
                <pic:pic>
                  <pic:nvPicPr>
                    <pic:cNvPr id="0" name="eq-092.png"/>
                    <pic:cNvPicPr/>
                  </pic:nvPicPr>
                  <pic:blipFill>
                    <a:blip r:embed="rId97"/>
                    <a:stretch>
                      <a:fillRect/>
                    </a:stretch>
                  </pic:blipFill>
                  <pic:spPr>
                    <a:xfrm>
                      <a:off x="0" y="0"/>
                      <a:ext cx="4659782" cy="182916"/>
                    </a:xfrm>
                    <a:prstGeom prst="rect"/>
                  </pic:spPr>
                </pic:pic>
              </a:graphicData>
            </a:graphic>
          </wp:inline>
        </w:drawing>
      </w:r>
    </w:p>
    <w:p>
      <w:pPr>
        <w:spacing w:after="160"/>
        <w:jc w:val="center"/>
      </w:pPr>
      <w:r>
        <w:drawing>
          <wp:inline xmlns:a="http://schemas.openxmlformats.org/drawingml/2006/main" xmlns:pic="http://schemas.openxmlformats.org/drawingml/2006/picture">
            <wp:extent cx="6217920" cy="319843"/>
            <wp:docPr id="93" name="Picture 93"/>
            <wp:cNvGraphicFramePr>
              <a:graphicFrameLocks noChangeAspect="1"/>
            </wp:cNvGraphicFramePr>
            <a:graphic>
              <a:graphicData uri="http://schemas.openxmlformats.org/drawingml/2006/picture">
                <pic:pic>
                  <pic:nvPicPr>
                    <pic:cNvPr id="0" name="eq-093.png"/>
                    <pic:cNvPicPr/>
                  </pic:nvPicPr>
                  <pic:blipFill>
                    <a:blip r:embed="rId98"/>
                    <a:stretch>
                      <a:fillRect/>
                    </a:stretch>
                  </pic:blipFill>
                  <pic:spPr>
                    <a:xfrm>
                      <a:off x="0" y="0"/>
                      <a:ext cx="6217920" cy="319843"/>
                    </a:xfrm>
                    <a:prstGeom prst="rect"/>
                  </pic:spPr>
                </pic:pic>
              </a:graphicData>
            </a:graphic>
          </wp:inline>
        </w:drawing>
      </w:r>
    </w:p>
    <w:p>
      <w:r>
        <w:rPr>
          <w:b w:val="0"/>
          <w:i w:val="0"/>
        </w:rPr>
        <w:t>储能费用在本期结算。论文复现口径分别以发电、储能的最高接纳报价定价；接纳发电机集合为空时，收入映射为空，包括由储能独自供给的时段。该口径还将最后一个平衡时段的储能费用计入后续下调时段费用。</w:t>
      </w:r>
    </w:p>
    <w:p>
      <w:pPr>
        <w:keepNext/>
      </w:pPr>
      <w:r>
        <w:rPr>
          <w:b w:val="0"/>
          <w:i w:val="0"/>
        </w:rPr>
        <w:t xml:space="preserve">Native 显示价格的标签为“Average period cost (£/MWh demand)”，即每 MWh 需求的时段平均费用。设 </w:t>
      </w:r>
      <w:r>
        <w:drawing>
          <wp:inline xmlns:a="http://schemas.openxmlformats.org/drawingml/2006/main" xmlns:pic="http://schemas.openxmlformats.org/drawingml/2006/picture">
            <wp:extent cx="1046352" cy="148880"/>
            <wp:docPr id="94" name="Picture 94"/>
            <wp:cNvGraphicFramePr>
              <a:graphicFrameLocks noChangeAspect="1"/>
            </wp:cNvGraphicFramePr>
            <a:graphic>
              <a:graphicData uri="http://schemas.openxmlformats.org/drawingml/2006/picture">
                <pic:pic>
                  <pic:nvPicPr>
                    <pic:cNvPr id="0" name="eq-094.png"/>
                    <pic:cNvPicPr/>
                  </pic:nvPicPr>
                  <pic:blipFill>
                    <a:blip r:embed="rId99"/>
                    <a:stretch>
                      <a:fillRect/>
                    </a:stretch>
                  </pic:blipFill>
                  <pic:spPr>
                    <a:xfrm>
                      <a:off x="0" y="0"/>
                      <a:ext cx="1046352" cy="148880"/>
                    </a:xfrm>
                    <a:prstGeom prst="rect"/>
                  </pic:spPr>
                </pic:pic>
              </a:graphicData>
            </a:graphic>
          </wp:inline>
        </w:drawing>
      </w:r>
      <w:r>
        <w:rPr>
          <w:b w:val="0"/>
          <w:i w:val="0"/>
        </w:rPr>
        <w:t xml:space="preserve"> 为接纳报价、储能、下调及上调费用的累加器，则价格和对应期间费用为</w:t>
      </w:r>
    </w:p>
    <w:p>
      <w:pPr>
        <w:spacing w:after="160"/>
        <w:jc w:val="center"/>
      </w:pPr>
      <w:r>
        <w:drawing>
          <wp:inline xmlns:a="http://schemas.openxmlformats.org/drawingml/2006/main" xmlns:pic="http://schemas.openxmlformats.org/drawingml/2006/picture">
            <wp:extent cx="6180658" cy="637723"/>
            <wp:docPr id="95" name="Picture 95"/>
            <wp:cNvGraphicFramePr>
              <a:graphicFrameLocks noChangeAspect="1"/>
            </wp:cNvGraphicFramePr>
            <a:graphic>
              <a:graphicData uri="http://schemas.openxmlformats.org/drawingml/2006/picture">
                <pic:pic>
                  <pic:nvPicPr>
                    <pic:cNvPr id="0" name="eq-095.png"/>
                    <pic:cNvPicPr/>
                  </pic:nvPicPr>
                  <pic:blipFill>
                    <a:blip r:embed="rId100"/>
                    <a:stretch>
                      <a:fillRect/>
                    </a:stretch>
                  </pic:blipFill>
                  <pic:spPr>
                    <a:xfrm>
                      <a:off x="0" y="0"/>
                      <a:ext cx="6180658" cy="637723"/>
                    </a:xfrm>
                    <a:prstGeom prst="rect"/>
                  </pic:spPr>
                </pic:pic>
              </a:graphicData>
            </a:graphic>
          </wp:inline>
        </w:drawing>
      </w:r>
    </w:p>
    <w:p>
      <w:r>
        <w:rPr>
          <w:b w:val="0"/>
          <w:i w:val="0"/>
        </w:rPr>
        <w:t xml:space="preserve">这一统计量描述实际需求的每 MWh 费用；发电与储能收入根据前述结算账户计算。修正口径的 </w:t>
      </w:r>
      <w:r>
        <w:drawing>
          <wp:inline xmlns:a="http://schemas.openxmlformats.org/drawingml/2006/main" xmlns:pic="http://schemas.openxmlformats.org/drawingml/2006/picture">
            <wp:extent cx="1046352" cy="148880"/>
            <wp:docPr id="96" name="Picture 96"/>
            <wp:cNvGraphicFramePr>
              <a:graphicFrameLocks noChangeAspect="1"/>
            </wp:cNvGraphicFramePr>
            <a:graphic>
              <a:graphicData uri="http://schemas.openxmlformats.org/drawingml/2006/picture">
                <pic:pic>
                  <pic:nvPicPr>
                    <pic:cNvPr id="0" name="eq-094.png"/>
                    <pic:cNvPicPr/>
                  </pic:nvPicPr>
                  <pic:blipFill>
                    <a:blip r:embed="rId99"/>
                    <a:stretch>
                      <a:fillRect/>
                    </a:stretch>
                  </pic:blipFill>
                  <pic:spPr>
                    <a:xfrm>
                      <a:off x="0" y="0"/>
                      <a:ext cx="1046352" cy="148880"/>
                    </a:xfrm>
                    <a:prstGeom prst="rect"/>
                  </pic:spPr>
                </pic:pic>
              </a:graphicData>
            </a:graphic>
          </wp:inline>
        </w:drawing>
      </w:r>
      <w:r>
        <w:rPr>
          <w:b w:val="0"/>
          <w:i w:val="0"/>
        </w:rPr>
        <w:t xml:space="preserve"> 仅包含本期储能费用。最终边界供给进入年度发电量统计，Native 另行报告储能放电量。</w:t>
      </w:r>
    </w:p>
    <w:p>
      <w:pPr>
        <w:keepNext/>
      </w:pPr>
      <w:r>
        <w:rPr>
          <w:b w:val="0"/>
          <w:i w:val="0"/>
        </w:rPr>
        <w:t xml:space="preserve">物理运营费用按综合 </w:t>
      </w:r>
      <w:r>
        <w:rPr>
          <w:rFonts w:ascii="DejaVu Sans Mono" w:hAnsi="DejaVu Sans Mono"/>
          <w:b w:val="0"/>
          <w:i w:val="0"/>
          <w:sz w:val="17"/>
        </w:rPr>
        <w:t>gen_cost</w:t>
      </w:r>
      <w:r>
        <w:rPr>
          <w:b w:val="0"/>
          <w:i w:val="0"/>
        </w:rPr>
        <w:t xml:space="preserve"> 计量实际发电，按 </w:t>
      </w:r>
      <w:r>
        <w:rPr>
          <w:rFonts w:ascii="DejaVu Sans Mono" w:hAnsi="DejaVu Sans Mono"/>
          <w:b w:val="0"/>
          <w:i w:val="0"/>
          <w:sz w:val="17"/>
        </w:rPr>
        <w:t>external_price</w:t>
      </w:r>
      <w:r>
        <w:rPr>
          <w:b w:val="0"/>
          <w:i w:val="0"/>
        </w:rPr>
        <w:t xml:space="preserve"> 计量进口，按 </w:t>
      </w:r>
      <w:r>
        <w:rPr>
          <w:rFonts w:ascii="DejaVu Sans Mono" w:hAnsi="DejaVu Sans Mono"/>
          <w:b w:val="0"/>
          <w:i w:val="0"/>
          <w:sz w:val="17"/>
        </w:rPr>
        <w:t>startup_cost</w:t>
      </w:r>
      <w:r>
        <w:rPr>
          <w:b w:val="0"/>
          <w:i w:val="0"/>
        </w:rPr>
        <w:t xml:space="preserve"> 乘发电 MWh 计量符合条件的启动。</w:t>
      </w:r>
      <w:r>
        <w:rPr>
          <w:rFonts w:ascii="DejaVu Sans Mono" w:hAnsi="DejaVu Sans Mono"/>
          <w:b w:val="0"/>
          <w:i w:val="0"/>
          <w:sz w:val="17"/>
        </w:rPr>
        <w:t>physical_cost_terms</w:t>
      </w:r>
      <w:r>
        <w:rPr>
          <w:b w:val="0"/>
          <w:i w:val="0"/>
        </w:rPr>
        <w:t xml:space="preserve"> 返回 </w:t>
      </w:r>
      <w:r>
        <w:rPr>
          <w:rFonts w:ascii="DejaVu Sans Mono" w:hAnsi="DejaVu Sans Mono"/>
          <w:b w:val="0"/>
          <w:i w:val="0"/>
          <w:sz w:val="17"/>
        </w:rPr>
        <w:t>generation_variable_gbp</w:t>
      </w:r>
      <w:r>
        <w:rPr>
          <w:b w:val="0"/>
          <w:i w:val="0"/>
        </w:rPr>
        <w:t>、</w:t>
      </w:r>
      <w:r>
        <w:rPr>
          <w:rFonts w:ascii="DejaVu Sans Mono" w:hAnsi="DejaVu Sans Mono"/>
          <w:b w:val="0"/>
          <w:i w:val="0"/>
          <w:sz w:val="17"/>
        </w:rPr>
        <w:t>import_variable_gbp</w:t>
      </w:r>
      <w:r>
        <w:rPr>
          <w:b w:val="0"/>
          <w:i w:val="0"/>
        </w:rPr>
        <w:t xml:space="preserve"> 和 </w:t>
      </w:r>
      <w:r>
        <w:rPr>
          <w:rFonts w:ascii="DejaVu Sans Mono" w:hAnsi="DejaVu Sans Mono"/>
          <w:b w:val="0"/>
          <w:i w:val="0"/>
          <w:sz w:val="17"/>
        </w:rPr>
        <w:t>startup_adder_gbp</w:t>
      </w:r>
      <w:r>
        <w:rPr>
          <w:b w:val="0"/>
          <w:i w:val="0"/>
        </w:rPr>
        <w:t xml:space="preserve">，年度账户再加记录切负荷费用及当年储能循环折旧。年份索引为 </w:t>
      </w:r>
      <w:r>
        <w:drawing>
          <wp:inline xmlns:a="http://schemas.openxmlformats.org/drawingml/2006/main" xmlns:pic="http://schemas.openxmlformats.org/drawingml/2006/picture">
            <wp:extent cx="77463" cy="102586"/>
            <wp:docPr id="97" name="Picture 97"/>
            <wp:cNvGraphicFramePr>
              <a:graphicFrameLocks noChangeAspect="1"/>
            </wp:cNvGraphicFramePr>
            <a:graphic>
              <a:graphicData uri="http://schemas.openxmlformats.org/drawingml/2006/picture">
                <pic:pic>
                  <pic:nvPicPr>
                    <pic:cNvPr id="0" name="eq-097.png"/>
                    <pic:cNvPicPr/>
                  </pic:nvPicPr>
                  <pic:blipFill>
                    <a:blip r:embed="rId101"/>
                    <a:stretch>
                      <a:fillRect/>
                    </a:stretch>
                  </pic:blipFill>
                  <pic:spPr>
                    <a:xfrm>
                      <a:off x="0" y="0"/>
                      <a:ext cx="77463" cy="102586"/>
                    </a:xfrm>
                    <a:prstGeom prst="rect"/>
                  </pic:spPr>
                </pic:pic>
              </a:graphicData>
            </a:graphic>
          </wp:inline>
        </w:drawing>
      </w:r>
      <w:r>
        <w:rPr>
          <w:b w:val="0"/>
          <w:i w:val="0"/>
        </w:rPr>
        <w:t>⁠，</w:t>
      </w:r>
      <w:r>
        <w:rPr>
          <w:rFonts w:ascii="DejaVu Sans Mono" w:hAnsi="DejaVu Sans Mono"/>
          <w:b w:val="0"/>
          <w:i w:val="0"/>
          <w:sz w:val="17"/>
        </w:rPr>
        <w:t>operating</w:t>
      </w:r>
      <w:r>
        <w:rPr>
          <w:b w:val="0"/>
          <w:i w:val="0"/>
        </w:rPr>
        <w:t xml:space="preserve"> 与 </w:t>
      </w:r>
      <w:r>
        <w:rPr>
          <w:rFonts w:ascii="DejaVu Sans Mono" w:hAnsi="DejaVu Sans Mono"/>
          <w:b w:val="0"/>
          <w:i w:val="0"/>
          <w:sz w:val="17"/>
        </w:rPr>
        <w:t>cycle_wear</w:t>
      </w:r>
      <w:r>
        <w:rPr>
          <w:b w:val="0"/>
          <w:i w:val="0"/>
        </w:rPr>
        <w:t xml:space="preserve"> 为实现中的年度合计，单位 GBP：</w:t>
      </w:r>
    </w:p>
    <w:p>
      <w:pPr>
        <w:spacing w:after="160"/>
        <w:jc w:val="center"/>
      </w:pPr>
      <w:r>
        <w:drawing>
          <wp:inline xmlns:a="http://schemas.openxmlformats.org/drawingml/2006/main" xmlns:pic="http://schemas.openxmlformats.org/drawingml/2006/picture">
            <wp:extent cx="5337276" cy="1005739"/>
            <wp:docPr id="98" name="Picture 98"/>
            <wp:cNvGraphicFramePr>
              <a:graphicFrameLocks noChangeAspect="1"/>
            </wp:cNvGraphicFramePr>
            <a:graphic>
              <a:graphicData uri="http://schemas.openxmlformats.org/drawingml/2006/picture">
                <pic:pic>
                  <pic:nvPicPr>
                    <pic:cNvPr id="0" name="eq-098.png"/>
                    <pic:cNvPicPr/>
                  </pic:nvPicPr>
                  <pic:blipFill>
                    <a:blip r:embed="rId102"/>
                    <a:stretch>
                      <a:fillRect/>
                    </a:stretch>
                  </pic:blipFill>
                  <pic:spPr>
                    <a:xfrm>
                      <a:off x="0" y="0"/>
                      <a:ext cx="5337276" cy="1005739"/>
                    </a:xfrm>
                    <a:prstGeom prst="rect"/>
                  </pic:spPr>
                </pic:pic>
              </a:graphicData>
            </a:graphic>
          </wp:inline>
        </w:drawing>
      </w:r>
    </w:p>
    <w:p>
      <w:r>
        <w:drawing>
          <wp:inline xmlns:a="http://schemas.openxmlformats.org/drawingml/2006/main" xmlns:pic="http://schemas.openxmlformats.org/drawingml/2006/picture">
            <wp:extent cx="1021206" cy="167755"/>
            <wp:docPr id="99" name="Picture 99"/>
            <wp:cNvGraphicFramePr>
              <a:graphicFrameLocks noChangeAspect="1"/>
            </wp:cNvGraphicFramePr>
            <a:graphic>
              <a:graphicData uri="http://schemas.openxmlformats.org/drawingml/2006/picture">
                <pic:pic>
                  <pic:nvPicPr>
                    <pic:cNvPr id="0" name="eq-099.png"/>
                    <pic:cNvPicPr/>
                  </pic:nvPicPr>
                  <pic:blipFill>
                    <a:blip r:embed="rId103"/>
                    <a:stretch>
                      <a:fillRect/>
                    </a:stretch>
                  </pic:blipFill>
                  <pic:spPr>
                    <a:xfrm>
                      <a:off x="0" y="0"/>
                      <a:ext cx="1021206" cy="167755"/>
                    </a:xfrm>
                    <a:prstGeom prst="rect"/>
                  </pic:spPr>
                </pic:pic>
              </a:graphicData>
            </a:graphic>
          </wp:inline>
        </w:drawing>
      </w:r>
      <w:r>
        <w:rPr>
          <w:b w:val="0"/>
          <w:i w:val="0"/>
        </w:rPr>
        <w:t xml:space="preserve"> 为进口 MWh，</w:t>
      </w:r>
      <w:r>
        <w:drawing>
          <wp:inline xmlns:a="http://schemas.openxmlformats.org/drawingml/2006/main" xmlns:pic="http://schemas.openxmlformats.org/drawingml/2006/picture">
            <wp:extent cx="1058856" cy="134192"/>
            <wp:docPr id="100" name="Picture 100"/>
            <wp:cNvGraphicFramePr>
              <a:graphicFrameLocks noChangeAspect="1"/>
            </wp:cNvGraphicFramePr>
            <a:graphic>
              <a:graphicData uri="http://schemas.openxmlformats.org/drawingml/2006/picture">
                <pic:pic>
                  <pic:nvPicPr>
                    <pic:cNvPr id="0" name="eq-100.png"/>
                    <pic:cNvPicPr/>
                  </pic:nvPicPr>
                  <pic:blipFill>
                    <a:blip r:embed="rId104"/>
                    <a:stretch>
                      <a:fillRect/>
                    </a:stretch>
                  </pic:blipFill>
                  <pic:spPr>
                    <a:xfrm>
                      <a:off x="0" y="0"/>
                      <a:ext cx="1058856" cy="134192"/>
                    </a:xfrm>
                    <a:prstGeom prst="rect"/>
                  </pic:spPr>
                </pic:pic>
              </a:graphicData>
            </a:graphic>
          </wp:inline>
        </w:drawing>
      </w:r>
      <w:r>
        <w:rPr>
          <w:b w:val="0"/>
          <w:i w:val="0"/>
        </w:rPr>
        <w:t xml:space="preserve"> 为记录的切负荷 MWh，</w:t>
      </w:r>
      <w:r>
        <w:drawing>
          <wp:inline xmlns:a="http://schemas.openxmlformats.org/drawingml/2006/main" xmlns:pic="http://schemas.openxmlformats.org/drawingml/2006/picture">
            <wp:extent cx="809980" cy="169531"/>
            <wp:docPr id="101" name="Picture 101"/>
            <wp:cNvGraphicFramePr>
              <a:graphicFrameLocks noChangeAspect="1"/>
            </wp:cNvGraphicFramePr>
            <a:graphic>
              <a:graphicData uri="http://schemas.openxmlformats.org/drawingml/2006/picture">
                <pic:pic>
                  <pic:nvPicPr>
                    <pic:cNvPr id="0" name="eq-101.png"/>
                    <pic:cNvPicPr/>
                  </pic:nvPicPr>
                  <pic:blipFill>
                    <a:blip r:embed="rId105"/>
                    <a:stretch>
                      <a:fillRect/>
                    </a:stretch>
                  </pic:blipFill>
                  <pic:spPr>
                    <a:xfrm>
                      <a:off x="0" y="0"/>
                      <a:ext cx="809980" cy="169531"/>
                    </a:xfrm>
                    <a:prstGeom prst="rect"/>
                  </pic:spPr>
                </pic:pic>
              </a:graphicData>
            </a:graphic>
          </wp:inline>
        </w:drawing>
      </w:r>
      <w:r>
        <w:rPr>
          <w:b w:val="0"/>
          <w:i w:val="0"/>
        </w:rPr>
        <w:t xml:space="preserve"> 为各储能资产 </w:t>
      </w:r>
      <w:r>
        <w:rPr>
          <w:rFonts w:ascii="DejaVu Sans Mono" w:hAnsi="DejaVu Sans Mono"/>
          <w:b w:val="0"/>
          <w:i w:val="0"/>
          <w:sz w:val="17"/>
        </w:rPr>
        <w:t>current_​cycle_​depreciation_​gbp</w:t>
      </w:r>
      <w:r>
        <w:rPr>
          <w:b w:val="0"/>
          <w:i w:val="0"/>
        </w:rPr>
        <w:t xml:space="preserve"> 的合计。市场结算转移与这些资源费用分项分别报告。费用账户采用 </w:t>
      </w:r>
      <w:r>
        <w:drawing>
          <wp:inline xmlns:a="http://schemas.openxmlformats.org/drawingml/2006/main" xmlns:pic="http://schemas.openxmlformats.org/drawingml/2006/picture">
            <wp:extent cx="1945462" cy="142555"/>
            <wp:docPr id="102" name="Picture 102"/>
            <wp:cNvGraphicFramePr>
              <a:graphicFrameLocks noChangeAspect="1"/>
            </wp:cNvGraphicFramePr>
            <a:graphic>
              <a:graphicData uri="http://schemas.openxmlformats.org/drawingml/2006/picture">
                <pic:pic>
                  <pic:nvPicPr>
                    <pic:cNvPr id="0" name="eq-102.png"/>
                    <pic:cNvPicPr/>
                  </pic:nvPicPr>
                  <pic:blipFill>
                    <a:blip r:embed="rId106"/>
                    <a:stretch>
                      <a:fillRect/>
                    </a:stretch>
                  </pic:blipFill>
                  <pic:spPr>
                    <a:xfrm>
                      <a:off x="0" y="0"/>
                      <a:ext cx="1945462" cy="142555"/>
                    </a:xfrm>
                    <a:prstGeom prst="rect"/>
                  </pic:spPr>
                </pic:pic>
              </a:graphicData>
            </a:graphic>
          </wp:inline>
        </w:drawing>
      </w:r>
      <w:r>
        <w:rPr>
          <w:b w:val="0"/>
          <w:i w:val="0"/>
        </w:rPr>
        <w:t xml:space="preserve"> £/MWh，等价于每 MW·半小时 £8,500。修正 Native 读取 </w:t>
      </w:r>
      <w:r>
        <w:rPr>
          <w:rFonts w:ascii="DejaVu Sans Mono" w:hAnsi="DejaVu Sans Mono"/>
          <w:b w:val="0"/>
          <w:i w:val="0"/>
          <w:sz w:val="17"/>
        </w:rPr>
        <w:t>market.voll_gbp_per_mwh</w:t>
      </w:r>
      <w:r>
        <w:rPr>
          <w:b w:val="0"/>
          <w:i w:val="0"/>
        </w:rPr>
        <w:t>，可设范围为 0–1,000,000；论文复现规则集采用常数 17,000。在 Native 中，该参数用于费用账户对记录切负荷的估值。Stress 缺口单列，并从第 4 章采用的已供电量分母中扣除。</w:t>
      </w:r>
    </w:p>
    <w:p>
      <w:pPr>
        <w:pStyle w:val="Heading2"/>
      </w:pPr>
      <w:r>
        <w:rPr>
          <w:b w:val="0"/>
          <w:i w:val="0"/>
        </w:rPr>
        <w:t>能量平衡与结果资格</w:t>
      </w:r>
    </w:p>
    <w:p>
      <w:pPr>
        <w:keepNext/>
      </w:pPr>
      <w:r>
        <w:rPr>
          <w:b w:val="0"/>
          <w:i w:val="0"/>
        </w:rPr>
        <w:t xml:space="preserve">修正 Native 的平衡边界包含接纳毛供给、充电、出口、柔性需求和非风光溢出。本节各量均以 MWh 表示。设接纳供给为 </w:t>
      </w:r>
      <w:r>
        <w:drawing>
          <wp:inline xmlns:a="http://schemas.openxmlformats.org/drawingml/2006/main" xmlns:pic="http://schemas.openxmlformats.org/drawingml/2006/picture">
            <wp:extent cx="1595234" cy="148833"/>
            <wp:docPr id="103" name="Picture 103"/>
            <wp:cNvGraphicFramePr>
              <a:graphicFrameLocks noChangeAspect="1"/>
            </wp:cNvGraphicFramePr>
            <a:graphic>
              <a:graphicData uri="http://schemas.openxmlformats.org/drawingml/2006/picture">
                <pic:pic>
                  <pic:nvPicPr>
                    <pic:cNvPr id="0" name="eq-103.png"/>
                    <pic:cNvPicPr/>
                  </pic:nvPicPr>
                  <pic:blipFill>
                    <a:blip r:embed="rId107"/>
                    <a:stretch>
                      <a:fillRect/>
                    </a:stretch>
                  </pic:blipFill>
                  <pic:spPr>
                    <a:xfrm>
                      <a:off x="0" y="0"/>
                      <a:ext cx="1595234" cy="148833"/>
                    </a:xfrm>
                    <a:prstGeom prst="rect"/>
                  </pic:spPr>
                </pic:pic>
              </a:graphicData>
            </a:graphic>
          </wp:inline>
        </w:drawing>
      </w:r>
      <w:r>
        <w:rPr>
          <w:b w:val="0"/>
          <w:i w:val="0"/>
        </w:rPr>
        <w:t xml:space="preserve">⁠、记录切负荷为 </w:t>
      </w:r>
      <w:r>
        <w:drawing>
          <wp:inline xmlns:a="http://schemas.openxmlformats.org/drawingml/2006/main" xmlns:pic="http://schemas.openxmlformats.org/drawingml/2006/picture">
            <wp:extent cx="1058856" cy="134192"/>
            <wp:docPr id="104" name="Picture 104"/>
            <wp:cNvGraphicFramePr>
              <a:graphicFrameLocks noChangeAspect="1"/>
            </wp:cNvGraphicFramePr>
            <a:graphic>
              <a:graphicData uri="http://schemas.openxmlformats.org/drawingml/2006/picture">
                <pic:pic>
                  <pic:nvPicPr>
                    <pic:cNvPr id="0" name="eq-100.png"/>
                    <pic:cNvPicPr/>
                  </pic:nvPicPr>
                  <pic:blipFill>
                    <a:blip r:embed="rId104"/>
                    <a:stretch>
                      <a:fillRect/>
                    </a:stretch>
                  </pic:blipFill>
                  <pic:spPr>
                    <a:xfrm>
                      <a:off x="0" y="0"/>
                      <a:ext cx="1058856" cy="134192"/>
                    </a:xfrm>
                    <a:prstGeom prst="rect"/>
                  </pic:spPr>
                </pic:pic>
              </a:graphicData>
            </a:graphic>
          </wp:inline>
        </w:drawing>
      </w:r>
      <w:r>
        <w:rPr>
          <w:b w:val="0"/>
          <w:i w:val="0"/>
        </w:rPr>
        <w:t xml:space="preserve">⁠、实际需求为 </w:t>
      </w:r>
      <w:r>
        <w:drawing>
          <wp:inline xmlns:a="http://schemas.openxmlformats.org/drawingml/2006/main" xmlns:pic="http://schemas.openxmlformats.org/drawingml/2006/picture">
            <wp:extent cx="1344542" cy="134035"/>
            <wp:docPr id="105" name="Picture 105"/>
            <wp:cNvGraphicFramePr>
              <a:graphicFrameLocks noChangeAspect="1"/>
            </wp:cNvGraphicFramePr>
            <a:graphic>
              <a:graphicData uri="http://schemas.openxmlformats.org/drawingml/2006/picture">
                <pic:pic>
                  <pic:nvPicPr>
                    <pic:cNvPr id="0" name="eq-105.png"/>
                    <pic:cNvPicPr/>
                  </pic:nvPicPr>
                  <pic:blipFill>
                    <a:blip r:embed="rId108"/>
                    <a:stretch>
                      <a:fillRect/>
                    </a:stretch>
                  </pic:blipFill>
                  <pic:spPr>
                    <a:xfrm>
                      <a:off x="0" y="0"/>
                      <a:ext cx="1344542" cy="134035"/>
                    </a:xfrm>
                    <a:prstGeom prst="rect"/>
                  </pic:spPr>
                </pic:pic>
              </a:graphicData>
            </a:graphic>
          </wp:inline>
        </w:drawing>
      </w:r>
      <w:r>
        <w:rPr>
          <w:b w:val="0"/>
          <w:i w:val="0"/>
        </w:rPr>
        <w:t xml:space="preserve">⁠、储能充电为 </w:t>
      </w:r>
      <w:r>
        <w:drawing>
          <wp:inline xmlns:a="http://schemas.openxmlformats.org/drawingml/2006/main" xmlns:pic="http://schemas.openxmlformats.org/drawingml/2006/picture">
            <wp:extent cx="1486198" cy="148829"/>
            <wp:docPr id="106" name="Picture 106"/>
            <wp:cNvGraphicFramePr>
              <a:graphicFrameLocks noChangeAspect="1"/>
            </wp:cNvGraphicFramePr>
            <a:graphic>
              <a:graphicData uri="http://schemas.openxmlformats.org/drawingml/2006/picture">
                <pic:pic>
                  <pic:nvPicPr>
                    <pic:cNvPr id="0" name="eq-106.png"/>
                    <pic:cNvPicPr/>
                  </pic:nvPicPr>
                  <pic:blipFill>
                    <a:blip r:embed="rId109"/>
                    <a:stretch>
                      <a:fillRect/>
                    </a:stretch>
                  </pic:blipFill>
                  <pic:spPr>
                    <a:xfrm>
                      <a:off x="0" y="0"/>
                      <a:ext cx="1486198" cy="148829"/>
                    </a:xfrm>
                    <a:prstGeom prst="rect"/>
                  </pic:spPr>
                </pic:pic>
              </a:graphicData>
            </a:graphic>
          </wp:inline>
        </w:drawing>
      </w:r>
      <w:r>
        <w:rPr>
          <w:b w:val="0"/>
          <w:i w:val="0"/>
        </w:rPr>
        <w:t xml:space="preserve">⁠、出口为 </w:t>
      </w:r>
      <w:r>
        <w:drawing>
          <wp:inline xmlns:a="http://schemas.openxmlformats.org/drawingml/2006/main" xmlns:pic="http://schemas.openxmlformats.org/drawingml/2006/picture">
            <wp:extent cx="910005" cy="146775"/>
            <wp:docPr id="107" name="Picture 107"/>
            <wp:cNvGraphicFramePr>
              <a:graphicFrameLocks noChangeAspect="1"/>
            </wp:cNvGraphicFramePr>
            <a:graphic>
              <a:graphicData uri="http://schemas.openxmlformats.org/drawingml/2006/picture">
                <pic:pic>
                  <pic:nvPicPr>
                    <pic:cNvPr id="0" name="eq-107.png"/>
                    <pic:cNvPicPr/>
                  </pic:nvPicPr>
                  <pic:blipFill>
                    <a:blip r:embed="rId110"/>
                    <a:stretch>
                      <a:fillRect/>
                    </a:stretch>
                  </pic:blipFill>
                  <pic:spPr>
                    <a:xfrm>
                      <a:off x="0" y="0"/>
                      <a:ext cx="910005" cy="146775"/>
                    </a:xfrm>
                    <a:prstGeom prst="rect"/>
                  </pic:spPr>
                </pic:pic>
              </a:graphicData>
            </a:graphic>
          </wp:inline>
        </w:drawing>
      </w:r>
      <w:r>
        <w:rPr>
          <w:b w:val="0"/>
          <w:i w:val="0"/>
        </w:rPr>
        <w:t xml:space="preserve">⁠、柔性需求为 </w:t>
      </w:r>
      <w:r>
        <w:drawing>
          <wp:inline xmlns:a="http://schemas.openxmlformats.org/drawingml/2006/main" xmlns:pic="http://schemas.openxmlformats.org/drawingml/2006/picture">
            <wp:extent cx="1581334" cy="136141"/>
            <wp:docPr id="108" name="Picture 108"/>
            <wp:cNvGraphicFramePr>
              <a:graphicFrameLocks noChangeAspect="1"/>
            </wp:cNvGraphicFramePr>
            <a:graphic>
              <a:graphicData uri="http://schemas.openxmlformats.org/drawingml/2006/picture">
                <pic:pic>
                  <pic:nvPicPr>
                    <pic:cNvPr id="0" name="eq-108.png"/>
                    <pic:cNvPicPr/>
                  </pic:nvPicPr>
                  <pic:blipFill>
                    <a:blip r:embed="rId111"/>
                    <a:stretch>
                      <a:fillRect/>
                    </a:stretch>
                  </pic:blipFill>
                  <pic:spPr>
                    <a:xfrm>
                      <a:off x="0" y="0"/>
                      <a:ext cx="1581334" cy="136141"/>
                    </a:xfrm>
                    <a:prstGeom prst="rect"/>
                  </pic:spPr>
                </pic:pic>
              </a:graphicData>
            </a:graphic>
          </wp:inline>
        </w:drawing>
      </w:r>
      <w:r>
        <w:rPr>
          <w:b w:val="0"/>
          <w:i w:val="0"/>
        </w:rPr>
        <w:t xml:space="preserve">⁠、非风光溢出为 </w:t>
      </w:r>
      <w:r>
        <w:drawing>
          <wp:inline xmlns:a="http://schemas.openxmlformats.org/drawingml/2006/main" xmlns:pic="http://schemas.openxmlformats.org/drawingml/2006/picture">
            <wp:extent cx="1376324" cy="146640"/>
            <wp:docPr id="109" name="Picture 109"/>
            <wp:cNvGraphicFramePr>
              <a:graphicFrameLocks noChangeAspect="1"/>
            </wp:cNvGraphicFramePr>
            <a:graphic>
              <a:graphicData uri="http://schemas.openxmlformats.org/drawingml/2006/picture">
                <pic:pic>
                  <pic:nvPicPr>
                    <pic:cNvPr id="0" name="eq-109.png"/>
                    <pic:cNvPicPr/>
                  </pic:nvPicPr>
                  <pic:blipFill>
                    <a:blip r:embed="rId112"/>
                    <a:stretch>
                      <a:fillRect/>
                    </a:stretch>
                  </pic:blipFill>
                  <pic:spPr>
                    <a:xfrm>
                      <a:off x="0" y="0"/>
                      <a:ext cx="1376324" cy="146640"/>
                    </a:xfrm>
                    <a:prstGeom prst="rect"/>
                  </pic:spPr>
                </pic:pic>
              </a:graphicData>
            </a:graphic>
          </wp:inline>
        </w:drawing>
      </w:r>
      <w:r>
        <w:rPr>
          <w:b w:val="0"/>
          <w:i w:val="0"/>
        </w:rPr>
        <w:t xml:space="preserve">⁠，则 </w:t>
      </w:r>
      <w:r>
        <w:rPr>
          <w:rFonts w:ascii="DejaVu Sans Mono" w:hAnsi="DejaVu Sans Mono"/>
          <w:b w:val="0"/>
          <w:i w:val="0"/>
          <w:sz w:val="17"/>
        </w:rPr>
        <w:t>native_​corrected_​full_​node_​v1</w:t>
      </w:r>
      <w:r>
        <w:rPr>
          <w:b w:val="0"/>
          <w:i w:val="0"/>
        </w:rPr>
        <w:t xml:space="preserve"> 残差为</w:t>
      </w:r>
    </w:p>
    <w:p>
      <w:pPr>
        <w:spacing w:after="160"/>
        <w:jc w:val="center"/>
      </w:pPr>
      <w:r>
        <w:drawing>
          <wp:inline xmlns:a="http://schemas.openxmlformats.org/drawingml/2006/main" xmlns:pic="http://schemas.openxmlformats.org/drawingml/2006/picture">
            <wp:extent cx="6107811" cy="621753"/>
            <wp:docPr id="110" name="Picture 110"/>
            <wp:cNvGraphicFramePr>
              <a:graphicFrameLocks noChangeAspect="1"/>
            </wp:cNvGraphicFramePr>
            <a:graphic>
              <a:graphicData uri="http://schemas.openxmlformats.org/drawingml/2006/picture">
                <pic:pic>
                  <pic:nvPicPr>
                    <pic:cNvPr id="0" name="eq-110.png"/>
                    <pic:cNvPicPr/>
                  </pic:nvPicPr>
                  <pic:blipFill>
                    <a:blip r:embed="rId113"/>
                    <a:stretch>
                      <a:fillRect/>
                    </a:stretch>
                  </pic:blipFill>
                  <pic:spPr>
                    <a:xfrm>
                      <a:off x="0" y="0"/>
                      <a:ext cx="6107811" cy="621753"/>
                    </a:xfrm>
                    <a:prstGeom prst="rect"/>
                  </pic:spPr>
                </pic:pic>
              </a:graphicData>
            </a:graphic>
          </wp:inline>
        </w:drawing>
      </w:r>
    </w:p>
    <w:p>
      <w:pPr>
        <w:keepNext/>
      </w:pPr>
      <w:r>
        <w:rPr>
          <w:b w:val="0"/>
          <w:i w:val="0"/>
        </w:rPr>
        <w:t xml:space="preserve">论文复现口径采用 </w:t>
      </w:r>
      <w:r>
        <w:rPr>
          <w:rFonts w:ascii="DejaVu Sans Mono" w:hAnsi="DejaVu Sans Mono"/>
          <w:b w:val="0"/>
          <w:i w:val="0"/>
          <w:sz w:val="17"/>
        </w:rPr>
        <w:t>default_​psm_​surplus_​node_​v1</w:t>
      </w:r>
      <w:r>
        <w:rPr>
          <w:b w:val="0"/>
          <w:i w:val="0"/>
        </w:rPr>
        <w:t xml:space="preserve">。其中，位于调度外并供给储能、出口或电解的风光盈余为 </w:t>
      </w:r>
      <w:r>
        <w:drawing>
          <wp:inline xmlns:a="http://schemas.openxmlformats.org/drawingml/2006/main" xmlns:pic="http://schemas.openxmlformats.org/drawingml/2006/picture">
            <wp:extent cx="861320" cy="134123"/>
            <wp:docPr id="111" name="Picture 111"/>
            <wp:cNvGraphicFramePr>
              <a:graphicFrameLocks noChangeAspect="1"/>
            </wp:cNvGraphicFramePr>
            <a:graphic>
              <a:graphicData uri="http://schemas.openxmlformats.org/drawingml/2006/picture">
                <pic:pic>
                  <pic:nvPicPr>
                    <pic:cNvPr id="0" name="eq-111.png"/>
                    <pic:cNvPicPr/>
                  </pic:nvPicPr>
                  <pic:blipFill>
                    <a:blip r:embed="rId114"/>
                    <a:stretch>
                      <a:fillRect/>
                    </a:stretch>
                  </pic:blipFill>
                  <pic:spPr>
                    <a:xfrm>
                      <a:off x="0" y="0"/>
                      <a:ext cx="861320" cy="134123"/>
                    </a:xfrm>
                    <a:prstGeom prst="rect"/>
                  </pic:spPr>
                </pic:pic>
              </a:graphicData>
            </a:graphic>
          </wp:inline>
        </w:drawing>
      </w:r>
      <w:r>
        <w:rPr>
          <w:b w:val="0"/>
          <w:i w:val="0"/>
        </w:rPr>
        <w:t xml:space="preserve">⁠，已经接纳但最终溢出的盈余为 </w:t>
      </w:r>
      <w:r>
        <w:drawing>
          <wp:inline xmlns:a="http://schemas.openxmlformats.org/drawingml/2006/main" xmlns:pic="http://schemas.openxmlformats.org/drawingml/2006/picture">
            <wp:extent cx="790981" cy="134278"/>
            <wp:docPr id="112" name="Picture 112"/>
            <wp:cNvGraphicFramePr>
              <a:graphicFrameLocks noChangeAspect="1"/>
            </wp:cNvGraphicFramePr>
            <a:graphic>
              <a:graphicData uri="http://schemas.openxmlformats.org/drawingml/2006/picture">
                <pic:pic>
                  <pic:nvPicPr>
                    <pic:cNvPr id="0" name="eq-112.png"/>
                    <pic:cNvPicPr/>
                  </pic:nvPicPr>
                  <pic:blipFill>
                    <a:blip r:embed="rId115"/>
                    <a:stretch>
                      <a:fillRect/>
                    </a:stretch>
                  </pic:blipFill>
                  <pic:spPr>
                    <a:xfrm>
                      <a:off x="0" y="0"/>
                      <a:ext cx="790981" cy="134278"/>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4833747" cy="845620"/>
            <wp:docPr id="113" name="Picture 113"/>
            <wp:cNvGraphicFramePr>
              <a:graphicFrameLocks noChangeAspect="1"/>
            </wp:cNvGraphicFramePr>
            <a:graphic>
              <a:graphicData uri="http://schemas.openxmlformats.org/drawingml/2006/picture">
                <pic:pic>
                  <pic:nvPicPr>
                    <pic:cNvPr id="0" name="eq-113.png"/>
                    <pic:cNvPicPr/>
                  </pic:nvPicPr>
                  <pic:blipFill>
                    <a:blip r:embed="rId116"/>
                    <a:stretch>
                      <a:fillRect/>
                    </a:stretch>
                  </pic:blipFill>
                  <pic:spPr>
                    <a:xfrm>
                      <a:off x="0" y="0"/>
                      <a:ext cx="4833747" cy="845620"/>
                    </a:xfrm>
                    <a:prstGeom prst="rect"/>
                  </pic:spPr>
                </pic:pic>
              </a:graphicData>
            </a:graphic>
          </wp:inline>
        </w:drawing>
      </w:r>
    </w:p>
    <w:p>
      <w:pPr>
        <w:keepNext/>
      </w:pPr>
      <w:r>
        <w:rPr>
          <w:b w:val="0"/>
          <w:i w:val="0"/>
        </w:rPr>
        <w:t>兼容调整在声明容差内吸收数值噪声。Native 采用</w:t>
      </w:r>
    </w:p>
    <w:p>
      <w:pPr>
        <w:spacing w:after="160"/>
        <w:jc w:val="center"/>
      </w:pPr>
      <w:r>
        <w:drawing>
          <wp:inline xmlns:a="http://schemas.openxmlformats.org/drawingml/2006/main" xmlns:pic="http://schemas.openxmlformats.org/drawingml/2006/picture">
            <wp:extent cx="6217920" cy="782702"/>
            <wp:docPr id="114" name="Picture 114"/>
            <wp:cNvGraphicFramePr>
              <a:graphicFrameLocks noChangeAspect="1"/>
            </wp:cNvGraphicFramePr>
            <a:graphic>
              <a:graphicData uri="http://schemas.openxmlformats.org/drawingml/2006/picture">
                <pic:pic>
                  <pic:nvPicPr>
                    <pic:cNvPr id="0" name="eq-114.png"/>
                    <pic:cNvPicPr/>
                  </pic:nvPicPr>
                  <pic:blipFill>
                    <a:blip r:embed="rId117"/>
                    <a:stretch>
                      <a:fillRect/>
                    </a:stretch>
                  </pic:blipFill>
                  <pic:spPr>
                    <a:xfrm>
                      <a:off x="0" y="0"/>
                      <a:ext cx="6217920" cy="782702"/>
                    </a:xfrm>
                    <a:prstGeom prst="rect"/>
                  </pic:spPr>
                </pic:pic>
              </a:graphicData>
            </a:graphic>
          </wp:inline>
        </w:drawing>
      </w:r>
    </w:p>
    <w:p>
      <w:r>
        <w:rPr>
          <w:b w:val="0"/>
          <w:i w:val="0"/>
        </w:rPr>
        <w:t xml:space="preserve">LP 对应的容差系数为 </w:t>
      </w:r>
      <w:r>
        <w:drawing>
          <wp:inline xmlns:a="http://schemas.openxmlformats.org/drawingml/2006/main" xmlns:pic="http://schemas.openxmlformats.org/drawingml/2006/picture">
            <wp:extent cx="313975" cy="140242"/>
            <wp:docPr id="115" name="Picture 115"/>
            <wp:cNvGraphicFramePr>
              <a:graphicFrameLocks noChangeAspect="1"/>
            </wp:cNvGraphicFramePr>
            <a:graphic>
              <a:graphicData uri="http://schemas.openxmlformats.org/drawingml/2006/picture">
                <pic:pic>
                  <pic:nvPicPr>
                    <pic:cNvPr id="0" name="eq-115.png"/>
                    <pic:cNvPicPr/>
                  </pic:nvPicPr>
                  <pic:blipFill>
                    <a:blip r:embed="rId118"/>
                    <a:stretch>
                      <a:fillRect/>
                    </a:stretch>
                  </pic:blipFill>
                  <pic:spPr>
                    <a:xfrm>
                      <a:off x="0" y="0"/>
                      <a:ext cx="313975" cy="140242"/>
                    </a:xfrm>
                    <a:prstGeom prst="rect"/>
                  </pic:spPr>
                </pic:pic>
              </a:graphicData>
            </a:graphic>
          </wp:inline>
        </w:drawing>
      </w:r>
      <w:r>
        <w:rPr>
          <w:b w:val="0"/>
          <w:i w:val="0"/>
        </w:rPr>
        <w:t xml:space="preserve"> 和 </w:t>
      </w:r>
      <w:r>
        <w:drawing>
          <wp:inline xmlns:a="http://schemas.openxmlformats.org/drawingml/2006/main" xmlns:pic="http://schemas.openxmlformats.org/drawingml/2006/picture">
            <wp:extent cx="313975" cy="140242"/>
            <wp:docPr id="116" name="Picture 116"/>
            <wp:cNvGraphicFramePr>
              <a:graphicFrameLocks noChangeAspect="1"/>
            </wp:cNvGraphicFramePr>
            <a:graphic>
              <a:graphicData uri="http://schemas.openxmlformats.org/drawingml/2006/picture">
                <pic:pic>
                  <pic:nvPicPr>
                    <pic:cNvPr id="0" name="eq-116.png"/>
                    <pic:cNvPicPr/>
                  </pic:nvPicPr>
                  <pic:blipFill>
                    <a:blip r:embed="rId119"/>
                    <a:stretch>
                      <a:fillRect/>
                    </a:stretch>
                  </pic:blipFill>
                  <pic:spPr>
                    <a:xfrm>
                      <a:off x="0" y="0"/>
                      <a:ext cx="313975" cy="140242"/>
                    </a:xfrm>
                    <a:prstGeom prst="rect"/>
                  </pic:spPr>
                </pic:pic>
              </a:graphicData>
            </a:graphic>
          </wp:inline>
        </w:drawing>
      </w:r>
      <w:r>
        <w:rPr>
          <w:b w:val="0"/>
          <w:i w:val="0"/>
        </w:rPr>
        <w:t>⁠，超过容差的残差保留在物理平衡中。</w:t>
      </w:r>
      <w:r>
        <w:rPr>
          <w:rFonts w:ascii="DejaVu Sans Mono" w:hAnsi="DejaVu Sans Mono"/>
          <w:b w:val="0"/>
          <w:i w:val="0"/>
          <w:sz w:val="17"/>
        </w:rPr>
        <w:t>native_balance_audit.py</w:t>
      </w:r>
      <w:r>
        <w:rPr>
          <w:b w:val="0"/>
          <w:i w:val="0"/>
        </w:rPr>
        <w:t>、</w:t>
      </w:r>
      <w:r>
        <w:rPr>
          <w:rFonts w:ascii="DejaVu Sans Mono" w:hAnsi="DejaVu Sans Mono"/>
          <w:b w:val="0"/>
          <w:i w:val="0"/>
          <w:sz w:val="17"/>
        </w:rPr>
        <w:t>energy_​balance_​contract.py</w:t>
      </w:r>
      <w:r>
        <w:rPr>
          <w:b w:val="0"/>
          <w:i w:val="0"/>
        </w:rPr>
        <w:t xml:space="preserve"> 与 </w:t>
      </w:r>
      <w:r>
        <w:rPr>
          <w:rFonts w:ascii="DejaVu Sans Mono" w:hAnsi="DejaVu Sans Mono"/>
          <w:b w:val="0"/>
          <w:i w:val="0"/>
          <w:sz w:val="17"/>
        </w:rPr>
        <w:t>energy_​balance_​oracle.py</w:t>
      </w:r>
      <w:r>
        <w:rPr>
          <w:b w:val="0"/>
          <w:i w:val="0"/>
        </w:rPr>
        <w:t xml:space="preserve"> 将账本供给边界与这些核对连接。</w:t>
      </w:r>
    </w:p>
    <w:p>
      <w:pPr>
        <w:keepNext/>
      </w:pPr>
      <w:r>
        <w:rPr>
          <w:b w:val="0"/>
          <w:i w:val="0"/>
        </w:rPr>
        <w:t>能量账户先计算全部未满足需求，再区分记录切负荷和额外 stress 缺口：</w:t>
      </w:r>
    </w:p>
    <w:p>
      <w:pPr>
        <w:spacing w:after="160"/>
        <w:jc w:val="center"/>
      </w:pPr>
      <w:r>
        <w:drawing>
          <wp:inline xmlns:a="http://schemas.openxmlformats.org/drawingml/2006/main" xmlns:pic="http://schemas.openxmlformats.org/drawingml/2006/picture">
            <wp:extent cx="5813374" cy="395483"/>
            <wp:docPr id="117" name="Picture 117"/>
            <wp:cNvGraphicFramePr>
              <a:graphicFrameLocks noChangeAspect="1"/>
            </wp:cNvGraphicFramePr>
            <a:graphic>
              <a:graphicData uri="http://schemas.openxmlformats.org/drawingml/2006/picture">
                <pic:pic>
                  <pic:nvPicPr>
                    <pic:cNvPr id="0" name="eq-117.png"/>
                    <pic:cNvPicPr/>
                  </pic:nvPicPr>
                  <pic:blipFill>
                    <a:blip r:embed="rId120"/>
                    <a:stretch>
                      <a:fillRect/>
                    </a:stretch>
                  </pic:blipFill>
                  <pic:spPr>
                    <a:xfrm>
                      <a:off x="0" y="0"/>
                      <a:ext cx="5813374" cy="395483"/>
                    </a:xfrm>
                    <a:prstGeom prst="rect"/>
                  </pic:spPr>
                </pic:pic>
              </a:graphicData>
            </a:graphic>
          </wp:inline>
        </w:drawing>
      </w:r>
    </w:p>
    <w:p>
      <w:r>
        <w:rPr>
          <w:b w:val="0"/>
          <w:i w:val="0"/>
        </w:rPr>
        <w:t xml:space="preserve">唯一不平衡为需求缺口的时段以 </w:t>
      </w:r>
      <w:r>
        <w:drawing>
          <wp:inline xmlns:a="http://schemas.openxmlformats.org/drawingml/2006/main" xmlns:pic="http://schemas.openxmlformats.org/drawingml/2006/picture">
            <wp:extent cx="1838032" cy="148803"/>
            <wp:docPr id="118" name="Picture 118"/>
            <wp:cNvGraphicFramePr>
              <a:graphicFrameLocks noChangeAspect="1"/>
            </wp:cNvGraphicFramePr>
            <a:graphic>
              <a:graphicData uri="http://schemas.openxmlformats.org/drawingml/2006/picture">
                <pic:pic>
                  <pic:nvPicPr>
                    <pic:cNvPr id="0" name="eq-118.png"/>
                    <pic:cNvPicPr/>
                  </pic:nvPicPr>
                  <pic:blipFill>
                    <a:blip r:embed="rId121"/>
                    <a:stretch>
                      <a:fillRect/>
                    </a:stretch>
                  </pic:blipFill>
                  <pic:spPr>
                    <a:xfrm>
                      <a:off x="0" y="0"/>
                      <a:ext cx="1838032" cy="148803"/>
                    </a:xfrm>
                    <a:prstGeom prst="rect"/>
                  </pic:spPr>
                </pic:pic>
              </a:graphicData>
            </a:graphic>
          </wp:inline>
        </w:drawing>
      </w:r>
      <w:r>
        <w:rPr>
          <w:b w:val="0"/>
          <w:i w:val="0"/>
        </w:rPr>
        <w:t xml:space="preserve"> 闭合，记为 stress 时段。同一年内连续 stress 时段构成一个事件，年度报告给出事件数、时段数和缺口 MWh。与记录切负荷并列的额外 stress 量遵循账户的分项定义，第 4 章从需求中分别扣除每个未供需求分项一次。</w:t>
      </w:r>
    </w:p>
    <w:p>
      <w:r>
        <w:rPr>
          <w:b w:val="0"/>
          <w:i w:val="0"/>
        </w:rPr>
        <w:t xml:space="preserve">年度资格核对包括三组：运行不变量；能量平衡与账本一致性，包括盈余守恒和 </w:t>
      </w:r>
      <w:r>
        <w:drawing>
          <wp:inline xmlns:a="http://schemas.openxmlformats.org/drawingml/2006/main" xmlns:pic="http://schemas.openxmlformats.org/drawingml/2006/picture">
            <wp:extent cx="4796599" cy="182308"/>
            <wp:docPr id="119" name="Picture 119"/>
            <wp:cNvGraphicFramePr>
              <a:graphicFrameLocks noChangeAspect="1"/>
            </wp:cNvGraphicFramePr>
            <a:graphic>
              <a:graphicData uri="http://schemas.openxmlformats.org/drawingml/2006/picture">
                <pic:pic>
                  <pic:nvPicPr>
                    <pic:cNvPr id="0" name="eq-119.png"/>
                    <pic:cNvPicPr/>
                  </pic:nvPicPr>
                  <pic:blipFill>
                    <a:blip r:embed="rId122"/>
                    <a:stretch>
                      <a:fillRect/>
                    </a:stretch>
                  </pic:blipFill>
                  <pic:spPr>
                    <a:xfrm>
                      <a:off x="0" y="0"/>
                      <a:ext cx="4796599" cy="182308"/>
                    </a:xfrm>
                    <a:prstGeom prst="rect"/>
                  </pic:spPr>
                </pic:pic>
              </a:graphicData>
            </a:graphic>
          </wp:inline>
        </w:drawing>
      </w:r>
      <w:r>
        <w:rPr>
          <w:b w:val="0"/>
          <w:i w:val="0"/>
        </w:rPr>
        <w:t>⁠；储能吞吐、库存边界及批次平衡。修正口径的年度经济结果要求三组均通过，论文复现口径的结果页要求全部原始不变量通过。Stress 事件作为可靠性结果报告。年度状态记录另保留 Native 库存重置和各口径盈余边界的定义。</w:t>
      </w:r>
    </w:p>
    <w:p>
      <w:pPr>
        <w:pStyle w:val="Heading2"/>
      </w:pPr>
      <w:r>
        <w:rPr>
          <w:b w:val="0"/>
          <w:i w:val="0"/>
        </w:rPr>
        <w:t>实验路径输入</w:t>
      </w:r>
    </w:p>
    <w:p>
      <w:r>
        <w:rPr>
          <w:b w:val="0"/>
          <w:i w:val="0"/>
        </w:rPr>
        <w:t>实验性全国路径在两个方法学口径下均采用冻结的 v1 天气、核电与径流水电的单位可用率，以及原始边界价格。天气转换采用原始辐照约定和单位损耗因子。</w:t>
      </w:r>
      <w:r>
        <w:rPr>
          <w:rFonts w:ascii="DejaVu Sans Mono" w:hAnsi="DejaVu Sans Mono"/>
          <w:b w:val="0"/>
          <w:i w:val="0"/>
          <w:sz w:val="17"/>
        </w:rPr>
        <w:t>doctoral_​market_​factory.py</w:t>
      </w:r>
      <w:r>
        <w:rPr>
          <w:b w:val="0"/>
          <w:i w:val="0"/>
        </w:rPr>
        <w:t xml:space="preserve"> 根据完整参数行构造代理，参数包含费用、效率、爬坡、初始出力、下调价格及天然资源预算。新资产可通过 </w:t>
      </w:r>
      <w:r>
        <w:rPr>
          <w:rFonts w:ascii="DejaVu Sans Mono" w:hAnsi="DejaVu Sans Mono"/>
          <w:b w:val="0"/>
          <w:i w:val="0"/>
          <w:sz w:val="17"/>
        </w:rPr>
        <w:t>doctoral_​parameter_​source_​id</w:t>
      </w:r>
      <w:r>
        <w:rPr>
          <w:b w:val="0"/>
          <w:i w:val="0"/>
        </w:rPr>
        <w:t xml:space="preserve"> 引用参数行，并保留该行的爬坡与预算值。此路径的直接风光电解和公共电解容量均为零。</w:t>
      </w:r>
    </w:p>
    <w:p>
      <w:r>
        <w:rPr>
          <w:b w:val="0"/>
          <w:i w:val="0"/>
        </w:rPr>
        <w:t xml:space="preserve">该模块支持固定年度调度和实验年度现金账户，记录 </w:t>
      </w:r>
      <w:r>
        <w:rPr>
          <w:rFonts w:ascii="DejaVu Sans Mono" w:hAnsi="DejaVu Sans Mono"/>
          <w:b w:val="0"/>
          <w:i w:val="0"/>
          <w:sz w:val="17"/>
        </w:rPr>
        <w:t>scientific_​release_​eligible=false</w:t>
      </w:r>
      <w:r>
        <w:rPr>
          <w:b w:val="0"/>
          <w:i w:val="0"/>
        </w:rPr>
        <w:t xml:space="preserve"> 与 </w:t>
      </w:r>
      <w:r>
        <w:rPr>
          <w:rFonts w:ascii="DejaVu Sans Mono" w:hAnsi="DejaVu Sans Mono"/>
          <w:b w:val="0"/>
          <w:i w:val="0"/>
          <w:sz w:val="17"/>
        </w:rPr>
        <w:t>doctoral_​annual_​cem_​ready=false</w:t>
      </w:r>
      <w:r>
        <w:rPr>
          <w:b w:val="0"/>
          <w:i w:val="0"/>
        </w:rPr>
        <w:t xml:space="preserve">。与 </w:t>
      </w:r>
      <w:r>
        <w:rPr>
          <w:rFonts w:ascii="DejaVu Sans Mono" w:hAnsi="DejaVu Sans Mono"/>
          <w:b w:val="0"/>
          <w:i w:val="0"/>
          <w:sz w:val="17"/>
        </w:rPr>
        <w:t>agent-investment</w:t>
      </w:r>
      <w:r>
        <w:rPr>
          <w:b w:val="0"/>
          <w:i w:val="0"/>
        </w:rPr>
        <w:t xml:space="preserve"> 连接时，具备决策资格的火电需要 </w:t>
      </w:r>
      <w:r>
        <w:rPr>
          <w:rFonts w:ascii="DejaVu Sans Mono" w:hAnsi="DejaVu Sans Mono"/>
          <w:b w:val="0"/>
          <w:i w:val="0"/>
          <w:sz w:val="17"/>
        </w:rPr>
        <w:t>value.agent-cashflow/v1</w:t>
      </w:r>
      <w:r>
        <w:rPr>
          <w:b w:val="0"/>
          <w:i w:val="0"/>
        </w:rPr>
        <w:t xml:space="preserve"> 账户合同；实验 PSM 当前发布 </w:t>
      </w:r>
      <w:r>
        <w:rPr>
          <w:rFonts w:ascii="DejaVu Sans Mono" w:hAnsi="DejaVu Sans Mono"/>
          <w:b w:val="0"/>
          <w:i w:val="0"/>
          <w:sz w:val="17"/>
        </w:rPr>
        <w:t>doctoral_​cashflow_​inputs</w:t>
      </w:r>
      <w:r>
        <w:rPr>
          <w:b w:val="0"/>
          <w:i w:val="0"/>
        </w:rPr>
        <w:t>，因此该组合会在投资账户要求处停止。以下方程描述现行逐期引擎。</w:t>
      </w:r>
    </w:p>
    <w:p>
      <w:pPr>
        <w:pStyle w:val="Heading2"/>
      </w:pPr>
      <w:r>
        <w:rPr>
          <w:b w:val="0"/>
          <w:i w:val="0"/>
        </w:rPr>
        <w:t>实验路径批次库存</w:t>
      </w:r>
    </w:p>
    <w:p>
      <w:pPr>
        <w:keepNext/>
      </w:pPr>
      <w:r>
        <w:rPr>
          <w:b w:val="0"/>
          <w:i w:val="0"/>
        </w:rPr>
        <w:t xml:space="preserve">实验内核在 </w:t>
      </w:r>
      <w:r>
        <w:rPr>
          <w:rFonts w:ascii="DejaVu Sans Mono" w:hAnsi="DejaVu Sans Mono"/>
          <w:b w:val="0"/>
          <w:i w:val="0"/>
          <w:sz w:val="17"/>
        </w:rPr>
        <w:t>stored_energy</w:t>
      </w:r>
      <w:r>
        <w:rPr>
          <w:b w:val="0"/>
          <w:i w:val="0"/>
        </w:rPr>
        <w:t xml:space="preserve"> 中以功率等价值记录各批次，乘 </w:t>
      </w:r>
      <w:r>
        <w:rPr>
          <w:rFonts w:ascii="DejaVu Sans Mono" w:hAnsi="DejaVu Sans Mono"/>
          <w:b w:val="0"/>
          <w:i w:val="0"/>
          <w:sz w:val="17"/>
        </w:rPr>
        <w:t>period_hours = 0.5</w:t>
      </w:r>
      <w:r>
        <w:rPr>
          <w:b w:val="0"/>
          <w:i w:val="0"/>
        </w:rPr>
        <w:t xml:space="preserve"> 后为内部 MWh。</w:t>
      </w:r>
      <w:r>
        <w:rPr>
          <w:rFonts w:ascii="DejaVu Sans Mono" w:hAnsi="DejaVu Sans Mono"/>
          <w:b w:val="0"/>
          <w:i w:val="0"/>
          <w:sz w:val="17"/>
        </w:rPr>
        <w:t>pool_limit</w:t>
      </w:r>
      <w:r>
        <w:rPr>
          <w:b w:val="0"/>
          <w:i w:val="0"/>
        </w:rPr>
        <w:t xml:space="preserve"> 限制这些原始量的合计，</w:t>
      </w:r>
      <w:r>
        <w:rPr>
          <w:rFonts w:ascii="DejaVu Sans Mono" w:hAnsi="DejaVu Sans Mono"/>
          <w:b w:val="0"/>
          <w:i w:val="0"/>
          <w:sz w:val="17"/>
        </w:rPr>
        <w:t>per_pool_limit</w:t>
      </w:r>
      <w:r>
        <w:rPr>
          <w:b w:val="0"/>
          <w:i w:val="0"/>
        </w:rPr>
        <w:t xml:space="preserve"> 为送出 MW，</w:t>
      </w:r>
      <w:r>
        <w:rPr>
          <w:rFonts w:ascii="DejaVu Sans Mono" w:hAnsi="DejaVu Sans Mono"/>
          <w:b w:val="0"/>
          <w:i w:val="0"/>
          <w:sz w:val="17"/>
        </w:rPr>
        <w:t>n_1</w:t>
      </w:r>
      <w:r>
        <w:rPr>
          <w:b w:val="0"/>
          <w:i w:val="0"/>
        </w:rPr>
        <w:t>、</w:t>
      </w:r>
      <w:r>
        <w:rPr>
          <w:rFonts w:ascii="DejaVu Sans Mono" w:hAnsi="DejaVu Sans Mono"/>
          <w:b w:val="0"/>
          <w:i w:val="0"/>
          <w:sz w:val="17"/>
        </w:rPr>
        <w:t>n_2</w:t>
      </w:r>
      <w:r>
        <w:rPr>
          <w:b w:val="0"/>
          <w:i w:val="0"/>
        </w:rPr>
        <w:t xml:space="preserve"> 为充放电效率。自放电采用前述参数。于 </w:t>
      </w:r>
      <w:r>
        <w:rPr>
          <w:rFonts w:ascii="DejaVu Sans Mono" w:hAnsi="DejaVu Sans Mono"/>
          <w:b w:val="0"/>
          <w:i w:val="0"/>
          <w:sz w:val="17"/>
        </w:rPr>
        <w:t>charge_period</w:t>
      </w:r>
      <w:r>
        <w:rPr>
          <w:b w:val="0"/>
          <w:i w:val="0"/>
        </w:rPr>
        <w:t xml:space="preserve"> 充电的批次在 </w:t>
      </w:r>
      <w:r>
        <w:rPr>
          <w:rFonts w:ascii="DejaVu Sans Mono" w:hAnsi="DejaVu Sans Mono"/>
          <w:b w:val="0"/>
          <w:i w:val="0"/>
          <w:sz w:val="17"/>
        </w:rPr>
        <w:t>period</w:t>
      </w:r>
      <w:r>
        <w:rPr>
          <w:b w:val="0"/>
          <w:i w:val="0"/>
        </w:rPr>
        <w:t xml:space="preserve"> 的报价为</w:t>
      </w:r>
    </w:p>
    <w:p>
      <w:pPr>
        <w:spacing w:after="160"/>
        <w:jc w:val="center"/>
      </w:pPr>
      <w:r>
        <w:drawing>
          <wp:inline xmlns:a="http://schemas.openxmlformats.org/drawingml/2006/main" xmlns:pic="http://schemas.openxmlformats.org/drawingml/2006/picture">
            <wp:extent cx="5363870" cy="464137"/>
            <wp:docPr id="120" name="Picture 120"/>
            <wp:cNvGraphicFramePr>
              <a:graphicFrameLocks noChangeAspect="1"/>
            </wp:cNvGraphicFramePr>
            <a:graphic>
              <a:graphicData uri="http://schemas.openxmlformats.org/drawingml/2006/picture">
                <pic:pic>
                  <pic:nvPicPr>
                    <pic:cNvPr id="0" name="eq-120.png"/>
                    <pic:cNvPicPr/>
                  </pic:nvPicPr>
                  <pic:blipFill>
                    <a:blip r:embed="rId123"/>
                    <a:stretch>
                      <a:fillRect/>
                    </a:stretch>
                  </pic:blipFill>
                  <pic:spPr>
                    <a:xfrm>
                      <a:off x="0" y="0"/>
                      <a:ext cx="5363870" cy="464137"/>
                    </a:xfrm>
                    <a:prstGeom prst="rect"/>
                  </pic:spPr>
                </pic:pic>
              </a:graphicData>
            </a:graphic>
          </wp:inline>
        </w:drawing>
      </w:r>
    </w:p>
    <w:p>
      <w:r>
        <w:rPr>
          <w:b w:val="0"/>
          <w:i w:val="0"/>
        </w:rPr>
        <w:t xml:space="preserve">原型参数由 </w:t>
      </w:r>
      <w:r>
        <w:rPr>
          <w:rFonts w:ascii="DejaVu Sans Mono" w:hAnsi="DejaVu Sans Mono"/>
          <w:b w:val="0"/>
          <w:i w:val="0"/>
          <w:sz w:val="17"/>
        </w:rPr>
        <w:t>config.py</w:t>
      </w:r>
      <w:r>
        <w:rPr>
          <w:b w:val="0"/>
          <w:i w:val="0"/>
        </w:rPr>
        <w:t xml:space="preserve"> 提供，</w:t>
      </w:r>
      <w:r>
        <w:rPr>
          <w:rFonts w:ascii="DejaVu Sans Mono" w:hAnsi="DejaVu Sans Mono"/>
          <w:b w:val="0"/>
          <w:i w:val="0"/>
          <w:sz w:val="17"/>
        </w:rPr>
        <w:t>doctoral_​market_​factory.py</w:t>
      </w:r>
      <w:r>
        <w:rPr>
          <w:b w:val="0"/>
          <w:i w:val="0"/>
        </w:rPr>
        <w:t xml:space="preserve"> 为每次运行绑定完整参数行：</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07"/>
        <w:gridCol w:w="1625"/>
        <w:gridCol w:w="1625"/>
        <w:gridCol w:w="2119"/>
        <w:gridCol w:w="2416"/>
      </w:tblGrid>
      <w:tr>
        <w:trPr>
          <w:cantSplit/>
          <w:tblHeader w:val="true"/>
        </w:trPr>
        <w:tc>
          <w:tcPr>
            <w:tcW w:type="dxa" w:w="2007"/>
            <w:vAlign w:val="center"/>
            <w:tcMar>
              <w:top w:w="90" w:type="dxa"/>
              <w:left w:w="90" w:type="dxa"/>
              <w:bottom w:w="90" w:type="dxa"/>
              <w:right w:w="90" w:type="dxa"/>
            </w:tcMar>
            <w:shd w:fill="EEEEEE"/>
          </w:tcPr>
          <w:p>
            <w:pPr>
              <w:spacing w:after="40" w:line="276" w:lineRule="auto"/>
            </w:pPr>
            <w:r>
              <w:rPr>
                <w:b/>
                <w:i w:val="0"/>
                <w:sz w:val="18"/>
              </w:rPr>
              <w:t>原型技术</w:t>
            </w:r>
          </w:p>
        </w:tc>
        <w:tc>
          <w:tcPr>
            <w:tcW w:type="dxa" w:w="1625"/>
            <w:vAlign w:val="center"/>
            <w:tcMar>
              <w:top w:w="90" w:type="dxa"/>
              <w:left w:w="90" w:type="dxa"/>
              <w:bottom w:w="90" w:type="dxa"/>
              <w:right w:w="90" w:type="dxa"/>
            </w:tcMar>
            <w:shd w:fill="EEEEEE"/>
          </w:tcPr>
          <w:p>
            <w:pPr>
              <w:spacing w:after="40" w:line="276" w:lineRule="auto"/>
            </w:pPr>
            <w:r>
              <w:rPr>
                <w:rFonts w:ascii="DejaVu Sans Mono" w:hAnsi="DejaVu Sans Mono"/>
                <w:b/>
                <w:i w:val="0"/>
                <w:sz w:val="18"/>
              </w:rPr>
              <w:t>n_1</w:t>
            </w:r>
          </w:p>
        </w:tc>
        <w:tc>
          <w:tcPr>
            <w:tcW w:type="dxa" w:w="1625"/>
            <w:vAlign w:val="center"/>
            <w:tcMar>
              <w:top w:w="90" w:type="dxa"/>
              <w:left w:w="90" w:type="dxa"/>
              <w:bottom w:w="90" w:type="dxa"/>
              <w:right w:w="90" w:type="dxa"/>
            </w:tcMar>
            <w:shd w:fill="EEEEEE"/>
          </w:tcPr>
          <w:p>
            <w:pPr>
              <w:spacing w:after="40" w:line="276" w:lineRule="auto"/>
            </w:pPr>
            <w:r>
              <w:rPr>
                <w:rFonts w:ascii="DejaVu Sans Mono" w:hAnsi="DejaVu Sans Mono"/>
                <w:b/>
                <w:i w:val="0"/>
                <w:sz w:val="18"/>
              </w:rPr>
              <w:t>n_2</w:t>
            </w:r>
          </w:p>
        </w:tc>
        <w:tc>
          <w:tcPr>
            <w:tcW w:type="dxa" w:w="2119"/>
            <w:vAlign w:val="center"/>
            <w:tcMar>
              <w:top w:w="90" w:type="dxa"/>
              <w:left w:w="90" w:type="dxa"/>
              <w:bottom w:w="90" w:type="dxa"/>
              <w:right w:w="90" w:type="dxa"/>
            </w:tcMar>
            <w:shd w:fill="EEEEEE"/>
          </w:tcPr>
          <w:p>
            <w:pPr>
              <w:spacing w:after="40" w:line="276" w:lineRule="auto"/>
            </w:pPr>
            <w:r>
              <w:rPr>
                <w:rFonts w:ascii="DejaVu Sans Mono" w:hAnsi="DejaVu Sans Mono"/>
                <w:b/>
                <w:i w:val="0"/>
                <w:sz w:val="18"/>
              </w:rPr>
              <w:t>storage_fee</w:t>
            </w:r>
          </w:p>
        </w:tc>
        <w:tc>
          <w:tcPr>
            <w:tcW w:type="dxa" w:w="2416"/>
            <w:vAlign w:val="center"/>
            <w:tcMar>
              <w:top w:w="90" w:type="dxa"/>
              <w:left w:w="90" w:type="dxa"/>
              <w:bottom w:w="90" w:type="dxa"/>
              <w:right w:w="90" w:type="dxa"/>
            </w:tcMar>
            <w:shd w:fill="EEEEEE"/>
          </w:tcPr>
          <w:p>
            <w:pPr>
              <w:spacing w:after="40" w:line="276" w:lineRule="auto"/>
            </w:pPr>
            <w:r>
              <w:rPr>
                <w:rFonts w:ascii="DejaVu Sans Mono" w:hAnsi="DejaVu Sans Mono"/>
                <w:b/>
                <w:i w:val="0"/>
                <w:sz w:val="18"/>
              </w:rPr>
              <w:t>per_storage_fee</w:t>
            </w:r>
          </w:p>
        </w:tc>
      </w:tr>
      <w:tr>
        <w:trPr>
          <w:cantSplit/>
        </w:trPr>
        <w:tc>
          <w:tcPr>
            <w:tcW w:type="dxa" w:w="2007"/>
            <w:vAlign w:val="center"/>
            <w:tcMar>
              <w:top w:w="90" w:type="dxa"/>
              <w:left w:w="90" w:type="dxa"/>
              <w:bottom w:w="90" w:type="dxa"/>
              <w:right w:w="90" w:type="dxa"/>
            </w:tcMar>
          </w:tcPr>
          <w:p>
            <w:pPr>
              <w:spacing w:after="40" w:line="276" w:lineRule="auto"/>
            </w:pPr>
            <w:r>
              <w:rPr>
                <w:b w:val="0"/>
                <w:i w:val="0"/>
                <w:sz w:val="18"/>
              </w:rPr>
              <w:t>抽水蓄能</w:t>
            </w:r>
          </w:p>
        </w:tc>
        <w:tc>
          <w:tcPr>
            <w:tcW w:type="dxa" w:w="1625"/>
            <w:vAlign w:val="center"/>
            <w:tcMar>
              <w:top w:w="90" w:type="dxa"/>
              <w:left w:w="90" w:type="dxa"/>
              <w:bottom w:w="90" w:type="dxa"/>
              <w:right w:w="90" w:type="dxa"/>
            </w:tcMar>
          </w:tcPr>
          <w:p>
            <w:pPr>
              <w:spacing w:after="40" w:line="276" w:lineRule="auto"/>
            </w:pPr>
            <w:r>
              <w:rPr>
                <w:b w:val="0"/>
                <w:i w:val="0"/>
                <w:sz w:val="18"/>
              </w:rPr>
              <w:t>0.87</w:t>
            </w:r>
          </w:p>
        </w:tc>
        <w:tc>
          <w:tcPr>
            <w:tcW w:type="dxa" w:w="1625"/>
            <w:vAlign w:val="center"/>
            <w:tcMar>
              <w:top w:w="90" w:type="dxa"/>
              <w:left w:w="90" w:type="dxa"/>
              <w:bottom w:w="90" w:type="dxa"/>
              <w:right w:w="90" w:type="dxa"/>
            </w:tcMar>
          </w:tcPr>
          <w:p>
            <w:pPr>
              <w:spacing w:after="40" w:line="276" w:lineRule="auto"/>
            </w:pPr>
            <w:r>
              <w:rPr>
                <w:b w:val="0"/>
                <w:i w:val="0"/>
                <w:sz w:val="18"/>
              </w:rPr>
              <w:t>0.87</w:t>
            </w:r>
          </w:p>
        </w:tc>
        <w:tc>
          <w:tcPr>
            <w:tcW w:type="dxa" w:w="2119"/>
            <w:vAlign w:val="center"/>
            <w:tcMar>
              <w:top w:w="90" w:type="dxa"/>
              <w:left w:w="90" w:type="dxa"/>
              <w:bottom w:w="90" w:type="dxa"/>
              <w:right w:w="90" w:type="dxa"/>
            </w:tcMar>
          </w:tcPr>
          <w:p>
            <w:pPr>
              <w:spacing w:after="40" w:line="276" w:lineRule="auto"/>
            </w:pPr>
            <w:r>
              <w:rPr>
                <w:b w:val="0"/>
                <w:i w:val="0"/>
                <w:sz w:val="18"/>
              </w:rPr>
              <w:t>0</w:t>
            </w:r>
          </w:p>
        </w:tc>
        <w:tc>
          <w:tcPr>
            <w:tcW w:type="dxa" w:w="2416"/>
            <w:vAlign w:val="center"/>
            <w:tcMar>
              <w:top w:w="90" w:type="dxa"/>
              <w:left w:w="90" w:type="dxa"/>
              <w:bottom w:w="90" w:type="dxa"/>
              <w:right w:w="90" w:type="dxa"/>
            </w:tcMar>
          </w:tcPr>
          <w:p>
            <w:pPr>
              <w:spacing w:after="40" w:line="276" w:lineRule="auto"/>
            </w:pPr>
            <w:r>
              <w:rPr>
                <w:b w:val="0"/>
                <w:i w:val="0"/>
                <w:sz w:val="18"/>
              </w:rPr>
              <w:t>1.1008</w:t>
            </w:r>
          </w:p>
        </w:tc>
      </w:tr>
      <w:tr>
        <w:trPr>
          <w:cantSplit/>
        </w:trPr>
        <w:tc>
          <w:tcPr>
            <w:tcW w:type="dxa" w:w="2007"/>
            <w:vAlign w:val="center"/>
            <w:tcMar>
              <w:top w:w="90" w:type="dxa"/>
              <w:left w:w="90" w:type="dxa"/>
              <w:bottom w:w="90" w:type="dxa"/>
              <w:right w:w="90" w:type="dxa"/>
            </w:tcMar>
          </w:tcPr>
          <w:p>
            <w:pPr>
              <w:spacing w:after="40" w:line="276" w:lineRule="auto"/>
            </w:pPr>
            <w:r>
              <w:rPr>
                <w:b w:val="0"/>
                <w:i w:val="0"/>
                <w:sz w:val="18"/>
              </w:rPr>
              <w:t>1C 电池</w:t>
            </w:r>
          </w:p>
        </w:tc>
        <w:tc>
          <w:tcPr>
            <w:tcW w:type="dxa" w:w="1625"/>
            <w:vAlign w:val="center"/>
            <w:tcMar>
              <w:top w:w="90" w:type="dxa"/>
              <w:left w:w="90" w:type="dxa"/>
              <w:bottom w:w="90" w:type="dxa"/>
              <w:right w:w="90" w:type="dxa"/>
            </w:tcMar>
          </w:tcPr>
          <w:p>
            <w:pPr>
              <w:spacing w:after="40" w:line="276" w:lineRule="auto"/>
            </w:pPr>
            <w:r>
              <w:rPr>
                <w:b w:val="0"/>
                <w:i w:val="0"/>
                <w:sz w:val="18"/>
              </w:rPr>
              <w:t>0.81</w:t>
            </w:r>
          </w:p>
        </w:tc>
        <w:tc>
          <w:tcPr>
            <w:tcW w:type="dxa" w:w="1625"/>
            <w:vAlign w:val="center"/>
            <w:tcMar>
              <w:top w:w="90" w:type="dxa"/>
              <w:left w:w="90" w:type="dxa"/>
              <w:bottom w:w="90" w:type="dxa"/>
              <w:right w:w="90" w:type="dxa"/>
            </w:tcMar>
          </w:tcPr>
          <w:p>
            <w:pPr>
              <w:spacing w:after="40" w:line="276" w:lineRule="auto"/>
            </w:pPr>
            <w:r>
              <w:rPr>
                <w:b w:val="0"/>
                <w:i w:val="0"/>
                <w:sz w:val="18"/>
              </w:rPr>
              <w:t>0.81</w:t>
            </w:r>
          </w:p>
        </w:tc>
        <w:tc>
          <w:tcPr>
            <w:tcW w:type="dxa" w:w="2119"/>
            <w:vAlign w:val="center"/>
            <w:tcMar>
              <w:top w:w="90" w:type="dxa"/>
              <w:left w:w="90" w:type="dxa"/>
              <w:bottom w:w="90" w:type="dxa"/>
              <w:right w:w="90" w:type="dxa"/>
            </w:tcMar>
          </w:tcPr>
          <w:p>
            <w:pPr>
              <w:spacing w:after="40" w:line="276" w:lineRule="auto"/>
            </w:pPr>
            <w:r>
              <w:rPr>
                <w:b w:val="0"/>
                <w:i w:val="0"/>
                <w:sz w:val="18"/>
              </w:rPr>
              <w:t>0</w:t>
            </w:r>
          </w:p>
        </w:tc>
        <w:tc>
          <w:tcPr>
            <w:tcW w:type="dxa" w:w="2416"/>
            <w:vAlign w:val="center"/>
            <w:tcMar>
              <w:top w:w="90" w:type="dxa"/>
              <w:left w:w="90" w:type="dxa"/>
              <w:bottom w:w="90" w:type="dxa"/>
              <w:right w:w="90" w:type="dxa"/>
            </w:tcMar>
          </w:tcPr>
          <w:p>
            <w:pPr>
              <w:spacing w:after="40" w:line="276" w:lineRule="auto"/>
            </w:pPr>
            <w:r>
              <w:rPr>
                <w:b w:val="0"/>
                <w:i w:val="0"/>
                <w:sz w:val="18"/>
              </w:rPr>
              <w:t>1.0558</w:t>
            </w:r>
          </w:p>
        </w:tc>
      </w:tr>
      <w:tr>
        <w:trPr>
          <w:cantSplit/>
        </w:trPr>
        <w:tc>
          <w:tcPr>
            <w:tcW w:type="dxa" w:w="2007"/>
            <w:vAlign w:val="center"/>
            <w:tcMar>
              <w:top w:w="90" w:type="dxa"/>
              <w:left w:w="90" w:type="dxa"/>
              <w:bottom w:w="90" w:type="dxa"/>
              <w:right w:w="90" w:type="dxa"/>
            </w:tcMar>
          </w:tcPr>
          <w:p>
            <w:pPr>
              <w:spacing w:after="40" w:line="276" w:lineRule="auto"/>
            </w:pPr>
            <w:r>
              <w:rPr>
                <w:b w:val="0"/>
                <w:i w:val="0"/>
                <w:sz w:val="18"/>
              </w:rPr>
              <w:t>0.25C 电池</w:t>
            </w:r>
          </w:p>
        </w:tc>
        <w:tc>
          <w:tcPr>
            <w:tcW w:type="dxa" w:w="1625"/>
            <w:vAlign w:val="center"/>
            <w:tcMar>
              <w:top w:w="90" w:type="dxa"/>
              <w:left w:w="90" w:type="dxa"/>
              <w:bottom w:w="90" w:type="dxa"/>
              <w:right w:w="90" w:type="dxa"/>
            </w:tcMar>
          </w:tcPr>
          <w:p>
            <w:pPr>
              <w:spacing w:after="40" w:line="276" w:lineRule="auto"/>
            </w:pPr>
            <w:r>
              <w:rPr>
                <w:b w:val="0"/>
                <w:i w:val="0"/>
                <w:sz w:val="18"/>
              </w:rPr>
              <w:t>0.81</w:t>
            </w:r>
          </w:p>
        </w:tc>
        <w:tc>
          <w:tcPr>
            <w:tcW w:type="dxa" w:w="1625"/>
            <w:vAlign w:val="center"/>
            <w:tcMar>
              <w:top w:w="90" w:type="dxa"/>
              <w:left w:w="90" w:type="dxa"/>
              <w:bottom w:w="90" w:type="dxa"/>
              <w:right w:w="90" w:type="dxa"/>
            </w:tcMar>
          </w:tcPr>
          <w:p>
            <w:pPr>
              <w:spacing w:after="40" w:line="276" w:lineRule="auto"/>
            </w:pPr>
            <w:r>
              <w:rPr>
                <w:b w:val="0"/>
                <w:i w:val="0"/>
                <w:sz w:val="18"/>
              </w:rPr>
              <w:t>0.81</w:t>
            </w:r>
          </w:p>
        </w:tc>
        <w:tc>
          <w:tcPr>
            <w:tcW w:type="dxa" w:w="2119"/>
            <w:vAlign w:val="center"/>
            <w:tcMar>
              <w:top w:w="90" w:type="dxa"/>
              <w:left w:w="90" w:type="dxa"/>
              <w:bottom w:w="90" w:type="dxa"/>
              <w:right w:w="90" w:type="dxa"/>
            </w:tcMar>
          </w:tcPr>
          <w:p>
            <w:pPr>
              <w:spacing w:after="40" w:line="276" w:lineRule="auto"/>
            </w:pPr>
            <w:r>
              <w:rPr>
                <w:b w:val="0"/>
                <w:i w:val="0"/>
                <w:sz w:val="18"/>
              </w:rPr>
              <w:t>0</w:t>
            </w:r>
          </w:p>
        </w:tc>
        <w:tc>
          <w:tcPr>
            <w:tcW w:type="dxa" w:w="2416"/>
            <w:vAlign w:val="center"/>
            <w:tcMar>
              <w:top w:w="90" w:type="dxa"/>
              <w:left w:w="90" w:type="dxa"/>
              <w:bottom w:w="90" w:type="dxa"/>
              <w:right w:w="90" w:type="dxa"/>
            </w:tcMar>
          </w:tcPr>
          <w:p>
            <w:pPr>
              <w:spacing w:after="40" w:line="276" w:lineRule="auto"/>
            </w:pPr>
            <w:r>
              <w:rPr>
                <w:b w:val="0"/>
                <w:i w:val="0"/>
                <w:sz w:val="18"/>
              </w:rPr>
              <w:t>0.7369</w:t>
            </w:r>
          </w:p>
        </w:tc>
      </w:tr>
      <w:tr>
        <w:trPr>
          <w:cantSplit/>
        </w:trPr>
        <w:tc>
          <w:tcPr>
            <w:tcW w:type="dxa" w:w="2007"/>
            <w:vAlign w:val="center"/>
            <w:tcMar>
              <w:top w:w="90" w:type="dxa"/>
              <w:left w:w="90" w:type="dxa"/>
              <w:bottom w:w="90" w:type="dxa"/>
              <w:right w:w="90" w:type="dxa"/>
            </w:tcMar>
          </w:tcPr>
          <w:p>
            <w:pPr>
              <w:spacing w:after="40" w:line="276" w:lineRule="auto"/>
            </w:pPr>
            <w:r>
              <w:rPr>
                <w:b w:val="0"/>
                <w:i w:val="0"/>
                <w:sz w:val="18"/>
              </w:rPr>
              <w:t>0.5C 电池</w:t>
            </w:r>
          </w:p>
        </w:tc>
        <w:tc>
          <w:tcPr>
            <w:tcW w:type="dxa" w:w="1625"/>
            <w:vAlign w:val="center"/>
            <w:tcMar>
              <w:top w:w="90" w:type="dxa"/>
              <w:left w:w="90" w:type="dxa"/>
              <w:bottom w:w="90" w:type="dxa"/>
              <w:right w:w="90" w:type="dxa"/>
            </w:tcMar>
          </w:tcPr>
          <w:p>
            <w:pPr>
              <w:spacing w:after="40" w:line="276" w:lineRule="auto"/>
            </w:pPr>
            <w:r>
              <w:rPr>
                <w:b w:val="0"/>
                <w:i w:val="0"/>
                <w:sz w:val="18"/>
              </w:rPr>
              <w:t>0.98</w:t>
            </w:r>
          </w:p>
        </w:tc>
        <w:tc>
          <w:tcPr>
            <w:tcW w:type="dxa" w:w="1625"/>
            <w:vAlign w:val="center"/>
            <w:tcMar>
              <w:top w:w="90" w:type="dxa"/>
              <w:left w:w="90" w:type="dxa"/>
              <w:bottom w:w="90" w:type="dxa"/>
              <w:right w:w="90" w:type="dxa"/>
            </w:tcMar>
          </w:tcPr>
          <w:p>
            <w:pPr>
              <w:spacing w:after="40" w:line="276" w:lineRule="auto"/>
            </w:pPr>
            <w:r>
              <w:rPr>
                <w:b w:val="0"/>
                <w:i w:val="0"/>
                <w:sz w:val="18"/>
              </w:rPr>
              <w:t>0.98</w:t>
            </w:r>
          </w:p>
        </w:tc>
        <w:tc>
          <w:tcPr>
            <w:tcW w:type="dxa" w:w="2119"/>
            <w:vAlign w:val="center"/>
            <w:tcMar>
              <w:top w:w="90" w:type="dxa"/>
              <w:left w:w="90" w:type="dxa"/>
              <w:bottom w:w="90" w:type="dxa"/>
              <w:right w:w="90" w:type="dxa"/>
            </w:tcMar>
          </w:tcPr>
          <w:p>
            <w:pPr>
              <w:spacing w:after="40" w:line="276" w:lineRule="auto"/>
            </w:pPr>
            <w:r>
              <w:rPr>
                <w:b w:val="0"/>
                <w:i w:val="0"/>
                <w:sz w:val="18"/>
              </w:rPr>
              <w:t>135.26</w:t>
            </w:r>
          </w:p>
        </w:tc>
        <w:tc>
          <w:tcPr>
            <w:tcW w:type="dxa" w:w="2416"/>
            <w:vAlign w:val="center"/>
            <w:tcMar>
              <w:top w:w="90" w:type="dxa"/>
              <w:left w:w="90" w:type="dxa"/>
              <w:bottom w:w="90" w:type="dxa"/>
              <w:right w:w="90" w:type="dxa"/>
            </w:tcMar>
          </w:tcPr>
          <w:p>
            <w:pPr>
              <w:spacing w:after="40" w:line="276" w:lineRule="auto"/>
            </w:pPr>
            <w:r>
              <w:rPr>
                <w:b w:val="0"/>
                <w:i w:val="0"/>
                <w:sz w:val="18"/>
              </w:rPr>
              <w:t>0.1736</w:t>
            </w:r>
          </w:p>
        </w:tc>
      </w:tr>
      <w:tr>
        <w:trPr>
          <w:cantSplit/>
        </w:trPr>
        <w:tc>
          <w:tcPr>
            <w:tcW w:type="dxa" w:w="2007"/>
            <w:vAlign w:val="center"/>
            <w:tcMar>
              <w:top w:w="90" w:type="dxa"/>
              <w:left w:w="90" w:type="dxa"/>
              <w:bottom w:w="90" w:type="dxa"/>
              <w:right w:w="90" w:type="dxa"/>
            </w:tcMar>
          </w:tcPr>
          <w:p>
            <w:pPr>
              <w:spacing w:after="40" w:line="276" w:lineRule="auto"/>
            </w:pPr>
            <w:r>
              <w:rPr>
                <w:b w:val="0"/>
                <w:i w:val="0"/>
                <w:sz w:val="18"/>
              </w:rPr>
              <w:t>氢储能</w:t>
            </w:r>
          </w:p>
        </w:tc>
        <w:tc>
          <w:tcPr>
            <w:tcW w:type="dxa" w:w="1625"/>
            <w:vAlign w:val="center"/>
            <w:tcMar>
              <w:top w:w="90" w:type="dxa"/>
              <w:left w:w="90" w:type="dxa"/>
              <w:bottom w:w="90" w:type="dxa"/>
              <w:right w:w="90" w:type="dxa"/>
            </w:tcMar>
          </w:tcPr>
          <w:p>
            <w:pPr>
              <w:spacing w:after="40" w:line="276" w:lineRule="auto"/>
            </w:pPr>
            <w:r>
              <w:rPr>
                <w:b w:val="0"/>
                <w:i w:val="0"/>
                <w:sz w:val="18"/>
              </w:rPr>
              <w:t>0.57</w:t>
            </w:r>
          </w:p>
        </w:tc>
        <w:tc>
          <w:tcPr>
            <w:tcW w:type="dxa" w:w="1625"/>
            <w:vAlign w:val="center"/>
            <w:tcMar>
              <w:top w:w="90" w:type="dxa"/>
              <w:left w:w="90" w:type="dxa"/>
              <w:bottom w:w="90" w:type="dxa"/>
              <w:right w:w="90" w:type="dxa"/>
            </w:tcMar>
          </w:tcPr>
          <w:p>
            <w:pPr>
              <w:spacing w:after="40" w:line="276" w:lineRule="auto"/>
            </w:pPr>
            <w:r>
              <w:rPr>
                <w:b w:val="0"/>
                <w:i w:val="0"/>
                <w:sz w:val="18"/>
              </w:rPr>
              <w:t>0.57</w:t>
            </w:r>
          </w:p>
        </w:tc>
        <w:tc>
          <w:tcPr>
            <w:tcW w:type="dxa" w:w="2119"/>
            <w:vAlign w:val="center"/>
            <w:tcMar>
              <w:top w:w="90" w:type="dxa"/>
              <w:left w:w="90" w:type="dxa"/>
              <w:bottom w:w="90" w:type="dxa"/>
              <w:right w:w="90" w:type="dxa"/>
            </w:tcMar>
          </w:tcPr>
          <w:p>
            <w:pPr>
              <w:spacing w:after="40" w:line="276" w:lineRule="auto"/>
            </w:pPr>
            <w:r>
              <w:rPr>
                <w:b w:val="0"/>
                <w:i w:val="0"/>
                <w:sz w:val="18"/>
              </w:rPr>
              <w:t>884.4</w:t>
            </w:r>
          </w:p>
        </w:tc>
        <w:tc>
          <w:tcPr>
            <w:tcW w:type="dxa" w:w="2416"/>
            <w:vAlign w:val="center"/>
            <w:tcMar>
              <w:top w:w="90" w:type="dxa"/>
              <w:left w:w="90" w:type="dxa"/>
              <w:bottom w:w="90" w:type="dxa"/>
              <w:right w:w="90" w:type="dxa"/>
            </w:tcMar>
          </w:tcPr>
          <w:p>
            <w:pPr>
              <w:spacing w:after="40" w:line="276" w:lineRule="auto"/>
            </w:pPr>
            <w:r>
              <w:rPr>
                <w:b w:val="0"/>
                <w:i w:val="0"/>
                <w:sz w:val="18"/>
              </w:rPr>
              <w:t>0.0055</w:t>
            </w:r>
          </w:p>
        </w:tc>
      </w:tr>
    </w:tbl>
    <w:p>
      <w:pPr>
        <w:spacing w:after="20"/>
      </w:pPr>
    </w:p>
    <w:p>
      <w:r>
        <w:rPr>
          <w:b w:val="0"/>
          <w:i w:val="0"/>
        </w:rPr>
        <w:t xml:space="preserve">全部批次及两阶段出清共享储能送出功率限额。日前从 </w:t>
      </w:r>
      <w:r>
        <w:rPr>
          <w:rFonts w:ascii="DejaVu Sans Mono" w:hAnsi="DejaVu Sans Mono"/>
          <w:b w:val="0"/>
          <w:i w:val="0"/>
          <w:sz w:val="17"/>
        </w:rPr>
        <w:t>gen_list</w:t>
      </w:r>
      <w:r>
        <w:rPr>
          <w:b w:val="0"/>
          <w:i w:val="0"/>
        </w:rPr>
        <w:t xml:space="preserve"> 读取已有送出 MW </w:t>
      </w:r>
      <w:r>
        <w:rPr>
          <w:rFonts w:ascii="DejaVu Sans Mono" w:hAnsi="DejaVu Sans Mono"/>
          <w:b w:val="0"/>
          <w:i w:val="0"/>
          <w:sz w:val="17"/>
        </w:rPr>
        <w:t>delivered</w:t>
      </w:r>
      <w:r>
        <w:rPr>
          <w:b w:val="0"/>
          <w:i w:val="0"/>
        </w:rPr>
        <w:t xml:space="preserve">，再以剩余功率除 </w:t>
      </w:r>
      <w:r>
        <w:rPr>
          <w:rFonts w:ascii="DejaVu Sans Mono" w:hAnsi="DejaVu Sans Mono"/>
          <w:b w:val="0"/>
          <w:i w:val="0"/>
          <w:sz w:val="17"/>
        </w:rPr>
        <w:t>n_2</w:t>
      </w:r>
      <w:r>
        <w:rPr>
          <w:b w:val="0"/>
          <w:i w:val="0"/>
        </w:rPr>
        <w:t xml:space="preserve"> 限制批次报价原始量 </w:t>
      </w:r>
      <w:r>
        <w:rPr>
          <w:rFonts w:ascii="DejaVu Sans Mono" w:hAnsi="DejaVu Sans Mono"/>
          <w:b w:val="0"/>
          <w:i w:val="0"/>
          <w:sz w:val="17"/>
        </w:rPr>
        <w:t>item[3]</w:t>
      </w:r>
      <w:r>
        <w:rPr>
          <w:b w:val="0"/>
          <w:i w:val="0"/>
        </w:rPr>
        <w:t xml:space="preserve">；剩余 </w:t>
      </w:r>
      <w:r>
        <w:rPr>
          <w:rFonts w:ascii="DejaVu Sans Mono" w:hAnsi="DejaVu Sans Mono"/>
          <w:b w:val="0"/>
          <w:i w:val="0"/>
          <w:sz w:val="17"/>
        </w:rPr>
        <w:t>forecast_demand</w:t>
      </w:r>
      <w:r>
        <w:rPr>
          <w:b w:val="0"/>
          <w:i w:val="0"/>
        </w:rPr>
        <w:t xml:space="preserve"> 较小时，提取该需求除 </w:t>
      </w:r>
      <w:r>
        <w:rPr>
          <w:rFonts w:ascii="DejaVu Sans Mono" w:hAnsi="DejaVu Sans Mono"/>
          <w:b w:val="0"/>
          <w:i w:val="0"/>
          <w:sz w:val="17"/>
        </w:rPr>
        <w:t>n_2</w:t>
      </w:r>
      <w:r>
        <w:rPr>
          <w:b w:val="0"/>
          <w:i w:val="0"/>
        </w:rPr>
        <w:t xml:space="preserve"> 的原始量。平衡阶段对 </w:t>
      </w:r>
      <w:r>
        <w:rPr>
          <w:rFonts w:ascii="DejaVu Sans Mono" w:hAnsi="DejaVu Sans Mono"/>
          <w:b w:val="0"/>
          <w:i w:val="0"/>
          <w:sz w:val="17"/>
        </w:rPr>
        <w:t>energy_provided</w:t>
      </w:r>
      <w:r>
        <w:rPr>
          <w:b w:val="0"/>
          <w:i w:val="0"/>
        </w:rPr>
        <w:t xml:space="preserve"> 采用同一规则。日前采用全部已有批次，平衡采用年龄至少两期的批次。小于 0.001 的原始余额被移除，每批对应至多 0.0005 MWh。</w:t>
      </w:r>
    </w:p>
    <w:p>
      <w:pPr>
        <w:keepNext/>
      </w:pPr>
      <w:r>
        <w:rPr>
          <w:b w:val="0"/>
          <w:i w:val="0"/>
        </w:rPr>
        <w:t xml:space="preserve">充电按 </w:t>
      </w:r>
      <w:r>
        <w:rPr>
          <w:rFonts w:ascii="DejaVu Sans Mono" w:hAnsi="DejaVu Sans Mono"/>
          <w:b w:val="0"/>
          <w:i w:val="0"/>
          <w:sz w:val="17"/>
        </w:rPr>
        <w:t>storage_fee</w:t>
      </w:r>
      <w:r>
        <w:rPr>
          <w:b w:val="0"/>
          <w:i w:val="0"/>
        </w:rPr>
        <w:t>、</w:t>
      </w:r>
      <w:r>
        <w:rPr>
          <w:rFonts w:ascii="DejaVu Sans Mono" w:hAnsi="DejaVu Sans Mono"/>
          <w:b w:val="0"/>
          <w:i w:val="0"/>
          <w:sz w:val="17"/>
        </w:rPr>
        <w:t>per_storage_fee</w:t>
      </w:r>
      <w:r>
        <w:rPr>
          <w:b w:val="0"/>
          <w:i w:val="0"/>
        </w:rPr>
        <w:t xml:space="preserve"> 和 </w:t>
      </w:r>
      <w:r>
        <w:rPr>
          <w:rFonts w:ascii="DejaVu Sans Mono" w:hAnsi="DejaVu Sans Mono"/>
          <w:b w:val="0"/>
          <w:i w:val="0"/>
          <w:sz w:val="17"/>
        </w:rPr>
        <w:t>n_1 * n_2</w:t>
      </w:r>
      <w:r>
        <w:rPr>
          <w:b w:val="0"/>
          <w:i w:val="0"/>
        </w:rPr>
        <w:t xml:space="preserve"> 升序排列储能。</w:t>
      </w:r>
      <w:r>
        <w:rPr>
          <w:rFonts w:ascii="DejaVu Sans Mono" w:hAnsi="DejaVu Sans Mono"/>
          <w:b w:val="0"/>
          <w:i w:val="0"/>
          <w:sz w:val="17"/>
        </w:rPr>
        <w:t>store_service_three</w:t>
      </w:r>
      <w:r>
        <w:rPr>
          <w:b w:val="0"/>
          <w:i w:val="0"/>
        </w:rPr>
        <w:t xml:space="preserve"> 对各储能先吸收预测盈余 </w:t>
      </w:r>
      <w:r>
        <w:rPr>
          <w:rFonts w:ascii="DejaVu Sans Mono" w:hAnsi="DejaVu Sans Mono"/>
          <w:b w:val="0"/>
          <w:i w:val="0"/>
          <w:sz w:val="17"/>
        </w:rPr>
        <w:t>need_curtailed_energy</w:t>
      </w:r>
      <w:r>
        <w:rPr>
          <w:b w:val="0"/>
          <w:i w:val="0"/>
        </w:rPr>
        <w:t xml:space="preserve">，再处理其他 </w:t>
      </w:r>
      <w:r>
        <w:rPr>
          <w:rFonts w:ascii="DejaVu Sans Mono" w:hAnsi="DejaVu Sans Mono"/>
          <w:b w:val="0"/>
          <w:i w:val="0"/>
          <w:sz w:val="17"/>
        </w:rPr>
        <w:t>excess_energy</w:t>
      </w:r>
      <w:r>
        <w:rPr>
          <w:b w:val="0"/>
          <w:i w:val="0"/>
        </w:rPr>
        <w:t>。第一轮采用</w:t>
      </w:r>
    </w:p>
    <w:p>
      <w:pPr>
        <w:spacing w:after="160"/>
        <w:jc w:val="center"/>
      </w:pPr>
      <w:r>
        <w:drawing>
          <wp:inline xmlns:a="http://schemas.openxmlformats.org/drawingml/2006/main" xmlns:pic="http://schemas.openxmlformats.org/drawingml/2006/picture">
            <wp:extent cx="6217920" cy="804408"/>
            <wp:docPr id="121" name="Picture 121"/>
            <wp:cNvGraphicFramePr>
              <a:graphicFrameLocks noChangeAspect="1"/>
            </wp:cNvGraphicFramePr>
            <a:graphic>
              <a:graphicData uri="http://schemas.openxmlformats.org/drawingml/2006/picture">
                <pic:pic>
                  <pic:nvPicPr>
                    <pic:cNvPr id="0" name="eq-121.png"/>
                    <pic:cNvPicPr/>
                  </pic:nvPicPr>
                  <pic:blipFill>
                    <a:blip r:embed="rId124"/>
                    <a:stretch>
                      <a:fillRect/>
                    </a:stretch>
                  </pic:blipFill>
                  <pic:spPr>
                    <a:xfrm>
                      <a:off x="0" y="0"/>
                      <a:ext cx="6217920" cy="804408"/>
                    </a:xfrm>
                    <a:prstGeom prst="rect"/>
                  </pic:spPr>
                </pic:pic>
              </a:graphicData>
            </a:graphic>
          </wp:inline>
        </w:drawing>
      </w:r>
    </w:p>
    <w:p>
      <w:r>
        <w:rPr>
          <w:b w:val="0"/>
          <w:i w:val="0"/>
        </w:rPr>
        <w:t xml:space="preserve">第二轮将预测盈余替换为 </w:t>
      </w:r>
      <w:r>
        <w:rPr>
          <w:rFonts w:ascii="DejaVu Sans Mono" w:hAnsi="DejaVu Sans Mono"/>
          <w:b w:val="0"/>
          <w:i w:val="0"/>
          <w:sz w:val="17"/>
        </w:rPr>
        <w:t>excess_energy</w:t>
      </w:r>
      <w:r>
        <w:rPr>
          <w:b w:val="0"/>
          <w:i w:val="0"/>
        </w:rPr>
        <w:t>，原始库存空间直接限制电网侧充电功率。0.5C 原型持有四期后的报价为 135.26 + 4 × 0.1736 = 135.9544 GBP/MWh。10 MWh 批次的原始量为 20，在 0.5 h 内送出 10 MW，提取内部电量 5 / 0.98 = 5.1020408 MWh，以该价结算的收入为 £679.772。原始支出诊断采用原始提取量乘报价，现金结算采用送出 MWh。</w:t>
      </w:r>
    </w:p>
    <w:p>
      <w:pPr>
        <w:pStyle w:val="Heading2"/>
      </w:pPr>
      <w:r>
        <w:rPr>
          <w:b w:val="0"/>
          <w:i w:val="0"/>
        </w:rPr>
        <w:t>实验路径计划与实时执行</w:t>
      </w:r>
    </w:p>
    <w:p>
      <w:r>
        <w:rPr>
          <w:rFonts w:ascii="DejaVu Sans Mono" w:hAnsi="DejaVu Sans Mono"/>
          <w:b w:val="0"/>
          <w:i w:val="0"/>
          <w:sz w:val="17"/>
        </w:rPr>
        <w:t>DoctoralPeriodEngine</w:t>
      </w:r>
      <w:r>
        <w:rPr>
          <w:b w:val="0"/>
          <w:i w:val="0"/>
        </w:rPr>
        <w:t xml:space="preserve"> 在期初物理状态副本上形成日前计划，更新天然预算和自放电后调用 </w:t>
      </w:r>
      <w:r>
        <w:rPr>
          <w:rFonts w:ascii="DejaVu Sans Mono" w:hAnsi="DejaVu Sans Mono"/>
          <w:b w:val="0"/>
          <w:i w:val="0"/>
          <w:sz w:val="17"/>
        </w:rPr>
        <w:t>ahead_market_bidding</w:t>
      </w:r>
      <w:r>
        <w:rPr>
          <w:b w:val="0"/>
          <w:i w:val="0"/>
        </w:rPr>
        <w:t xml:space="preserve">。发电与储能按价格稳定排序，常规机组受爬坡约束，水电和生物质还受剩余预算约束。核电上期 </w:t>
      </w:r>
      <w:r>
        <w:rPr>
          <w:rFonts w:ascii="DejaVu Sans Mono" w:hAnsi="DejaVu Sans Mono"/>
          <w:b w:val="0"/>
          <w:i w:val="0"/>
          <w:sz w:val="17"/>
        </w:rPr>
        <w:t>real_gen_energy</w:t>
      </w:r>
      <w:r>
        <w:rPr>
          <w:b w:val="0"/>
          <w:i w:val="0"/>
        </w:rPr>
        <w:t xml:space="preserve"> 减 </w:t>
      </w:r>
      <w:r>
        <w:rPr>
          <w:rFonts w:ascii="DejaVu Sans Mono" w:hAnsi="DejaVu Sans Mono"/>
          <w:b w:val="0"/>
          <w:i w:val="0"/>
          <w:sz w:val="17"/>
        </w:rPr>
        <w:t>alter_limit</w:t>
      </w:r>
      <w:r>
        <w:rPr>
          <w:b w:val="0"/>
          <w:i w:val="0"/>
        </w:rPr>
        <w:t xml:space="preserve"> 高于剩余预测需求时，保留这一出力；未获接纳的核电记忆出力每期乘 0.99。引擎分别记录未接纳风光可用量和已发出的核电盈余。</w:t>
      </w:r>
    </w:p>
    <w:p>
      <w:pPr>
        <w:keepNext/>
      </w:pPr>
      <w:r>
        <w:rPr>
          <w:b w:val="0"/>
          <w:i w:val="0"/>
        </w:rPr>
        <w:t>实时执行比较实际需求与扣除日前非风光盈余后的计划供应。</w:t>
      </w:r>
      <w:r>
        <w:rPr>
          <w:rFonts w:ascii="DejaVu Sans Mono" w:hAnsi="DejaVu Sans Mono"/>
          <w:b w:val="0"/>
          <w:i w:val="0"/>
          <w:sz w:val="17"/>
        </w:rPr>
        <w:t>realise_period</w:t>
      </w:r>
      <w:r>
        <w:rPr>
          <w:b w:val="0"/>
          <w:i w:val="0"/>
        </w:rPr>
        <w:t xml:space="preserve"> 中，</w:t>
      </w:r>
      <w:r>
        <w:rPr>
          <w:rFonts w:ascii="DejaVu Sans Mono" w:hAnsi="DejaVu Sans Mono"/>
          <w:b w:val="0"/>
          <w:i w:val="0"/>
          <w:sz w:val="17"/>
        </w:rPr>
        <w:t>actual</w:t>
      </w:r>
      <w:r>
        <w:rPr>
          <w:b w:val="0"/>
          <w:i w:val="0"/>
        </w:rPr>
        <w:t xml:space="preserve"> 与 </w:t>
      </w:r>
      <w:r>
        <w:rPr>
          <w:rFonts w:ascii="DejaVu Sans Mono" w:hAnsi="DejaVu Sans Mono"/>
          <w:b w:val="0"/>
          <w:i w:val="0"/>
          <w:sz w:val="17"/>
        </w:rPr>
        <w:t>scheduled_load</w:t>
      </w:r>
      <w:r>
        <w:rPr>
          <w:b w:val="0"/>
          <w:i w:val="0"/>
        </w:rPr>
        <w:t xml:space="preserve"> 均为 MW：</w:t>
      </w:r>
    </w:p>
    <w:p>
      <w:pPr>
        <w:spacing w:after="160"/>
        <w:jc w:val="center"/>
      </w:pPr>
      <w:r>
        <w:drawing>
          <wp:inline xmlns:a="http://schemas.openxmlformats.org/drawingml/2006/main" xmlns:pic="http://schemas.openxmlformats.org/drawingml/2006/picture">
            <wp:extent cx="5834024" cy="409205"/>
            <wp:docPr id="122" name="Picture 122"/>
            <wp:cNvGraphicFramePr>
              <a:graphicFrameLocks noChangeAspect="1"/>
            </wp:cNvGraphicFramePr>
            <a:graphic>
              <a:graphicData uri="http://schemas.openxmlformats.org/drawingml/2006/picture">
                <pic:pic>
                  <pic:nvPicPr>
                    <pic:cNvPr id="0" name="eq-122.png"/>
                    <pic:cNvPicPr/>
                  </pic:nvPicPr>
                  <pic:blipFill>
                    <a:blip r:embed="rId125"/>
                    <a:stretch>
                      <a:fillRect/>
                    </a:stretch>
                  </pic:blipFill>
                  <pic:spPr>
                    <a:xfrm>
                      <a:off x="0" y="0"/>
                      <a:ext cx="5834024" cy="409205"/>
                    </a:xfrm>
                    <a:prstGeom prst="rect"/>
                  </pic:spPr>
                </pic:pic>
              </a:graphicData>
            </a:graphic>
          </wp:inline>
        </w:drawing>
      </w:r>
    </w:p>
    <w:p>
      <w:r>
        <w:rPr>
          <w:b w:val="0"/>
          <w:i w:val="0"/>
        </w:rPr>
        <w:t xml:space="preserve">当 </w:t>
      </w:r>
      <w:r>
        <w:rPr>
          <w:rFonts w:ascii="DejaVu Sans Mono" w:hAnsi="DejaVu Sans Mono"/>
          <w:b w:val="0"/>
          <w:i w:val="0"/>
          <w:sz w:val="17"/>
        </w:rPr>
        <w:t>actual &lt; scheduled_load</w:t>
      </w:r>
      <w:r>
        <w:rPr>
          <w:b w:val="0"/>
          <w:i w:val="0"/>
        </w:rPr>
        <w:t xml:space="preserve"> 时，差额进入 </w:t>
      </w:r>
      <w:r>
        <w:rPr>
          <w:rFonts w:ascii="DejaVu Sans Mono" w:hAnsi="DejaVu Sans Mono"/>
          <w:b w:val="0"/>
          <w:i w:val="0"/>
          <w:sz w:val="17"/>
        </w:rPr>
        <w:t>curtailment_​market_​bidding</w:t>
      </w:r>
      <w:r>
        <w:rPr>
          <w:b w:val="0"/>
          <w:i w:val="0"/>
        </w:rPr>
        <w:t>，依次充电、处理已有盈余、按价格降序接纳正价出口，再按配置的下调价格削减发电。</w:t>
      </w:r>
      <w:r>
        <w:rPr>
          <w:rFonts w:ascii="DejaVu Sans Mono" w:hAnsi="DejaVu Sans Mono"/>
          <w:b w:val="0"/>
          <w:i w:val="0"/>
          <w:sz w:val="17"/>
        </w:rPr>
        <w:t>_curtail_thermal_bid</w:t>
      </w:r>
      <w:r>
        <w:rPr>
          <w:b w:val="0"/>
          <w:i w:val="0"/>
        </w:rPr>
        <w:t xml:space="preserve"> 采用接纳 MW </w:t>
      </w:r>
      <w:r>
        <w:rPr>
          <w:rFonts w:ascii="DejaVu Sans Mono" w:hAnsi="DejaVu Sans Mono"/>
          <w:b w:val="0"/>
          <w:i w:val="0"/>
          <w:sz w:val="17"/>
        </w:rPr>
        <w:t>bid[2]</w:t>
      </w:r>
      <w:r>
        <w:rPr>
          <w:b w:val="0"/>
          <w:i w:val="0"/>
        </w:rPr>
        <w:t xml:space="preserve">、上期 </w:t>
      </w:r>
      <w:r>
        <w:rPr>
          <w:rFonts w:ascii="DejaVu Sans Mono" w:hAnsi="DejaVu Sans Mono"/>
          <w:b w:val="0"/>
          <w:i w:val="0"/>
          <w:sz w:val="17"/>
        </w:rPr>
        <w:t>previous_energy</w:t>
      </w:r>
      <w:r>
        <w:rPr>
          <w:b w:val="0"/>
          <w:i w:val="0"/>
        </w:rPr>
        <w:t xml:space="preserve"> 和 </w:t>
      </w:r>
      <w:r>
        <w:rPr>
          <w:rFonts w:ascii="DejaVu Sans Mono" w:hAnsi="DejaVu Sans Mono"/>
          <w:b w:val="0"/>
          <w:i w:val="0"/>
          <w:sz w:val="17"/>
        </w:rPr>
        <w:t>generator.alter_limit</w:t>
      </w:r>
      <w:r>
        <w:rPr>
          <w:b w:val="0"/>
          <w:i w:val="0"/>
        </w:rPr>
        <w:t xml:space="preserve"> 限制下调量：</w:t>
      </w:r>
    </w:p>
    <w:p>
      <w:pPr>
        <w:keepLines/>
        <w:spacing w:line="276" w:lineRule="auto" w:after="160"/>
      </w:pPr>
      <w:r>
        <w:rPr>
          <w:rFonts w:ascii="DejaVu Sans Mono" w:hAnsi="DejaVu Sans Mono"/>
          <w:b w:val="0"/>
          <w:i w:val="0"/>
          <w:sz w:val="17"/>
        </w:rPr>
        <w:t>if bid[2] - previous_energy == generator.alter_limit:</w:t>
        <w:br/>
        <w:t xml:space="preserve">    max_curtail_energy = min(2 * generator.alter_limit, bid[2])</w:t>
        <w:br/>
        <w:t>elif previous_energy &gt;= generator.alter_limit:</w:t>
        <w:br/>
        <w:t xml:space="preserve">    max_curtail_energy = bid[2] - (previous_energy - generator.alter_limit)</w:t>
        <w:br/>
        <w:t>else:</w:t>
        <w:br/>
        <w:t xml:space="preserve">    max_curtail_energy = bid[2]</w:t>
        <w:br/>
        <w:t>curtailed = min(need_​curtailed_​energy,</w:t>
        <w:br/>
        <w:t xml:space="preserve">                max(0, min(bid[2], max_curtail_energy)))</w:t>
        <w:br/>
        <w:t>bid[2] -= curtailed</w:t>
        <w:br/>
      </w:r>
    </w:p>
    <w:p>
      <w:r>
        <w:rPr>
          <w:b w:val="0"/>
          <w:i w:val="0"/>
        </w:rPr>
        <w:t xml:space="preserve">水电与生物质将削减量返回已用预算，上期出力按发电机对象身份读取。爬坡约束保留的非风光出力记为 </w:t>
      </w:r>
      <w:r>
        <w:rPr>
          <w:rFonts w:ascii="DejaVu Sans Mono" w:hAnsi="DejaVu Sans Mono"/>
          <w:b w:val="0"/>
          <w:i w:val="0"/>
          <w:sz w:val="17"/>
        </w:rPr>
        <w:t>non_vre_spill</w:t>
      </w:r>
      <w:r>
        <w:rPr>
          <w:b w:val="0"/>
          <w:i w:val="0"/>
        </w:rPr>
        <w:t>。</w:t>
      </w:r>
    </w:p>
    <w:p>
      <w:r>
        <w:rPr>
          <w:b w:val="0"/>
          <w:i w:val="0"/>
        </w:rPr>
        <w:t xml:space="preserve">当 </w:t>
      </w:r>
      <w:r>
        <w:rPr>
          <w:rFonts w:ascii="DejaVu Sans Mono" w:hAnsi="DejaVu Sans Mono"/>
          <w:b w:val="0"/>
          <w:i w:val="0"/>
          <w:sz w:val="17"/>
        </w:rPr>
        <w:t>actual &gt;= scheduled_load</w:t>
      </w:r>
      <w:r>
        <w:rPr>
          <w:b w:val="0"/>
          <w:i w:val="0"/>
        </w:rPr>
        <w:t xml:space="preserve"> 时，</w:t>
      </w:r>
      <w:r>
        <w:rPr>
          <w:rFonts w:ascii="DejaVu Sans Mono" w:hAnsi="DejaVu Sans Mono"/>
          <w:b w:val="0"/>
          <w:i w:val="0"/>
          <w:sz w:val="17"/>
        </w:rPr>
        <w:t>balancing_​market_​bidding</w:t>
      </w:r>
      <w:r>
        <w:rPr>
          <w:b w:val="0"/>
          <w:i w:val="0"/>
        </w:rPr>
        <w:t xml:space="preserve"> 先使用已有盈余，并向储能提供剩余部分，随后合并日前最后接纳机组及其后的机组、合格储能批次和进口。日前机组集合为空时，从第一条报价开始。边际机组的 </w:t>
      </w:r>
      <w:r>
        <w:rPr>
          <w:rFonts w:ascii="DejaVu Sans Mono" w:hAnsi="DejaVu Sans Mono"/>
          <w:b w:val="0"/>
          <w:i w:val="0"/>
          <w:sz w:val="17"/>
        </w:rPr>
        <w:t>valid_energy</w:t>
      </w:r>
      <w:r>
        <w:rPr>
          <w:b w:val="0"/>
          <w:i w:val="0"/>
        </w:rPr>
        <w:t xml:space="preserve"> 为受爬坡限制的可用出力减日前接纳 MW，后续机组提供其全部爬坡可用量；水电与生物质继续受预算约束。进口采用 </w:t>
      </w:r>
      <w:r>
        <w:rPr>
          <w:rFonts w:ascii="DejaVu Sans Mono" w:hAnsi="DejaVu Sans Mono"/>
          <w:b w:val="0"/>
          <w:i w:val="0"/>
          <w:sz w:val="17"/>
        </w:rPr>
        <w:t>external_price</w:t>
      </w:r>
      <w:r>
        <w:rPr>
          <w:b w:val="0"/>
          <w:i w:val="0"/>
        </w:rPr>
        <w:t>，此分支按价格升序接纳正价出口，剩余需求形成切负荷。</w:t>
      </w:r>
    </w:p>
    <w:p>
      <w:pPr>
        <w:keepNext/>
      </w:pPr>
      <w:r>
        <w:rPr>
          <w:b w:val="0"/>
          <w:i w:val="0"/>
        </w:rPr>
        <w:t xml:space="preserve">引擎在推进状态前核对最终物理平衡。这里 </w:t>
      </w:r>
      <w:r>
        <w:rPr>
          <w:rFonts w:ascii="DejaVu Sans Mono" w:hAnsi="DejaVu Sans Mono"/>
          <w:b w:val="0"/>
          <w:i w:val="0"/>
          <w:sz w:val="17"/>
        </w:rPr>
        <w:t>total</w:t>
      </w:r>
      <w:r>
        <w:rPr>
          <w:b w:val="0"/>
          <w:i w:val="0"/>
        </w:rPr>
        <w:t>、</w:t>
      </w:r>
      <w:r>
        <w:rPr>
          <w:rFonts w:ascii="DejaVu Sans Mono" w:hAnsi="DejaVu Sans Mono"/>
          <w:b w:val="0"/>
          <w:i w:val="0"/>
          <w:sz w:val="17"/>
        </w:rPr>
        <w:t>actual</w:t>
      </w:r>
      <w:r>
        <w:rPr>
          <w:b w:val="0"/>
          <w:i w:val="0"/>
        </w:rPr>
        <w:t>、</w:t>
      </w:r>
      <w:r>
        <w:rPr>
          <w:rFonts w:ascii="DejaVu Sans Mono" w:hAnsi="DejaVu Sans Mono"/>
          <w:b w:val="0"/>
          <w:i w:val="0"/>
          <w:sz w:val="17"/>
        </w:rPr>
        <w:t>charge</w:t>
      </w:r>
      <w:r>
        <w:rPr>
          <w:b w:val="0"/>
          <w:i w:val="0"/>
        </w:rPr>
        <w:t>、</w:t>
      </w:r>
      <w:r>
        <w:rPr>
          <w:rFonts w:ascii="DejaVu Sans Mono" w:hAnsi="DejaVu Sans Mono"/>
          <w:b w:val="0"/>
          <w:i w:val="0"/>
          <w:sz w:val="17"/>
        </w:rPr>
        <w:t>exported</w:t>
      </w:r>
      <w:r>
        <w:rPr>
          <w:b w:val="0"/>
          <w:i w:val="0"/>
        </w:rPr>
        <w:t>、</w:t>
      </w:r>
      <w:r>
        <w:rPr>
          <w:rFonts w:ascii="DejaVu Sans Mono" w:hAnsi="DejaVu Sans Mono"/>
          <w:b w:val="0"/>
          <w:i w:val="0"/>
          <w:sz w:val="17"/>
        </w:rPr>
        <w:t>non_vre_spill</w:t>
      </w:r>
      <w:r>
        <w:rPr>
          <w:b w:val="0"/>
          <w:i w:val="0"/>
        </w:rPr>
        <w:t xml:space="preserve"> 和 </w:t>
      </w:r>
      <w:r>
        <w:rPr>
          <w:rFonts w:ascii="DejaVu Sans Mono" w:hAnsi="DejaVu Sans Mono"/>
          <w:b w:val="0"/>
          <w:i w:val="0"/>
          <w:sz w:val="17"/>
        </w:rPr>
        <w:t>blackout</w:t>
      </w:r>
      <w:r>
        <w:rPr>
          <w:b w:val="0"/>
          <w:i w:val="0"/>
        </w:rPr>
        <w:t xml:space="preserve"> 为 MW，</w:t>
      </w:r>
      <w:r>
        <w:rPr>
          <w:rFonts w:ascii="DejaVu Sans Mono" w:hAnsi="DejaVu Sans Mono"/>
          <w:b w:val="0"/>
          <w:i w:val="0"/>
          <w:sz w:val="17"/>
        </w:rPr>
        <w:t>residual</w:t>
      </w:r>
      <w:r>
        <w:rPr>
          <w:b w:val="0"/>
          <w:i w:val="0"/>
        </w:rPr>
        <w:t xml:space="preserve"> 为 MWh：</w:t>
      </w:r>
    </w:p>
    <w:p>
      <w:pPr>
        <w:spacing w:after="160"/>
        <w:jc w:val="center"/>
      </w:pPr>
      <w:r>
        <w:drawing>
          <wp:inline xmlns:a="http://schemas.openxmlformats.org/drawingml/2006/main" xmlns:pic="http://schemas.openxmlformats.org/drawingml/2006/picture">
            <wp:extent cx="5932170" cy="621792"/>
            <wp:docPr id="123" name="Picture 123"/>
            <wp:cNvGraphicFramePr>
              <a:graphicFrameLocks noChangeAspect="1"/>
            </wp:cNvGraphicFramePr>
            <a:graphic>
              <a:graphicData uri="http://schemas.openxmlformats.org/drawingml/2006/picture">
                <pic:pic>
                  <pic:nvPicPr>
                    <pic:cNvPr id="0" name="eq-123.png"/>
                    <pic:cNvPicPr/>
                  </pic:nvPicPr>
                  <pic:blipFill>
                    <a:blip r:embed="rId126"/>
                    <a:stretch>
                      <a:fillRect/>
                    </a:stretch>
                  </pic:blipFill>
                  <pic:spPr>
                    <a:xfrm>
                      <a:off x="0" y="0"/>
                      <a:ext cx="5932170" cy="621792"/>
                    </a:xfrm>
                    <a:prstGeom prst="rect"/>
                  </pic:spPr>
                </pic:pic>
              </a:graphicData>
            </a:graphic>
          </wp:inline>
        </w:drawing>
      </w:r>
    </w:p>
    <w:p>
      <w:pPr>
        <w:keepNext/>
      </w:pPr>
      <w:r>
        <w:rPr>
          <w:b w:val="0"/>
          <w:i w:val="0"/>
        </w:rPr>
        <w:t xml:space="preserve">状态推进要求 </w:t>
      </w:r>
      <w:r>
        <w:rPr>
          <w:rFonts w:ascii="DejaVu Sans Mono" w:hAnsi="DejaVu Sans Mono"/>
          <w:b w:val="0"/>
          <w:i w:val="0"/>
          <w:sz w:val="17"/>
        </w:rPr>
        <w:t>residual</w:t>
      </w:r>
      <w:r>
        <w:rPr>
          <w:b w:val="0"/>
          <w:i w:val="0"/>
        </w:rPr>
        <w:t xml:space="preserve"> 绝对值至多为 </w:t>
      </w:r>
      <w:r>
        <w:drawing>
          <wp:inline xmlns:a="http://schemas.openxmlformats.org/drawingml/2006/main" xmlns:pic="http://schemas.openxmlformats.org/drawingml/2006/picture">
            <wp:extent cx="313975" cy="140242"/>
            <wp:docPr id="124" name="Picture 124"/>
            <wp:cNvGraphicFramePr>
              <a:graphicFrameLocks noChangeAspect="1"/>
            </wp:cNvGraphicFramePr>
            <a:graphic>
              <a:graphicData uri="http://schemas.openxmlformats.org/drawingml/2006/picture">
                <pic:pic>
                  <pic:nvPicPr>
                    <pic:cNvPr id="0" name="eq-116.png"/>
                    <pic:cNvPicPr/>
                  </pic:nvPicPr>
                  <pic:blipFill>
                    <a:blip r:embed="rId119"/>
                    <a:stretch>
                      <a:fillRect/>
                    </a:stretch>
                  </pic:blipFill>
                  <pic:spPr>
                    <a:xfrm>
                      <a:off x="0" y="0"/>
                      <a:ext cx="313975" cy="140242"/>
                    </a:xfrm>
                    <a:prstGeom prst="rect"/>
                  </pic:spPr>
                </pic:pic>
              </a:graphicData>
            </a:graphic>
          </wp:inline>
        </w:drawing>
      </w:r>
      <w:r>
        <w:rPr>
          <w:b w:val="0"/>
          <w:i w:val="0"/>
        </w:rPr>
        <w:t xml:space="preserve"> MWh，发电量非负，风光出力位于可用量以内。储能另核对期初 </w:t>
      </w:r>
      <w:r>
        <w:rPr>
          <w:rFonts w:ascii="DejaVu Sans Mono" w:hAnsi="DejaVu Sans Mono"/>
          <w:b w:val="0"/>
          <w:i w:val="0"/>
          <w:sz w:val="17"/>
        </w:rPr>
        <w:t>opening</w:t>
      </w:r>
      <w:r>
        <w:rPr>
          <w:b w:val="0"/>
          <w:i w:val="0"/>
        </w:rPr>
        <w:t xml:space="preserve">、电网侧 </w:t>
      </w:r>
      <w:r>
        <w:rPr>
          <w:rFonts w:ascii="DejaVu Sans Mono" w:hAnsi="DejaVu Sans Mono"/>
          <w:b w:val="0"/>
          <w:i w:val="0"/>
          <w:sz w:val="17"/>
        </w:rPr>
        <w:t>charged</w:t>
      </w:r>
      <w:r>
        <w:rPr>
          <w:b w:val="0"/>
          <w:i w:val="0"/>
        </w:rPr>
        <w:t xml:space="preserve"> 与 </w:t>
      </w:r>
      <w:r>
        <w:rPr>
          <w:rFonts w:ascii="DejaVu Sans Mono" w:hAnsi="DejaVu Sans Mono"/>
          <w:b w:val="0"/>
          <w:i w:val="0"/>
          <w:sz w:val="17"/>
        </w:rPr>
        <w:t>delivered</w:t>
      </w:r>
      <w:r>
        <w:rPr>
          <w:b w:val="0"/>
          <w:i w:val="0"/>
        </w:rPr>
        <w:t xml:space="preserve">、自放电 </w:t>
      </w:r>
      <w:r>
        <w:rPr>
          <w:rFonts w:ascii="DejaVu Sans Mono" w:hAnsi="DejaVu Sans Mono"/>
          <w:b w:val="0"/>
          <w:i w:val="0"/>
          <w:sz w:val="17"/>
        </w:rPr>
        <w:t>decay</w:t>
      </w:r>
      <w:r>
        <w:rPr>
          <w:b w:val="0"/>
          <w:i w:val="0"/>
        </w:rPr>
        <w:t xml:space="preserve">、转换损失 </w:t>
      </w:r>
      <w:r>
        <w:rPr>
          <w:rFonts w:ascii="DejaVu Sans Mono" w:hAnsi="DejaVu Sans Mono"/>
          <w:b w:val="0"/>
          <w:i w:val="0"/>
          <w:sz w:val="17"/>
        </w:rPr>
        <w:t>conversion</w:t>
      </w:r>
      <w:r>
        <w:rPr>
          <w:b w:val="0"/>
          <w:i w:val="0"/>
        </w:rPr>
        <w:t xml:space="preserve"> 和微小批次移除 </w:t>
      </w:r>
      <w:r>
        <w:rPr>
          <w:rFonts w:ascii="DejaVu Sans Mono" w:hAnsi="DejaVu Sans Mono"/>
          <w:b w:val="0"/>
          <w:i w:val="0"/>
          <w:sz w:val="17"/>
        </w:rPr>
        <w:t>discard</w:t>
      </w:r>
      <w:r>
        <w:rPr>
          <w:b w:val="0"/>
          <w:i w:val="0"/>
        </w:rPr>
        <w:t>，均以 MWh 计：</w:t>
      </w:r>
    </w:p>
    <w:p>
      <w:pPr>
        <w:spacing w:after="160"/>
        <w:jc w:val="center"/>
      </w:pPr>
      <w:r>
        <w:drawing>
          <wp:inline xmlns:a="http://schemas.openxmlformats.org/drawingml/2006/main" xmlns:pic="http://schemas.openxmlformats.org/drawingml/2006/picture">
            <wp:extent cx="4360925" cy="845672"/>
            <wp:docPr id="125" name="Picture 125"/>
            <wp:cNvGraphicFramePr>
              <a:graphicFrameLocks noChangeAspect="1"/>
            </wp:cNvGraphicFramePr>
            <a:graphic>
              <a:graphicData uri="http://schemas.openxmlformats.org/drawingml/2006/picture">
                <pic:pic>
                  <pic:nvPicPr>
                    <pic:cNvPr id="0" name="eq-125.png"/>
                    <pic:cNvPicPr/>
                  </pic:nvPicPr>
                  <pic:blipFill>
                    <a:blip r:embed="rId127"/>
                    <a:stretch>
                      <a:fillRect/>
                    </a:stretch>
                  </pic:blipFill>
                  <pic:spPr>
                    <a:xfrm>
                      <a:off x="0" y="0"/>
                      <a:ext cx="4360925" cy="845672"/>
                    </a:xfrm>
                    <a:prstGeom prst="rect"/>
                  </pic:spPr>
                </pic:pic>
              </a:graphicData>
            </a:graphic>
          </wp:inline>
        </w:drawing>
      </w:r>
    </w:p>
    <w:p>
      <w:r>
        <w:rPr>
          <w:rFonts w:ascii="DejaVu Sans Mono" w:hAnsi="DejaVu Sans Mono"/>
          <w:b w:val="0"/>
          <w:i w:val="0"/>
          <w:sz w:val="17"/>
        </w:rPr>
        <w:t>commit_period</w:t>
      </w:r>
      <w:r>
        <w:rPr>
          <w:b w:val="0"/>
          <w:i w:val="0"/>
        </w:rPr>
        <w:t xml:space="preserve"> 将期末储能批次、机组记忆和接纳机组集合传入下一期。进入储能和出口的风光发电量归属至相应来源。</w:t>
      </w:r>
    </w:p>
    <w:p>
      <w:pPr>
        <w:pStyle w:val="Heading2"/>
      </w:pPr>
      <w:r>
        <w:rPr>
          <w:b w:val="0"/>
          <w:i w:val="0"/>
        </w:rPr>
        <w:t>实验路径结算与年度费用</w:t>
      </w:r>
    </w:p>
    <w:p>
      <w:r>
        <w:rPr>
          <w:b w:val="0"/>
          <w:i w:val="0"/>
        </w:rPr>
        <w:t>实验引擎在日前和上调市场分别按发电与储能的最高接纳报价结算。</w:t>
      </w:r>
      <w:r>
        <w:rPr>
          <w:rFonts w:ascii="DejaVu Sans Mono" w:hAnsi="DejaVu Sans Mono"/>
          <w:b w:val="0"/>
          <w:i w:val="0"/>
          <w:sz w:val="17"/>
        </w:rPr>
        <w:t>acm_income</w:t>
      </w:r>
      <w:r>
        <w:rPr>
          <w:b w:val="0"/>
          <w:i w:val="0"/>
        </w:rPr>
        <w:t xml:space="preserve"> 在下调改变出力前记录日前现金，将接纳 MW 乘 </w:t>
      </w:r>
      <w:r>
        <w:rPr>
          <w:rFonts w:ascii="DejaVu Sans Mono" w:hAnsi="DejaVu Sans Mono"/>
          <w:b w:val="0"/>
          <w:i w:val="0"/>
          <w:sz w:val="17"/>
        </w:rPr>
        <w:t>period_hours</w:t>
      </w:r>
      <w:r>
        <w:rPr>
          <w:b w:val="0"/>
          <w:i w:val="0"/>
        </w:rPr>
        <w:t xml:space="preserve"> 及对应 </w:t>
      </w:r>
      <w:r>
        <w:rPr>
          <w:rFonts w:ascii="DejaVu Sans Mono" w:hAnsi="DejaVu Sans Mono"/>
          <w:b w:val="0"/>
          <w:i w:val="0"/>
          <w:sz w:val="17"/>
        </w:rPr>
        <w:t>max_gen_price</w:t>
      </w:r>
      <w:r>
        <w:rPr>
          <w:b w:val="0"/>
          <w:i w:val="0"/>
        </w:rPr>
        <w:t xml:space="preserve"> 或 </w:t>
      </w:r>
      <w:r>
        <w:rPr>
          <w:rFonts w:ascii="DejaVu Sans Mono" w:hAnsi="DejaVu Sans Mono"/>
          <w:b w:val="0"/>
          <w:i w:val="0"/>
          <w:sz w:val="17"/>
        </w:rPr>
        <w:t>max_bat_price</w:t>
      </w:r>
      <w:r>
        <w:rPr>
          <w:b w:val="0"/>
          <w:i w:val="0"/>
        </w:rPr>
        <w:t>。储能独自供给时获得储能结算，</w:t>
      </w:r>
      <w:r>
        <w:rPr>
          <w:rFonts w:ascii="DejaVu Sans Mono" w:hAnsi="DejaVu Sans Mono"/>
          <w:b w:val="0"/>
          <w:i w:val="0"/>
          <w:sz w:val="17"/>
        </w:rPr>
        <w:t>acm_income_balance</w:t>
      </w:r>
      <w:r>
        <w:rPr>
          <w:b w:val="0"/>
          <w:i w:val="0"/>
        </w:rPr>
        <w:t xml:space="preserve"> 对上调供应采用相同类别价格。</w:t>
      </w:r>
    </w:p>
    <w:p>
      <w:r>
        <w:rPr>
          <w:b w:val="0"/>
          <w:i w:val="0"/>
        </w:rPr>
        <w:t>下调现金保留配置价格的符号。各接纳动作中，</w:t>
      </w:r>
      <w:r>
        <w:rPr>
          <w:rFonts w:ascii="DejaVu Sans Mono" w:hAnsi="DejaVu Sans Mono"/>
          <w:b w:val="0"/>
          <w:i w:val="0"/>
          <w:sz w:val="17"/>
        </w:rPr>
        <w:t>quantity</w:t>
      </w:r>
      <w:r>
        <w:rPr>
          <w:b w:val="0"/>
          <w:i w:val="0"/>
        </w:rPr>
        <w:t xml:space="preserve"> 为 MW，</w:t>
      </w:r>
      <w:r>
        <w:rPr>
          <w:rFonts w:ascii="DejaVu Sans Mono" w:hAnsi="DejaVu Sans Mono"/>
          <w:b w:val="0"/>
          <w:i w:val="0"/>
          <w:sz w:val="17"/>
        </w:rPr>
        <w:t>price</w:t>
      </w:r>
      <w:r>
        <w:rPr>
          <w:b w:val="0"/>
          <w:i w:val="0"/>
        </w:rPr>
        <w:t xml:space="preserve"> 为 GBP/MWh。引擎计算 </w:t>
      </w:r>
      <w:r>
        <w:rPr>
          <w:rFonts w:ascii="DejaVu Sans Mono" w:hAnsi="DejaVu Sans Mono"/>
          <w:b w:val="0"/>
          <w:i w:val="0"/>
          <w:sz w:val="17"/>
        </w:rPr>
        <w:t>raw_gbp = quantity * 0.5 * price</w:t>
      </w:r>
      <w:r>
        <w:rPr>
          <w:b w:val="0"/>
          <w:i w:val="0"/>
        </w:rPr>
        <w:t xml:space="preserve">，火电、生物质及水电计入 </w:t>
      </w:r>
      <w:r>
        <w:rPr>
          <w:rFonts w:ascii="DejaVu Sans Mono" w:hAnsi="DejaVu Sans Mono"/>
          <w:b w:val="0"/>
          <w:i w:val="0"/>
          <w:sz w:val="17"/>
        </w:rPr>
        <w:t>down_cash</w:t>
      </w:r>
      <w:r>
        <w:rPr>
          <w:b w:val="0"/>
          <w:i w:val="0"/>
        </w:rPr>
        <w:t xml:space="preserve">；核电、风光与储能计入 </w:t>
      </w:r>
      <w:r>
        <w:rPr>
          <w:rFonts w:ascii="DejaVu Sans Mono" w:hAnsi="DejaVu Sans Mono"/>
          <w:b w:val="0"/>
          <w:i w:val="0"/>
          <w:sz w:val="17"/>
        </w:rPr>
        <w:t>legacy_down</w:t>
      </w:r>
      <w:r>
        <w:rPr>
          <w:b w:val="0"/>
          <w:i w:val="0"/>
        </w:rPr>
        <w:t xml:space="preserve"> 作为诊断。每项资产的 </w:t>
      </w:r>
      <w:r>
        <w:rPr>
          <w:rFonts w:ascii="DejaVu Sans Mono" w:hAnsi="DejaVu Sans Mono"/>
          <w:b w:val="0"/>
          <w:i w:val="0"/>
          <w:sz w:val="17"/>
        </w:rPr>
        <w:t>income_balance</w:t>
      </w:r>
      <w:r>
        <w:rPr>
          <w:b w:val="0"/>
          <w:i w:val="0"/>
        </w:rPr>
        <w:t xml:space="preserve"> 为 </w:t>
      </w:r>
      <w:r>
        <w:rPr>
          <w:rFonts w:ascii="DejaVu Sans Mono" w:hAnsi="DejaVu Sans Mono"/>
          <w:b w:val="0"/>
          <w:i w:val="0"/>
          <w:sz w:val="17"/>
        </w:rPr>
        <w:t>income_up</w:t>
      </w:r>
      <w:r>
        <w:rPr>
          <w:b w:val="0"/>
          <w:i w:val="0"/>
        </w:rPr>
        <w:t xml:space="preserve"> 加 </w:t>
      </w:r>
      <w:r>
        <w:rPr>
          <w:rFonts w:ascii="DejaVu Sans Mono" w:hAnsi="DejaVu Sans Mono"/>
          <w:b w:val="0"/>
          <w:i w:val="0"/>
          <w:sz w:val="17"/>
        </w:rPr>
        <w:t>down_cash</w:t>
      </w:r>
      <w:r>
        <w:rPr>
          <w:b w:val="0"/>
          <w:i w:val="0"/>
        </w:rPr>
        <w:t>，</w:t>
      </w:r>
      <w:r>
        <w:rPr>
          <w:rFonts w:ascii="DejaVu Sans Mono" w:hAnsi="DejaVu Sans Mono"/>
          <w:b w:val="0"/>
          <w:i w:val="0"/>
          <w:sz w:val="17"/>
        </w:rPr>
        <w:t>income_ahead</w:t>
      </w:r>
      <w:r>
        <w:rPr>
          <w:b w:val="0"/>
          <w:i w:val="0"/>
        </w:rPr>
        <w:t xml:space="preserve"> 单列。</w:t>
      </w:r>
    </w:p>
    <w:p>
      <w:r>
        <w:rPr>
          <w:b w:val="0"/>
          <w:i w:val="0"/>
        </w:rPr>
        <w:t xml:space="preserve">变量运营支出按 </w:t>
      </w:r>
      <w:r>
        <w:rPr>
          <w:rFonts w:ascii="DejaVu Sans Mono" w:hAnsi="DejaVu Sans Mono"/>
          <w:b w:val="0"/>
          <w:i w:val="0"/>
          <w:sz w:val="17"/>
        </w:rPr>
        <w:t>gen_cost</w:t>
      </w:r>
      <w:r>
        <w:rPr>
          <w:b w:val="0"/>
          <w:i w:val="0"/>
        </w:rPr>
        <w:t xml:space="preserve"> 计量最终发电，按 </w:t>
      </w:r>
      <w:r>
        <w:rPr>
          <w:rFonts w:ascii="DejaVu Sans Mono" w:hAnsi="DejaVu Sans Mono"/>
          <w:b w:val="0"/>
          <w:i w:val="0"/>
          <w:sz w:val="17"/>
        </w:rPr>
        <w:t>external_price</w:t>
      </w:r>
      <w:r>
        <w:rPr>
          <w:b w:val="0"/>
          <w:i w:val="0"/>
        </w:rPr>
        <w:t xml:space="preserve"> 计量进口，储能变量运营支出为零。燃料、碳价和其他费用构成总量的分项，出口收入与进口采购保留各自现金方向。</w:t>
      </w:r>
    </w:p>
    <w:p>
      <w:pPr>
        <w:keepNext/>
      </w:pPr>
      <w:r>
        <w:rPr>
          <w:b w:val="0"/>
          <w:i w:val="0"/>
        </w:rPr>
        <w:t>年度系统费用合计变量支出、显式固定费用、年化资本和缺电估值。</w:t>
      </w:r>
      <w:r>
        <w:rPr>
          <w:rFonts w:ascii="DejaVu Sans Mono" w:hAnsi="DejaVu Sans Mono"/>
          <w:b w:val="0"/>
          <w:i w:val="0"/>
          <w:sz w:val="17"/>
        </w:rPr>
        <w:t>DoctoralNationalPSM</w:t>
      </w:r>
      <w:r>
        <w:rPr>
          <w:b w:val="0"/>
          <w:i w:val="0"/>
        </w:rPr>
        <w:t xml:space="preserve"> 从资产记录与期间合计取得 </w:t>
      </w:r>
      <w:r>
        <w:rPr>
          <w:rFonts w:ascii="DejaVu Sans Mono" w:hAnsi="DejaVu Sans Mono"/>
          <w:b w:val="0"/>
          <w:i w:val="0"/>
          <w:sz w:val="17"/>
        </w:rPr>
        <w:t>variable</w:t>
      </w:r>
      <w:r>
        <w:rPr>
          <w:b w:val="0"/>
          <w:i w:val="0"/>
        </w:rPr>
        <w:t>、</w:t>
      </w:r>
      <w:r>
        <w:rPr>
          <w:rFonts w:ascii="DejaVu Sans Mono" w:hAnsi="DejaVu Sans Mono"/>
          <w:b w:val="0"/>
          <w:i w:val="0"/>
          <w:sz w:val="17"/>
        </w:rPr>
        <w:t>fixed</w:t>
      </w:r>
      <w:r>
        <w:rPr>
          <w:b w:val="0"/>
          <w:i w:val="0"/>
        </w:rPr>
        <w:t xml:space="preserve"> 和 </w:t>
      </w:r>
      <w:r>
        <w:rPr>
          <w:rFonts w:ascii="DejaVu Sans Mono" w:hAnsi="DejaVu Sans Mono"/>
          <w:b w:val="0"/>
          <w:i w:val="0"/>
          <w:sz w:val="17"/>
        </w:rPr>
        <w:t>capital</w:t>
      </w:r>
      <w:r>
        <w:rPr>
          <w:b w:val="0"/>
          <w:i w:val="0"/>
        </w:rPr>
        <w:t>：</w:t>
      </w:r>
    </w:p>
    <w:p>
      <w:pPr>
        <w:spacing w:after="160"/>
        <w:jc w:val="center"/>
      </w:pPr>
      <w:r>
        <w:drawing>
          <wp:inline xmlns:a="http://schemas.openxmlformats.org/drawingml/2006/main" xmlns:pic="http://schemas.openxmlformats.org/drawingml/2006/picture">
            <wp:extent cx="6217920" cy="145980"/>
            <wp:docPr id="126" name="Picture 126"/>
            <wp:cNvGraphicFramePr>
              <a:graphicFrameLocks noChangeAspect="1"/>
            </wp:cNvGraphicFramePr>
            <a:graphic>
              <a:graphicData uri="http://schemas.openxmlformats.org/drawingml/2006/picture">
                <pic:pic>
                  <pic:nvPicPr>
                    <pic:cNvPr id="0" name="eq-126.png"/>
                    <pic:cNvPicPr/>
                  </pic:nvPicPr>
                  <pic:blipFill>
                    <a:blip r:embed="rId128"/>
                    <a:stretch>
                      <a:fillRect/>
                    </a:stretch>
                  </pic:blipFill>
                  <pic:spPr>
                    <a:xfrm>
                      <a:off x="0" y="0"/>
                      <a:ext cx="6217920" cy="145980"/>
                    </a:xfrm>
                    <a:prstGeom prst="rect"/>
                  </pic:spPr>
                </pic:pic>
              </a:graphicData>
            </a:graphic>
          </wp:inline>
        </w:drawing>
      </w:r>
    </w:p>
    <w:p>
      <w:r>
        <w:rPr>
          <w:b w:val="0"/>
          <w:i w:val="0"/>
        </w:rPr>
        <w:t xml:space="preserve">固定费用和资本费用进入完整 17,520 期年度汇总，较短诊断运行中两者均为零。年度发电包含储能放电与边界供给。显示的“Ahead settlement price”采用日前发电价格，可靠性系数读取 </w:t>
      </w:r>
      <w:r>
        <w:rPr>
          <w:rFonts w:ascii="DejaVu Sans Mono" w:hAnsi="DejaVu Sans Mono"/>
          <w:b w:val="0"/>
          <w:i w:val="0"/>
          <w:sz w:val="17"/>
        </w:rPr>
        <w:t>market.voll_gbp_per_mwh</w:t>
      </w:r>
      <w:r>
        <w:rPr>
          <w:b w:val="0"/>
          <w:i w:val="0"/>
        </w:rPr>
        <w:t>，默认 £17,000/MWh。第 6 章介绍读取这些完整实验现金记录的年度账户与投资辅助函数。</w:t>
      </w:r>
    </w:p>
    <w:p>
      <w:pPr>
        <w:pStyle w:val="Heading1"/>
      </w:pPr>
      <w:r>
        <w:rPr>
          <w:b w:val="0"/>
          <w:i w:val="0"/>
        </w:rPr>
        <w:t>6 实验性年度账户与投资</w:t>
      </w:r>
    </w:p>
    <w:p>
      <w:r>
        <w:rPr>
          <w:b w:val="0"/>
          <w:i w:val="0"/>
        </w:rPr>
        <w:t>实验性全国路径向独立的年度账户与投资函数提供时段现金流和物理状态。</w:t>
      </w:r>
      <w:r>
        <w:rPr>
          <w:rFonts w:ascii="DejaVu Sans Mono" w:hAnsi="DejaVu Sans Mono"/>
          <w:b w:val="0"/>
          <w:i w:val="0"/>
          <w:sz w:val="17"/>
        </w:rPr>
        <w:t>doctoral.investment_​basis=thesis_​final9.6</w:t>
      </w:r>
      <w:r>
        <w:rPr>
          <w:b w:val="0"/>
          <w:i w:val="0"/>
        </w:rPr>
        <w:t xml:space="preserve"> 选择 </w:t>
      </w:r>
      <w:r>
        <w:rPr>
          <w:rFonts w:ascii="DejaVu Sans Mono" w:hAnsi="DejaVu Sans Mono"/>
          <w:b w:val="0"/>
          <w:i w:val="0"/>
          <w:sz w:val="17"/>
        </w:rPr>
        <w:t>build_​thesis96_​asset_​accounts</w:t>
      </w:r>
      <w:r>
        <w:rPr>
          <w:b w:val="0"/>
          <w:i w:val="0"/>
        </w:rPr>
        <w:t>、</w:t>
      </w:r>
      <w:r>
        <w:rPr>
          <w:rFonts w:ascii="DejaVu Sans Mono" w:hAnsi="DejaVu Sans Mono"/>
          <w:b w:val="0"/>
          <w:i w:val="0"/>
          <w:sz w:val="17"/>
        </w:rPr>
        <w:t>evaluate_​thesis96_​investment_​accounts</w:t>
      </w:r>
      <w:r>
        <w:rPr>
          <w:b w:val="0"/>
          <w:i w:val="0"/>
        </w:rPr>
        <w:t xml:space="preserve"> 及以下政策和规划规则。第 4 章给出默认投资规则。实验性 PSM 支持固定年份调度，结果中的 </w:t>
      </w:r>
      <w:r>
        <w:rPr>
          <w:rFonts w:ascii="DejaVu Sans Mono" w:hAnsi="DejaVu Sans Mono"/>
          <w:b w:val="0"/>
          <w:i w:val="0"/>
          <w:sz w:val="17"/>
        </w:rPr>
        <w:t>scientific_​release_​eligible=false</w:t>
      </w:r>
      <w:r>
        <w:rPr>
          <w:b w:val="0"/>
          <w:i w:val="0"/>
        </w:rPr>
        <w:t xml:space="preserve"> 与 </w:t>
      </w:r>
      <w:r>
        <w:rPr>
          <w:rFonts w:ascii="DejaVu Sans Mono" w:hAnsi="DejaVu Sans Mono"/>
          <w:b w:val="0"/>
          <w:i w:val="0"/>
          <w:sz w:val="17"/>
        </w:rPr>
        <w:t>doctoral_​annual_​cem_​ready=false</w:t>
      </w:r>
      <w:r>
        <w:rPr>
          <w:b w:val="0"/>
          <w:i w:val="0"/>
        </w:rPr>
        <w:t xml:space="preserve"> 保留其年度接口状态。</w:t>
      </w:r>
    </w:p>
    <w:p>
      <w:r>
        <w:rPr>
          <w:b w:val="0"/>
          <w:i w:val="0"/>
        </w:rPr>
        <w:t>R029 是全国研究及其输入系列的名称。public1 含 8,761 个小时光伏值，缺少所需时段声明，其数据资格排除修正读取器与论文复现白名单。public2 移除 2023-01-01 00:00 UTC 的末值，并将三条风光曲线声明为小时数据。public2 随 VALUE 0.7.0-alpha.1 发布，通过</w:t>
      </w:r>
      <w:r>
        <w:rPr>
          <w:b w:val="0"/>
          <w:i w:val="0"/>
        </w:rPr>
        <w:t>官网数据页</w:t>
      </w:r>
      <w:r>
        <w:rPr>
          <w:b w:val="0"/>
          <w:i w:val="0"/>
        </w:rPr>
        <w:t>提供，并已用于修正 Native 调度。本章实验性计算采用显式提供的年度账户、时段序列与参数。</w:t>
      </w:r>
    </w:p>
    <w:p>
      <w:pPr>
        <w:pStyle w:val="Heading2"/>
      </w:pPr>
      <w:r>
        <w:rPr>
          <w:b w:val="0"/>
          <w:i w:val="0"/>
        </w:rPr>
        <w:t>年度账户与决策分组</w:t>
      </w:r>
    </w:p>
    <w:p>
      <w:r>
        <w:rPr>
          <w:b w:val="0"/>
          <w:i w:val="0"/>
        </w:rPr>
        <w:t>资产运行盈余汇总提前、平衡及政策收入，再扣除可变与固定运营费。</w:t>
      </w:r>
      <w:r>
        <w:rPr>
          <w:rFonts w:ascii="DejaVu Sans Mono" w:hAnsi="DejaVu Sans Mono"/>
          <w:b w:val="0"/>
          <w:i w:val="0"/>
          <w:sz w:val="17"/>
        </w:rPr>
        <w:t>build_​thesis96_​asset_​accounts</w:t>
      </w:r>
      <w:r>
        <w:rPr>
          <w:b w:val="0"/>
          <w:i w:val="0"/>
        </w:rPr>
        <w:t xml:space="preserve"> 要求完整的 17,520 个半小时时段，每项资产提供 </w:t>
      </w:r>
      <w:r>
        <w:rPr>
          <w:rFonts w:ascii="DejaVu Sans Mono" w:hAnsi="DejaVu Sans Mono"/>
          <w:b w:val="0"/>
          <w:i w:val="0"/>
          <w:sz w:val="17"/>
        </w:rPr>
        <w:t>annual_fixed_opex_gbp</w:t>
      </w:r>
      <w:r>
        <w:rPr>
          <w:b w:val="0"/>
          <w:i w:val="0"/>
        </w:rPr>
        <w:t xml:space="preserve"> 与 </w:t>
      </w:r>
      <w:r>
        <w:rPr>
          <w:rFonts w:ascii="DejaVu Sans Mono" w:hAnsi="DejaVu Sans Mono"/>
          <w:b w:val="0"/>
          <w:i w:val="0"/>
          <w:sz w:val="17"/>
        </w:rPr>
        <w:t>annualized_​capital_​cost_​gbp</w:t>
      </w:r>
      <w:r>
        <w:rPr>
          <w:b w:val="0"/>
          <w:i w:val="0"/>
        </w:rPr>
        <w:t>，时段账本提供市场收入及运行成本。以下账户金额均为该年度 GBP：</w:t>
      </w:r>
    </w:p>
    <w:p>
      <w:pPr>
        <w:keepLines/>
        <w:spacing w:line="276" w:lineRule="auto" w:after="160"/>
      </w:pPr>
      <w:r>
        <w:rPr>
          <w:rFonts w:ascii="DejaVu Sans Mono" w:hAnsi="DejaVu Sans Mono"/>
          <w:b w:val="0"/>
          <w:i w:val="0"/>
          <w:sz w:val="17"/>
        </w:rPr>
        <w:t>operating_surplus_gbp = (</w:t>
        <w:br/>
        <w:t xml:space="preserve">    market_income_gbp + balancing_income_gbp</w:t>
        <w:br/>
        <w:t xml:space="preserve">    + cm_income_gbp + decarb_income_gbp + ancillary_income_gbp</w:t>
        <w:br/>
        <w:t xml:space="preserve">    - variable_​operating_​cost_​gbp - annual_fixed_opex_gbp)</w:t>
        <w:br/>
        <w:t>annual_profit_gbp = operating_surplus_gbp - annualized_​capital_​cost_​gbp</w:t>
        <w:br/>
      </w:r>
    </w:p>
    <w:p>
      <w:r>
        <w:rPr>
          <w:b w:val="0"/>
          <w:i w:val="0"/>
        </w:rPr>
        <w:t xml:space="preserve">账户将运行盈余保存为 </w:t>
      </w:r>
      <w:r>
        <w:rPr>
          <w:rFonts w:ascii="DejaVu Sans Mono" w:hAnsi="DejaVu Sans Mono"/>
          <w:b w:val="0"/>
          <w:i w:val="0"/>
          <w:sz w:val="17"/>
        </w:rPr>
        <w:t>net_revenue_gbp</w:t>
      </w:r>
      <w:r>
        <w:rPr>
          <w:b w:val="0"/>
          <w:i w:val="0"/>
        </w:rPr>
        <w:t xml:space="preserve">，将扣除资本后的利润保存为 </w:t>
      </w:r>
      <w:r>
        <w:rPr>
          <w:rFonts w:ascii="DejaVu Sans Mono" w:hAnsi="DejaVu Sans Mono"/>
          <w:b w:val="0"/>
          <w:i w:val="0"/>
          <w:sz w:val="17"/>
        </w:rPr>
        <w:t>net_profit_gbp</w:t>
      </w:r>
      <w:r>
        <w:rPr>
          <w:b w:val="0"/>
          <w:i w:val="0"/>
        </w:rPr>
        <w:t>。此处显式提供的固定运营费扣除一次；第 4 章给出默认风电、光伏及储能把固定运营费计入平准化建设成本的处理。</w:t>
      </w:r>
    </w:p>
    <w:p>
      <w:r>
        <w:rPr>
          <w:rFonts w:ascii="DejaVu Sans Mono" w:hAnsi="DejaVu Sans Mono"/>
          <w:b w:val="0"/>
          <w:i w:val="0"/>
          <w:sz w:val="17"/>
        </w:rPr>
        <w:t>decide_​doctoral_​investment</w:t>
      </w:r>
      <w:r>
        <w:rPr>
          <w:b w:val="0"/>
          <w:i w:val="0"/>
        </w:rPr>
        <w:t xml:space="preserve"> 按投资主体与技术合并在运且容量为正的资产，汇总年度盈余和资本，计算容量加权的单位 MW 建设成本，取最高偏好收益率及最短退役目标，再按运行 MW 份额向各地区分配新增容量。核电与直接电解制氢按外生方式处理，新建天然水电与抽水蓄能要求场址输入。</w:t>
      </w:r>
    </w:p>
    <w:p>
      <w:pPr>
        <w:keepNext/>
      </w:pPr>
      <w:r>
        <w:rPr>
          <w:b w:val="0"/>
          <w:i w:val="0"/>
        </w:rPr>
        <w:t xml:space="preserve">评估器从 </w:t>
      </w:r>
      <w:r>
        <w:rPr>
          <w:rFonts w:ascii="DejaVu Sans Mono" w:hAnsi="DejaVu Sans Mono"/>
          <w:b w:val="0"/>
          <w:i w:val="0"/>
          <w:sz w:val="17"/>
        </w:rPr>
        <w:t>operating_surplus_gbp</w:t>
      </w:r>
      <w:r>
        <w:rPr>
          <w:b w:val="0"/>
          <w:i w:val="0"/>
        </w:rPr>
        <w:t xml:space="preserve"> 读取 </w:t>
      </w:r>
      <w:r>
        <w:rPr>
          <w:rFonts w:ascii="DejaVu Sans Mono" w:hAnsi="DejaVu Sans Mono"/>
          <w:b w:val="0"/>
          <w:i w:val="0"/>
          <w:sz w:val="17"/>
        </w:rPr>
        <w:t>surplus</w:t>
      </w:r>
      <w:r>
        <w:rPr>
          <w:b w:val="0"/>
          <w:i w:val="0"/>
        </w:rPr>
        <w:t xml:space="preserve">，从 </w:t>
      </w:r>
      <w:r>
        <w:rPr>
          <w:rFonts w:ascii="DejaVu Sans Mono" w:hAnsi="DejaVu Sans Mono"/>
          <w:b w:val="0"/>
          <w:i w:val="0"/>
          <w:sz w:val="17"/>
        </w:rPr>
        <w:t>annualized_​capital_​cost_​gbp</w:t>
      </w:r>
      <w:r>
        <w:rPr>
          <w:b w:val="0"/>
          <w:i w:val="0"/>
        </w:rPr>
        <w:t xml:space="preserve"> 读取 </w:t>
      </w:r>
      <w:r>
        <w:rPr>
          <w:rFonts w:ascii="DejaVu Sans Mono" w:hAnsi="DejaVu Sans Mono"/>
          <w:b w:val="0"/>
          <w:i w:val="0"/>
          <w:sz w:val="17"/>
        </w:rPr>
        <w:t>annual_capital</w:t>
      </w:r>
      <w:r>
        <w:rPr>
          <w:b w:val="0"/>
          <w:i w:val="0"/>
        </w:rPr>
        <w:t xml:space="preserve">，从 </w:t>
      </w:r>
      <w:r>
        <w:rPr>
          <w:rFonts w:ascii="DejaVu Sans Mono" w:hAnsi="DejaVu Sans Mono"/>
          <w:b w:val="0"/>
          <w:i w:val="0"/>
          <w:sz w:val="17"/>
        </w:rPr>
        <w:t>capital_cost_per_mw_gbp</w:t>
      </w:r>
      <w:r>
        <w:rPr>
          <w:b w:val="0"/>
          <w:i w:val="0"/>
        </w:rPr>
        <w:t xml:space="preserve"> 读取 </w:t>
      </w:r>
      <w:r>
        <w:rPr>
          <w:rFonts w:ascii="DejaVu Sans Mono" w:hAnsi="DejaVu Sans Mono"/>
          <w:b w:val="0"/>
          <w:i w:val="0"/>
          <w:sz w:val="17"/>
        </w:rPr>
        <w:t>capex</w:t>
      </w:r>
      <w:r>
        <w:rPr>
          <w:b w:val="0"/>
          <w:i w:val="0"/>
        </w:rPr>
        <w:t xml:space="preserve">，从 </w:t>
      </w:r>
      <w:r>
        <w:rPr>
          <w:rFonts w:ascii="DejaVu Sans Mono" w:hAnsi="DejaVu Sans Mono"/>
          <w:b w:val="0"/>
          <w:i w:val="0"/>
          <w:sz w:val="17"/>
        </w:rPr>
        <w:t>preferred_rate</w:t>
      </w:r>
      <w:r>
        <w:rPr>
          <w:b w:val="0"/>
          <w:i w:val="0"/>
        </w:rPr>
        <w:t xml:space="preserve"> 读取 </w:t>
      </w:r>
      <w:r>
        <w:rPr>
          <w:rFonts w:ascii="DejaVu Sans Mono" w:hAnsi="DejaVu Sans Mono"/>
          <w:b w:val="0"/>
          <w:i w:val="0"/>
          <w:sz w:val="17"/>
        </w:rPr>
        <w:t>preferred</w:t>
      </w:r>
      <w:r>
        <w:rPr>
          <w:b w:val="0"/>
          <w:i w:val="0"/>
        </w:rPr>
        <w:t xml:space="preserve">。年度资本与单位建设成本均须为正，其 </w:t>
      </w:r>
      <w:r>
        <w:rPr>
          <w:rFonts w:ascii="DejaVu Sans Mono" w:hAnsi="DejaVu Sans Mono"/>
          <w:b w:val="0"/>
          <w:i w:val="0"/>
          <w:sz w:val="17"/>
        </w:rPr>
        <w:t>profit</w:t>
      </w:r>
      <w:r>
        <w:rPr>
          <w:b w:val="0"/>
          <w:i w:val="0"/>
        </w:rPr>
        <w:t xml:space="preserve">、年利润率 </w:t>
      </w:r>
      <w:r>
        <w:rPr>
          <w:rFonts w:ascii="DejaVu Sans Mono" w:hAnsi="DejaVu Sans Mono"/>
          <w:b w:val="0"/>
          <w:i w:val="0"/>
          <w:sz w:val="17"/>
        </w:rPr>
        <w:t>rate</w:t>
      </w:r>
      <w:r>
        <w:rPr>
          <w:b w:val="0"/>
          <w:i w:val="0"/>
        </w:rPr>
        <w:t xml:space="preserve"> 和决策分类为：</w:t>
      </w:r>
    </w:p>
    <w:p>
      <w:pPr>
        <w:spacing w:after="160"/>
        <w:jc w:val="center"/>
      </w:pPr>
      <w:r>
        <w:drawing>
          <wp:inline xmlns:a="http://schemas.openxmlformats.org/drawingml/2006/main" xmlns:pic="http://schemas.openxmlformats.org/drawingml/2006/picture">
            <wp:extent cx="5288661" cy="379558"/>
            <wp:docPr id="127" name="Picture 127"/>
            <wp:cNvGraphicFramePr>
              <a:graphicFrameLocks noChangeAspect="1"/>
            </wp:cNvGraphicFramePr>
            <a:graphic>
              <a:graphicData uri="http://schemas.openxmlformats.org/drawingml/2006/picture">
                <pic:pic>
                  <pic:nvPicPr>
                    <pic:cNvPr id="0" name="eq-127.png"/>
                    <pic:cNvPicPr/>
                  </pic:nvPicPr>
                  <pic:blipFill>
                    <a:blip r:embed="rId129"/>
                    <a:stretch>
                      <a:fillRect/>
                    </a:stretch>
                  </pic:blipFill>
                  <pic:spPr>
                    <a:xfrm>
                      <a:off x="0" y="0"/>
                      <a:ext cx="5288661" cy="379558"/>
                    </a:xfrm>
                    <a:prstGeom prst="rect"/>
                  </pic:spPr>
                </pic:pic>
              </a:graphicData>
            </a:graphic>
          </wp:inline>
        </w:drawing>
      </w:r>
    </w:p>
    <w:p>
      <w:pPr>
        <w:keepLines/>
        <w:spacing w:line="276" w:lineRule="auto" w:after="160"/>
      </w:pPr>
      <w:r>
        <w:rPr>
          <w:rFonts w:ascii="DejaVu Sans Mono" w:hAnsi="DejaVu Sans Mono"/>
          <w:b w:val="0"/>
          <w:i w:val="0"/>
          <w:sz w:val="17"/>
        </w:rPr>
        <w:t>if surplus &gt; annual_capital * (1 + preferred):</w:t>
        <w:br/>
        <w:t xml:space="preserve">    recommendation = "Invest_High"</w:t>
        <w:br/>
        <w:t>elif profit &gt; 0:</w:t>
        <w:br/>
        <w:t xml:space="preserve">    recommendation = "Invest_Profit"</w:t>
        <w:br/>
        <w:t>elif surplus &lt; 0:</w:t>
        <w:br/>
        <w:t xml:space="preserve">    recommendation = "Deplete"</w:t>
        <w:br/>
        <w:t>else:</w:t>
        <w:br/>
        <w:t xml:space="preserve">    recommendation = "Do_Nothing"</w:t>
        <w:br/>
      </w:r>
    </w:p>
    <w:p>
      <w:r>
        <w:rPr>
          <w:b w:val="0"/>
          <w:i w:val="0"/>
        </w:rPr>
        <w:t xml:space="preserve">达到高收益门槛等号且利润为正时归入 </w:t>
      </w:r>
      <w:r>
        <w:rPr>
          <w:rFonts w:ascii="DejaVu Sans Mono" w:hAnsi="DejaVu Sans Mono"/>
          <w:b w:val="0"/>
          <w:i w:val="0"/>
          <w:sz w:val="17"/>
        </w:rPr>
        <w:t>Invest_Profit</w:t>
      </w:r>
      <w:r>
        <w:rPr>
          <w:b w:val="0"/>
          <w:i w:val="0"/>
        </w:rPr>
        <w:t>。运行盈余非负、扣除资本后利润非正时保留容量。</w:t>
      </w:r>
      <w:r>
        <w:rPr>
          <w:rFonts w:ascii="DejaVu Sans Mono" w:hAnsi="DejaVu Sans Mono"/>
          <w:b w:val="0"/>
          <w:i w:val="0"/>
          <w:sz w:val="17"/>
        </w:rPr>
        <w:t>thesis_​final96_​contract.json</w:t>
      </w:r>
      <w:r>
        <w:rPr>
          <w:b w:val="0"/>
          <w:i w:val="0"/>
        </w:rPr>
        <w:t xml:space="preserve"> 中光伏与陆上风电偏好率为 0.076，海上风电为 0.089，储能为 0.12，评估器采用各账户显式提供的数值。</w:t>
      </w:r>
    </w:p>
    <w:p>
      <w:r>
        <w:rPr>
          <w:b w:val="0"/>
          <w:i w:val="0"/>
        </w:rPr>
        <w:t xml:space="preserve">亏损退役采用显式的 </w:t>
      </w:r>
      <w:r>
        <w:rPr>
          <w:rFonts w:ascii="DejaVu Sans Mono" w:hAnsi="DejaVu Sans Mono"/>
          <w:b w:val="0"/>
          <w:i w:val="0"/>
          <w:sz w:val="17"/>
        </w:rPr>
        <w:t>target_payback_years</w:t>
      </w:r>
      <w:r>
        <w:rPr>
          <w:b w:val="0"/>
          <w:i w:val="0"/>
        </w:rPr>
        <w:t xml:space="preserve">。默认值为光伏、CCGT、OCGT、氢储能 25 年，陆上及海上风电 30 年，生物质 20 年，三类电池 10 年；技术键 </w:t>
      </w:r>
      <w:r>
        <w:rPr>
          <w:rFonts w:ascii="DejaVu Sans Mono" w:hAnsi="DejaVu Sans Mono"/>
          <w:b w:val="0"/>
          <w:i w:val="0"/>
          <w:sz w:val="17"/>
        </w:rPr>
        <w:t>gas</w:t>
      </w:r>
      <w:r>
        <w:rPr>
          <w:b w:val="0"/>
          <w:i w:val="0"/>
        </w:rPr>
        <w:t xml:space="preserve"> 对应 20 年。</w:t>
      </w:r>
    </w:p>
    <w:p>
      <w:pPr>
        <w:pStyle w:val="Heading2"/>
      </w:pPr>
      <w:r>
        <w:rPr>
          <w:b w:val="0"/>
          <w:i w:val="0"/>
        </w:rPr>
        <w:t>扩容上限与投资量</w:t>
      </w:r>
    </w:p>
    <w:p>
      <w:pPr>
        <w:keepNext/>
      </w:pPr>
      <w:r>
        <w:rPr>
          <w:b w:val="0"/>
          <w:i w:val="0"/>
        </w:rPr>
        <w:t>实验性风光扩容限制在运风光与候选新增出力合计超过需求的时段数。</w:t>
      </w:r>
      <w:r>
        <w:rPr>
          <w:rFonts w:ascii="DejaVu Sans Mono" w:hAnsi="DejaVu Sans Mono"/>
          <w:b w:val="0"/>
          <w:i w:val="0"/>
          <w:sz w:val="17"/>
        </w:rPr>
        <w:t>thesis96_​vre_​annual_​expansion_​cap</w:t>
      </w:r>
      <w:r>
        <w:rPr>
          <w:b w:val="0"/>
          <w:i w:val="0"/>
        </w:rPr>
        <w:t xml:space="preserve"> 将 </w:t>
      </w:r>
      <w:r>
        <w:rPr>
          <w:rFonts w:ascii="DejaVu Sans Mono" w:hAnsi="DejaVu Sans Mono"/>
          <w:b w:val="0"/>
          <w:i w:val="0"/>
          <w:sz w:val="17"/>
        </w:rPr>
        <w:t>demand_mwh</w:t>
      </w:r>
      <w:r>
        <w:rPr>
          <w:b w:val="0"/>
          <w:i w:val="0"/>
        </w:rPr>
        <w:t>、</w:t>
      </w:r>
      <w:r>
        <w:rPr>
          <w:rFonts w:ascii="DejaVu Sans Mono" w:hAnsi="DejaVu Sans Mono"/>
          <w:b w:val="0"/>
          <w:i w:val="0"/>
          <w:sz w:val="17"/>
        </w:rPr>
        <w:t>operational_​vre_​available_​mwh</w:t>
      </w:r>
      <w:r>
        <w:rPr>
          <w:b w:val="0"/>
          <w:i w:val="0"/>
        </w:rPr>
        <w:t>、</w:t>
      </w:r>
      <w:r>
        <w:rPr>
          <w:rFonts w:ascii="DejaVu Sans Mono" w:hAnsi="DejaVu Sans Mono"/>
          <w:b w:val="0"/>
          <w:i w:val="0"/>
          <w:sz w:val="17"/>
        </w:rPr>
        <w:t>generation_per_mw_mwh</w:t>
      </w:r>
      <w:r>
        <w:rPr>
          <w:b w:val="0"/>
          <w:i w:val="0"/>
        </w:rPr>
        <w:t xml:space="preserve"> 分别读为 </w:t>
      </w:r>
      <w:r>
        <w:rPr>
          <w:rFonts w:ascii="DejaVu Sans Mono" w:hAnsi="DejaVu Sans Mono"/>
          <w:b w:val="0"/>
          <w:i w:val="0"/>
          <w:sz w:val="17"/>
        </w:rPr>
        <w:t>demand</w:t>
      </w:r>
      <w:r>
        <w:rPr>
          <w:b w:val="0"/>
          <w:i w:val="0"/>
        </w:rPr>
        <w:t>、</w:t>
      </w:r>
      <w:r>
        <w:rPr>
          <w:rFonts w:ascii="DejaVu Sans Mono" w:hAnsi="DejaVu Sans Mono"/>
          <w:b w:val="0"/>
          <w:i w:val="0"/>
          <w:sz w:val="17"/>
        </w:rPr>
        <w:t>available</w:t>
      </w:r>
      <w:r>
        <w:rPr>
          <w:b w:val="0"/>
          <w:i w:val="0"/>
        </w:rPr>
        <w:t>、</w:t>
      </w:r>
      <w:r>
        <w:rPr>
          <w:rFonts w:ascii="DejaVu Sans Mono" w:hAnsi="DejaVu Sans Mono"/>
          <w:b w:val="0"/>
          <w:i w:val="0"/>
          <w:sz w:val="17"/>
        </w:rPr>
        <w:t>profile</w:t>
      </w:r>
      <w:r>
        <w:rPr>
          <w:b w:val="0"/>
          <w:i w:val="0"/>
        </w:rPr>
        <w:t>。前两个数组为时段 MWh，</w:t>
      </w:r>
      <w:r>
        <w:rPr>
          <w:rFonts w:ascii="DejaVu Sans Mono" w:hAnsi="DejaVu Sans Mono"/>
          <w:b w:val="0"/>
          <w:i w:val="0"/>
          <w:sz w:val="17"/>
        </w:rPr>
        <w:t>profile</w:t>
      </w:r>
      <w:r>
        <w:rPr>
          <w:b w:val="0"/>
          <w:i w:val="0"/>
        </w:rPr>
        <w:t xml:space="preserve"> 为候选技术每 MW 在各时段的 MWh，计算为：</w:t>
      </w:r>
    </w:p>
    <w:p>
      <w:pPr>
        <w:spacing w:after="160"/>
        <w:jc w:val="center"/>
      </w:pPr>
      <w:r>
        <w:drawing>
          <wp:inline xmlns:a="http://schemas.openxmlformats.org/drawingml/2006/main" xmlns:pic="http://schemas.openxmlformats.org/drawingml/2006/picture">
            <wp:extent cx="5120868" cy="171458"/>
            <wp:docPr id="128" name="Picture 128"/>
            <wp:cNvGraphicFramePr>
              <a:graphicFrameLocks noChangeAspect="1"/>
            </wp:cNvGraphicFramePr>
            <a:graphic>
              <a:graphicData uri="http://schemas.openxmlformats.org/drawingml/2006/picture">
                <pic:pic>
                  <pic:nvPicPr>
                    <pic:cNvPr id="0" name="eq-128.png"/>
                    <pic:cNvPicPr/>
                  </pic:nvPicPr>
                  <pic:blipFill>
                    <a:blip r:embed="rId130"/>
                    <a:stretch>
                      <a:fillRect/>
                    </a:stretch>
                  </pic:blipFill>
                  <pic:spPr>
                    <a:xfrm>
                      <a:off x="0" y="0"/>
                      <a:ext cx="5120868" cy="171458"/>
                    </a:xfrm>
                    <a:prstGeom prst="rect"/>
                  </pic:spPr>
                </pic:pic>
              </a:graphicData>
            </a:graphic>
          </wp:inline>
        </w:drawing>
      </w:r>
    </w:p>
    <w:p>
      <w:r>
        <w:rPr>
          <w:rFonts w:ascii="DejaVu Sans Mono" w:hAnsi="DejaVu Sans Mono"/>
          <w:b w:val="0"/>
          <w:i w:val="0"/>
          <w:sz w:val="17"/>
        </w:rPr>
        <w:t>negative_threshold</w:t>
      </w:r>
      <w:r>
        <w:rPr>
          <w:b w:val="0"/>
          <w:i w:val="0"/>
        </w:rPr>
        <w:t xml:space="preserve"> 默认取 200 个时段，</w:t>
      </w:r>
      <w:r>
        <w:rPr>
          <w:rFonts w:ascii="DejaVu Sans Mono" w:hAnsi="DejaVu Sans Mono"/>
          <w:b w:val="0"/>
          <w:i w:val="0"/>
          <w:sz w:val="17"/>
        </w:rPr>
        <w:t>cap_fraction</w:t>
      </w:r>
      <w:r>
        <w:rPr>
          <w:b w:val="0"/>
          <w:i w:val="0"/>
        </w:rPr>
        <w:t xml:space="preserve"> 默认取 0.20。</w:t>
      </w:r>
      <w:r>
        <w:rPr>
          <w:rFonts w:ascii="DejaVu Sans Mono" w:hAnsi="DejaVu Sans Mono"/>
          <w:b w:val="0"/>
          <w:i w:val="0"/>
          <w:sz w:val="17"/>
        </w:rPr>
        <w:t>already_negative</w:t>
      </w:r>
      <w:r>
        <w:rPr>
          <w:b w:val="0"/>
          <w:i w:val="0"/>
        </w:rPr>
        <w:t xml:space="preserve"> 达到 200 时新增上限为零。其余情形，在净需求非负且单位出力为正的时段形成 </w:t>
      </w:r>
      <w:r>
        <w:rPr>
          <w:rFonts w:ascii="DejaVu Sans Mono" w:hAnsi="DejaVu Sans Mono"/>
          <w:b w:val="0"/>
          <w:i w:val="0"/>
          <w:sz w:val="17"/>
        </w:rPr>
        <w:t>transitions=net/profile</w:t>
      </w:r>
      <w:r>
        <w:rPr>
          <w:b w:val="0"/>
          <w:i w:val="0"/>
        </w:rPr>
        <w:t xml:space="preserve">，取从小到大第 </w:t>
      </w:r>
      <w:r>
        <w:rPr>
          <w:rFonts w:ascii="DejaVu Sans Mono" w:hAnsi="DejaVu Sans Mono"/>
          <w:b w:val="0"/>
          <w:i w:val="0"/>
          <w:sz w:val="17"/>
        </w:rPr>
        <w:t>needed=negative_​threshold−already_​negative</w:t>
      </w:r>
      <w:r>
        <w:rPr>
          <w:b w:val="0"/>
          <w:i w:val="0"/>
        </w:rPr>
        <w:t xml:space="preserve"> 个值作为 </w:t>
      </w:r>
      <w:r>
        <w:rPr>
          <w:rFonts w:ascii="DejaVu Sans Mono" w:hAnsi="DejaVu Sans Mono"/>
          <w:b w:val="0"/>
          <w:i w:val="0"/>
          <w:sz w:val="17"/>
        </w:rPr>
        <w:t>critical</w:t>
      </w:r>
      <w:r>
        <w:rPr>
          <w:b w:val="0"/>
          <w:i w:val="0"/>
        </w:rPr>
        <w:t xml:space="preserve"> MW，上限为 </w:t>
      </w:r>
      <w:r>
        <w:rPr>
          <w:rFonts w:ascii="DejaVu Sans Mono" w:hAnsi="DejaVu Sans Mono"/>
          <w:b w:val="0"/>
          <w:i w:val="0"/>
          <w:sz w:val="17"/>
        </w:rPr>
        <w:t>cap_fraction×critical</w:t>
      </w:r>
      <w:r>
        <w:rPr>
          <w:b w:val="0"/>
          <w:i w:val="0"/>
        </w:rPr>
        <w:t xml:space="preserve">。可用转折点少于 </w:t>
      </w:r>
      <w:r>
        <w:rPr>
          <w:rFonts w:ascii="DejaVu Sans Mono" w:hAnsi="DejaVu Sans Mono"/>
          <w:b w:val="0"/>
          <w:i w:val="0"/>
          <w:sz w:val="17"/>
        </w:rPr>
        <w:t>needed</w:t>
      </w:r>
      <w:r>
        <w:rPr>
          <w:b w:val="0"/>
          <w:i w:val="0"/>
        </w:rPr>
        <w:t xml:space="preserve"> 时返回零。</w:t>
      </w:r>
    </w:p>
    <w:p>
      <w:r>
        <w:rPr>
          <w:b w:val="0"/>
          <w:i w:val="0"/>
        </w:rPr>
        <w:t xml:space="preserve">储能采用 </w:t>
      </w:r>
      <w:r>
        <w:rPr>
          <w:rFonts w:ascii="DejaVu Sans Mono" w:hAnsi="DejaVu Sans Mono"/>
          <w:b w:val="0"/>
          <w:i w:val="0"/>
          <w:sz w:val="17"/>
        </w:rPr>
        <w:t>annual_caps</w:t>
      </w:r>
      <w:r>
        <w:rPr>
          <w:b w:val="0"/>
          <w:i w:val="0"/>
        </w:rPr>
        <w:t xml:space="preserve"> 中显式提供的年度技术额度。</w:t>
      </w:r>
      <w:r>
        <w:rPr>
          <w:rFonts w:ascii="DejaVu Sans Mono" w:hAnsi="DejaVu Sans Mono"/>
          <w:b w:val="0"/>
          <w:i w:val="0"/>
          <w:sz w:val="17"/>
        </w:rPr>
        <w:t>storage_​expansion_​from_​traces</w:t>
      </w:r>
      <w:r>
        <w:rPr>
          <w:b w:val="0"/>
          <w:i w:val="0"/>
        </w:rPr>
        <w:t xml:space="preserve"> 读取接纳风光、实际需求、充电、充电后剩余电量及放电，再应用第 4 章的利用时长计算。标准修正流程对实验性 PSM 以 </w:t>
      </w:r>
      <w:r>
        <w:rPr>
          <w:rFonts w:ascii="DejaVu Sans Mono" w:hAnsi="DejaVu Sans Mono"/>
          <w:b w:val="0"/>
          <w:i w:val="0"/>
          <w:sz w:val="17"/>
        </w:rPr>
        <w:t>leftover_​trace_​unavailable</w:t>
      </w:r>
      <w:r>
        <w:rPr>
          <w:b w:val="0"/>
          <w:i w:val="0"/>
        </w:rPr>
        <w:t xml:space="preserve"> 返回零储能扩容空间，因此独立账户分析须输入所选额度及完整序列。储能账户收益门槛为 12%，实验性 PSM 的结果记录仍将年度储能价格与利润上限集成列为待完成。</w:t>
      </w:r>
    </w:p>
    <w:p>
      <w:r>
        <w:rPr>
          <w:b w:val="0"/>
          <w:i w:val="0"/>
        </w:rPr>
        <w:t xml:space="preserve">留存利润形成 </w:t>
      </w:r>
      <w:r>
        <w:rPr>
          <w:rFonts w:ascii="DejaVu Sans Mono" w:hAnsi="DejaVu Sans Mono"/>
          <w:b w:val="0"/>
          <w:i w:val="0"/>
          <w:sz w:val="17"/>
        </w:rPr>
        <w:t>profit_​floor_​mw=max(profit,0)/​capex</w:t>
      </w:r>
      <w:r>
        <w:rPr>
          <w:b w:val="0"/>
          <w:i w:val="0"/>
        </w:rPr>
        <w:t xml:space="preserve">。此处 </w:t>
      </w:r>
      <w:r>
        <w:rPr>
          <w:rFonts w:ascii="DejaVu Sans Mono" w:hAnsi="DejaVu Sans Mono"/>
          <w:b w:val="0"/>
          <w:i w:val="0"/>
          <w:sz w:val="17"/>
        </w:rPr>
        <w:t>capacity</w:t>
      </w:r>
      <w:r>
        <w:rPr>
          <w:b w:val="0"/>
          <w:i w:val="0"/>
        </w:rPr>
        <w:t xml:space="preserve"> 为组内 </w:t>
      </w:r>
      <w:r>
        <w:rPr>
          <w:rFonts w:ascii="DejaVu Sans Mono" w:hAnsi="DejaVu Sans Mono"/>
          <w:b w:val="0"/>
          <w:i w:val="0"/>
          <w:sz w:val="17"/>
        </w:rPr>
        <w:t>current_capacity_mw</w:t>
      </w:r>
      <w:r>
        <w:rPr>
          <w:b w:val="0"/>
          <w:i w:val="0"/>
        </w:rPr>
        <w:t>，</w:t>
      </w:r>
      <w:r>
        <w:rPr>
          <w:rFonts w:ascii="DejaVu Sans Mono" w:hAnsi="DejaVu Sans Mono"/>
          <w:b w:val="0"/>
          <w:i w:val="0"/>
          <w:sz w:val="17"/>
        </w:rPr>
        <w:t>capacity_by_tech[tech]</w:t>
      </w:r>
      <w:r>
        <w:rPr>
          <w:b w:val="0"/>
          <w:i w:val="0"/>
        </w:rPr>
        <w:t xml:space="preserve"> 为该技术已解析账户的 MW 总和，</w:t>
      </w:r>
      <w:r>
        <w:rPr>
          <w:rFonts w:ascii="DejaVu Sans Mono" w:hAnsi="DejaVu Sans Mono"/>
          <w:b w:val="0"/>
          <w:i w:val="0"/>
          <w:sz w:val="17"/>
        </w:rPr>
        <w:t>caps</w:t>
      </w:r>
      <w:r>
        <w:rPr>
          <w:b w:val="0"/>
          <w:i w:val="0"/>
        </w:rPr>
        <w:t xml:space="preserve"> 保存以 MW 计的 </w:t>
      </w:r>
      <w:r>
        <w:rPr>
          <w:rFonts w:ascii="DejaVu Sans Mono" w:hAnsi="DejaVu Sans Mono"/>
          <w:b w:val="0"/>
          <w:i w:val="0"/>
          <w:sz w:val="17"/>
        </w:rPr>
        <w:t>annual_caps</w:t>
      </w:r>
      <w:r>
        <w:rPr>
          <w:b w:val="0"/>
          <w:i w:val="0"/>
        </w:rPr>
        <w:t xml:space="preserve"> 输入。风光组按运行容量取得技术额度份额：</w:t>
      </w:r>
      <w:r>
        <w:rPr>
          <w:rFonts w:ascii="DejaVu Sans Mono" w:hAnsi="DejaVu Sans Mono"/>
          <w:b w:val="0"/>
          <w:i w:val="0"/>
          <w:sz w:val="17"/>
        </w:rPr>
        <w:t>share=capacity/​capacity_​by_​tech[tech]</w:t>
      </w:r>
      <w:r>
        <w:rPr>
          <w:b w:val="0"/>
          <w:i w:val="0"/>
        </w:rPr>
        <w:t>，</w:t>
      </w:r>
      <w:r>
        <w:rPr>
          <w:rFonts w:ascii="DejaVu Sans Mono" w:hAnsi="DejaVu Sans Mono"/>
          <w:b w:val="0"/>
          <w:i w:val="0"/>
          <w:sz w:val="17"/>
        </w:rPr>
        <w:t>cap_​share=caps[tech]×share</w:t>
      </w:r>
      <w:r>
        <w:rPr>
          <w:b w:val="0"/>
          <w:i w:val="0"/>
        </w:rPr>
        <w:t>。</w:t>
      </w:r>
      <w:r>
        <w:rPr>
          <w:rFonts w:ascii="DejaVu Sans Mono" w:hAnsi="DejaVu Sans Mono"/>
          <w:b w:val="0"/>
          <w:i w:val="0"/>
          <w:sz w:val="17"/>
        </w:rPr>
        <w:t>evaluate_​thesis96_​investment_​accounts</w:t>
      </w:r>
      <w:r>
        <w:rPr>
          <w:b w:val="0"/>
          <w:i w:val="0"/>
        </w:rPr>
        <w:t xml:space="preserve"> 按下表给出 </w:t>
      </w:r>
      <w:r>
        <w:rPr>
          <w:rFonts w:ascii="DejaVu Sans Mono" w:hAnsi="DejaVu Sans Mono"/>
          <w:b w:val="0"/>
          <w:i w:val="0"/>
          <w:sz w:val="17"/>
        </w:rPr>
        <w:t>requested_addition_mw</w:t>
      </w:r>
      <w:r>
        <w:rPr>
          <w:b w:val="0"/>
          <w:i w:val="0"/>
        </w:rPr>
        <w: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87"/>
        <w:gridCol w:w="4905"/>
      </w:tblGrid>
      <w:tr>
        <w:trPr>
          <w:cantSplit/>
          <w:tblHeader w:val="true"/>
        </w:trPr>
        <w:tc>
          <w:tcPr>
            <w:tcW w:type="dxa" w:w="4887"/>
            <w:vAlign w:val="center"/>
            <w:tcMar>
              <w:top w:w="90" w:type="dxa"/>
              <w:left w:w="90" w:type="dxa"/>
              <w:bottom w:w="90" w:type="dxa"/>
              <w:right w:w="90" w:type="dxa"/>
            </w:tcMar>
            <w:shd w:fill="EEEEEE"/>
          </w:tcPr>
          <w:p>
            <w:pPr>
              <w:spacing w:after="40" w:line="276" w:lineRule="auto"/>
            </w:pPr>
            <w:r>
              <w:rPr>
                <w:b/>
                <w:i w:val="0"/>
                <w:sz w:val="18"/>
              </w:rPr>
              <w:t>决策与技术</w:t>
            </w:r>
          </w:p>
        </w:tc>
        <w:tc>
          <w:tcPr>
            <w:tcW w:type="dxa" w:w="4905"/>
            <w:vAlign w:val="center"/>
            <w:tcMar>
              <w:top w:w="90" w:type="dxa"/>
              <w:left w:w="90" w:type="dxa"/>
              <w:bottom w:w="90" w:type="dxa"/>
              <w:right w:w="90" w:type="dxa"/>
            </w:tcMar>
            <w:shd w:fill="EEEEEE"/>
          </w:tcPr>
          <w:p>
            <w:pPr>
              <w:spacing w:after="40" w:line="276" w:lineRule="auto"/>
            </w:pPr>
            <w:r>
              <w:rPr>
                <w:b/>
                <w:i w:val="0"/>
                <w:sz w:val="18"/>
              </w:rPr>
              <w:t>申请 MW</w:t>
            </w:r>
          </w:p>
        </w:tc>
      </w:tr>
      <w:tr>
        <w:trPr>
          <w:cantSplit/>
        </w:trPr>
        <w:tc>
          <w:tcPr>
            <w:tcW w:type="dxa" w:w="4887"/>
            <w:vAlign w:val="center"/>
            <w:tcMar>
              <w:top w:w="90" w:type="dxa"/>
              <w:left w:w="90" w:type="dxa"/>
              <w:bottom w:w="90" w:type="dxa"/>
              <w:right w:w="90" w:type="dxa"/>
            </w:tcMar>
          </w:tcPr>
          <w:p>
            <w:pPr>
              <w:spacing w:after="40" w:line="276" w:lineRule="auto"/>
            </w:pPr>
            <w:r>
              <w:rPr>
                <w:rFonts w:ascii="DejaVu Sans Mono" w:hAnsi="DejaVu Sans Mono"/>
                <w:b w:val="0"/>
                <w:i w:val="0"/>
                <w:sz w:val="18"/>
              </w:rPr>
              <w:t>Invest_High</w:t>
            </w:r>
            <w:r>
              <w:rPr>
                <w:b w:val="0"/>
                <w:i w:val="0"/>
                <w:sz w:val="18"/>
              </w:rPr>
              <w:t>，风光</w:t>
            </w:r>
          </w:p>
        </w:tc>
        <w:tc>
          <w:tcPr>
            <w:tcW w:type="dxa" w:w="4905"/>
            <w:vAlign w:val="center"/>
            <w:tcMar>
              <w:top w:w="90" w:type="dxa"/>
              <w:left w:w="90" w:type="dxa"/>
              <w:bottom w:w="90" w:type="dxa"/>
              <w:right w:w="90" w:type="dxa"/>
            </w:tcMar>
          </w:tcPr>
          <w:p>
            <w:pPr>
              <w:spacing w:after="40" w:line="276" w:lineRule="auto"/>
            </w:pPr>
            <w:r>
              <w:rPr>
                <w:rFonts w:ascii="DejaVu Sans Mono" w:hAnsi="DejaVu Sans Mono"/>
                <w:b w:val="0"/>
                <w:i w:val="0"/>
                <w:sz w:val="18"/>
              </w:rPr>
              <w:t>cap_share</w:t>
            </w:r>
          </w:p>
        </w:tc>
      </w:tr>
      <w:tr>
        <w:trPr>
          <w:cantSplit/>
        </w:trPr>
        <w:tc>
          <w:tcPr>
            <w:tcW w:type="dxa" w:w="4887"/>
            <w:vAlign w:val="center"/>
            <w:tcMar>
              <w:top w:w="90" w:type="dxa"/>
              <w:left w:w="90" w:type="dxa"/>
              <w:bottom w:w="90" w:type="dxa"/>
              <w:right w:w="90" w:type="dxa"/>
            </w:tcMar>
          </w:tcPr>
          <w:p>
            <w:pPr>
              <w:spacing w:after="40" w:line="276" w:lineRule="auto"/>
            </w:pPr>
            <w:r>
              <w:rPr>
                <w:rFonts w:ascii="DejaVu Sans Mono" w:hAnsi="DejaVu Sans Mono"/>
                <w:b w:val="0"/>
                <w:i w:val="0"/>
                <w:sz w:val="18"/>
              </w:rPr>
              <w:t>Invest_Profit</w:t>
            </w:r>
            <w:r>
              <w:rPr>
                <w:b w:val="0"/>
                <w:i w:val="0"/>
                <w:sz w:val="18"/>
              </w:rPr>
              <w:t>，风光</w:t>
            </w:r>
          </w:p>
        </w:tc>
        <w:tc>
          <w:tcPr>
            <w:tcW w:type="dxa" w:w="4905"/>
            <w:vAlign w:val="center"/>
            <w:tcMar>
              <w:top w:w="90" w:type="dxa"/>
              <w:left w:w="90" w:type="dxa"/>
              <w:bottom w:w="90" w:type="dxa"/>
              <w:right w:w="90" w:type="dxa"/>
            </w:tcMar>
          </w:tcPr>
          <w:p>
            <w:pPr>
              <w:spacing w:after="40" w:line="276" w:lineRule="auto"/>
            </w:pPr>
            <w:r>
              <w:rPr>
                <w:rFonts w:ascii="DejaVu Sans Mono" w:hAnsi="DejaVu Sans Mono"/>
                <w:b w:val="0"/>
                <w:i w:val="0"/>
                <w:sz w:val="18"/>
              </w:rPr>
              <w:t>min(cap_​share,profit_​floor_​mw)</w:t>
            </w:r>
          </w:p>
        </w:tc>
      </w:tr>
      <w:tr>
        <w:trPr>
          <w:cantSplit/>
        </w:trPr>
        <w:tc>
          <w:tcPr>
            <w:tcW w:type="dxa" w:w="4887"/>
            <w:vAlign w:val="center"/>
            <w:tcMar>
              <w:top w:w="90" w:type="dxa"/>
              <w:left w:w="90" w:type="dxa"/>
              <w:bottom w:w="90" w:type="dxa"/>
              <w:right w:w="90" w:type="dxa"/>
            </w:tcMar>
          </w:tcPr>
          <w:p>
            <w:pPr>
              <w:spacing w:after="40" w:line="276" w:lineRule="auto"/>
            </w:pPr>
            <w:r>
              <w:rPr>
                <w:rFonts w:ascii="DejaVu Sans Mono" w:hAnsi="DejaVu Sans Mono"/>
                <w:b w:val="0"/>
                <w:i w:val="0"/>
                <w:sz w:val="18"/>
              </w:rPr>
              <w:t>Invest_High</w:t>
            </w:r>
            <w:r>
              <w:rPr>
                <w:b w:val="0"/>
                <w:i w:val="0"/>
                <w:sz w:val="18"/>
              </w:rPr>
              <w:t>，CCGT、OCGT 或生物质</w:t>
            </w:r>
          </w:p>
        </w:tc>
        <w:tc>
          <w:tcPr>
            <w:tcW w:type="dxa" w:w="4905"/>
            <w:vAlign w:val="center"/>
            <w:tcMar>
              <w:top w:w="90" w:type="dxa"/>
              <w:left w:w="90" w:type="dxa"/>
              <w:bottom w:w="90" w:type="dxa"/>
              <w:right w:w="90" w:type="dxa"/>
            </w:tcMar>
          </w:tcPr>
          <w:p>
            <w:pPr>
              <w:spacing w:after="40" w:line="276" w:lineRule="auto"/>
            </w:pPr>
            <w:r>
              <w:rPr>
                <w:rFonts w:ascii="DejaVu Sans Mono" w:hAnsi="DejaVu Sans Mono"/>
                <w:b w:val="0"/>
                <w:i w:val="0"/>
                <w:sz w:val="18"/>
              </w:rPr>
              <w:t>0.01×capacity</w:t>
            </w:r>
          </w:p>
        </w:tc>
      </w:tr>
      <w:tr>
        <w:trPr>
          <w:cantSplit/>
        </w:trPr>
        <w:tc>
          <w:tcPr>
            <w:tcW w:type="dxa" w:w="4887"/>
            <w:vAlign w:val="center"/>
            <w:tcMar>
              <w:top w:w="90" w:type="dxa"/>
              <w:left w:w="90" w:type="dxa"/>
              <w:bottom w:w="90" w:type="dxa"/>
              <w:right w:w="90" w:type="dxa"/>
            </w:tcMar>
          </w:tcPr>
          <w:p>
            <w:pPr>
              <w:spacing w:after="40" w:line="276" w:lineRule="auto"/>
            </w:pPr>
            <w:r>
              <w:rPr>
                <w:rFonts w:ascii="DejaVu Sans Mono" w:hAnsi="DejaVu Sans Mono"/>
                <w:b w:val="0"/>
                <w:i w:val="0"/>
                <w:sz w:val="18"/>
              </w:rPr>
              <w:t>Invest_High</w:t>
            </w:r>
            <w:r>
              <w:rPr>
                <w:b w:val="0"/>
                <w:i w:val="0"/>
                <w:sz w:val="18"/>
              </w:rPr>
              <w:t>，储能</w:t>
            </w:r>
          </w:p>
        </w:tc>
        <w:tc>
          <w:tcPr>
            <w:tcW w:type="dxa" w:w="4905"/>
            <w:vAlign w:val="center"/>
            <w:tcMar>
              <w:top w:w="90" w:type="dxa"/>
              <w:left w:w="90" w:type="dxa"/>
              <w:bottom w:w="90" w:type="dxa"/>
              <w:right w:w="90" w:type="dxa"/>
            </w:tcMar>
          </w:tcPr>
          <w:p>
            <w:pPr>
              <w:spacing w:after="40" w:line="276" w:lineRule="auto"/>
            </w:pPr>
            <w:r>
              <w:rPr>
                <w:rFonts w:ascii="DejaVu Sans Mono" w:hAnsi="DejaVu Sans Mono"/>
                <w:b w:val="0"/>
                <w:i w:val="0"/>
                <w:sz w:val="18"/>
              </w:rPr>
              <w:t>max(caps[tech],profit_​floor_​mw)</w:t>
            </w:r>
          </w:p>
        </w:tc>
      </w:tr>
      <w:tr>
        <w:trPr>
          <w:cantSplit/>
        </w:trPr>
        <w:tc>
          <w:tcPr>
            <w:tcW w:type="dxa" w:w="4887"/>
            <w:vAlign w:val="center"/>
            <w:tcMar>
              <w:top w:w="90" w:type="dxa"/>
              <w:left w:w="90" w:type="dxa"/>
              <w:bottom w:w="90" w:type="dxa"/>
              <w:right w:w="90" w:type="dxa"/>
            </w:tcMar>
          </w:tcPr>
          <w:p>
            <w:pPr>
              <w:spacing w:after="40" w:line="276" w:lineRule="auto"/>
            </w:pPr>
            <w:r>
              <w:rPr>
                <w:rFonts w:ascii="DejaVu Sans Mono" w:hAnsi="DejaVu Sans Mono"/>
                <w:b w:val="0"/>
                <w:i w:val="0"/>
                <w:sz w:val="18"/>
              </w:rPr>
              <w:t>Invest_Profit</w:t>
            </w:r>
            <w:r>
              <w:rPr>
                <w:b w:val="0"/>
                <w:i w:val="0"/>
                <w:sz w:val="18"/>
              </w:rPr>
              <w:t>，其他合格技术</w:t>
            </w:r>
          </w:p>
        </w:tc>
        <w:tc>
          <w:tcPr>
            <w:tcW w:type="dxa" w:w="4905"/>
            <w:vAlign w:val="center"/>
            <w:tcMar>
              <w:top w:w="90" w:type="dxa"/>
              <w:left w:w="90" w:type="dxa"/>
              <w:bottom w:w="90" w:type="dxa"/>
              <w:right w:w="90" w:type="dxa"/>
            </w:tcMar>
          </w:tcPr>
          <w:p>
            <w:pPr>
              <w:spacing w:after="40" w:line="276" w:lineRule="auto"/>
            </w:pPr>
            <w:r>
              <w:rPr>
                <w:rFonts w:ascii="DejaVu Sans Mono" w:hAnsi="DejaVu Sans Mono"/>
                <w:b w:val="0"/>
                <w:i w:val="0"/>
                <w:sz w:val="18"/>
              </w:rPr>
              <w:t>profit_floor_mw</w:t>
            </w:r>
          </w:p>
        </w:tc>
      </w:tr>
      <w:tr>
        <w:trPr>
          <w:cantSplit/>
        </w:trPr>
        <w:tc>
          <w:tcPr>
            <w:tcW w:type="dxa" w:w="4887"/>
            <w:vAlign w:val="center"/>
            <w:tcMar>
              <w:top w:w="90" w:type="dxa"/>
              <w:left w:w="90" w:type="dxa"/>
              <w:bottom w:w="90" w:type="dxa"/>
              <w:right w:w="90" w:type="dxa"/>
            </w:tcMar>
          </w:tcPr>
          <w:p>
            <w:pPr>
              <w:spacing w:after="40" w:line="276" w:lineRule="auto"/>
            </w:pPr>
            <w:r>
              <w:rPr>
                <w:rFonts w:ascii="DejaVu Sans Mono" w:hAnsi="DejaVu Sans Mono"/>
                <w:b w:val="0"/>
                <w:i w:val="0"/>
                <w:sz w:val="18"/>
              </w:rPr>
              <w:t>Deplete</w:t>
            </w:r>
            <w:r>
              <w:rPr>
                <w:b w:val="0"/>
                <w:i w:val="0"/>
                <w:sz w:val="18"/>
              </w:rPr>
              <w:t xml:space="preserve"> 或 </w:t>
            </w:r>
            <w:r>
              <w:rPr>
                <w:rFonts w:ascii="DejaVu Sans Mono" w:hAnsi="DejaVu Sans Mono"/>
                <w:b w:val="0"/>
                <w:i w:val="0"/>
                <w:sz w:val="18"/>
              </w:rPr>
              <w:t>Do_Nothing</w:t>
            </w:r>
          </w:p>
        </w:tc>
        <w:tc>
          <w:tcPr>
            <w:tcW w:type="dxa" w:w="4905"/>
            <w:vAlign w:val="center"/>
            <w:tcMar>
              <w:top w:w="90" w:type="dxa"/>
              <w:left w:w="90" w:type="dxa"/>
              <w:bottom w:w="90" w:type="dxa"/>
              <w:right w:w="90" w:type="dxa"/>
            </w:tcMar>
          </w:tcPr>
          <w:p>
            <w:pPr>
              <w:spacing w:after="40" w:line="276" w:lineRule="auto"/>
            </w:pPr>
            <w:r>
              <w:rPr>
                <w:b w:val="0"/>
                <w:i w:val="0"/>
                <w:sz w:val="18"/>
              </w:rPr>
              <w:t>0</w:t>
            </w:r>
          </w:p>
        </w:tc>
      </w:tr>
    </w:tbl>
    <w:p>
      <w:pPr>
        <w:spacing w:after="20"/>
      </w:pPr>
    </w:p>
    <w:p>
      <w:r>
        <w:rPr>
          <w:b w:val="0"/>
          <w:i w:val="0"/>
        </w:rPr>
        <w:t xml:space="preserve">高收益储能账户共享同技术额度，并保留各自的利润投资下限。此处 </w:t>
      </w:r>
      <w:r>
        <w:rPr>
          <w:rFonts w:ascii="DejaVu Sans Mono" w:hAnsi="DejaVu Sans Mono"/>
          <w:b w:val="0"/>
          <w:i w:val="0"/>
          <w:sz w:val="17"/>
        </w:rPr>
        <w:t>high</w:t>
      </w:r>
      <w:r>
        <w:rPr>
          <w:b w:val="0"/>
          <w:i w:val="0"/>
        </w:rPr>
        <w:t xml:space="preserve"> 为一种技术中合格的 </w:t>
      </w:r>
      <w:r>
        <w:rPr>
          <w:rFonts w:ascii="DejaVu Sans Mono" w:hAnsi="DejaVu Sans Mono"/>
          <w:b w:val="0"/>
          <w:i w:val="0"/>
          <w:sz w:val="17"/>
        </w:rPr>
        <w:t>Invest_High</w:t>
      </w:r>
      <w:r>
        <w:rPr>
          <w:b w:val="0"/>
          <w:i w:val="0"/>
        </w:rPr>
        <w:t xml:space="preserve"> 账户，</w:t>
      </w:r>
      <w:r>
        <w:rPr>
          <w:rFonts w:ascii="DejaVu Sans Mono" w:hAnsi="DejaVu Sans Mono"/>
          <w:b w:val="0"/>
          <w:i w:val="0"/>
          <w:sz w:val="17"/>
        </w:rPr>
        <w:t>total</w:t>
      </w:r>
      <w:r>
        <w:rPr>
          <w:b w:val="0"/>
          <w:i w:val="0"/>
        </w:rPr>
        <w:t xml:space="preserve"> 为其申请 MW 总和。分配器先计算：</w:t>
      </w:r>
    </w:p>
    <w:p>
      <w:pPr>
        <w:keepLines/>
        <w:spacing w:line="276" w:lineRule="auto" w:after="160"/>
      </w:pPr>
      <w:r>
        <w:rPr>
          <w:rFonts w:ascii="DejaVu Sans Mono" w:hAnsi="DejaVu Sans Mono"/>
          <w:b w:val="0"/>
          <w:i w:val="0"/>
          <w:sz w:val="17"/>
        </w:rPr>
        <w:t>allowed = max(</w:t>
        <w:br/>
        <w:t xml:space="preserve">    sum(row["profit_​floor_​mw"] for row in high),</w:t>
        <w:br/>
        <w:t xml:space="preserve">    min(total, caps.get(tech, 0)))</w:t>
        <w:br/>
      </w:r>
    </w:p>
    <w:p>
      <w:r>
        <w:rPr>
          <w:b w:val="0"/>
          <w:i w:val="0"/>
        </w:rPr>
        <w:t xml:space="preserve">分配器按申请 MW 比例分配 </w:t>
      </w:r>
      <w:r>
        <w:rPr>
          <w:rFonts w:ascii="DejaVu Sans Mono" w:hAnsi="DejaVu Sans Mono"/>
          <w:b w:val="0"/>
          <w:i w:val="0"/>
          <w:sz w:val="17"/>
        </w:rPr>
        <w:t>allowed</w:t>
      </w:r>
      <w:r>
        <w:rPr>
          <w:b w:val="0"/>
          <w:i w:val="0"/>
        </w:rPr>
        <w:t xml:space="preserve">。比例结果低于 </w:t>
      </w:r>
      <w:r>
        <w:rPr>
          <w:rFonts w:ascii="DejaVu Sans Mono" w:hAnsi="DejaVu Sans Mono"/>
          <w:b w:val="0"/>
          <w:i w:val="0"/>
          <w:sz w:val="17"/>
        </w:rPr>
        <w:t>profit_floor_mw</w:t>
      </w:r>
      <w:r>
        <w:rPr>
          <w:b w:val="0"/>
          <w:i w:val="0"/>
        </w:rPr>
        <w:t xml:space="preserve"> 的账户先获得该下限，剩余额度再按其他申请量重分配，直至全部边界满足。盈利类储能直接获得留存利润对应容量。亏损账户取 </w:t>
      </w:r>
      <w:r>
        <w:rPr>
          <w:rFonts w:ascii="DejaVu Sans Mono" w:hAnsi="DejaVu Sans Mono"/>
          <w:b w:val="0"/>
          <w:i w:val="0"/>
          <w:sz w:val="17"/>
        </w:rPr>
        <w:t>retirement_​mw=min(capacity,−operating_​surplus_​gbp×target_​payback_​years/​capital_​cost_​per_​mw_​gbp)</w:t>
      </w:r>
      <w:r>
        <w:rPr>
          <w:b w:val="0"/>
          <w:i w:val="0"/>
        </w:rPr>
        <w:t>。</w:t>
      </w:r>
    </w:p>
    <w:p>
      <w:r>
        <w:rPr>
          <w:b w:val="0"/>
          <w:i w:val="0"/>
        </w:rPr>
        <w:t>接纳新增量决定计划中的留存利润与外部融资。</w:t>
      </w:r>
      <w:r>
        <w:rPr>
          <w:rFonts w:ascii="DejaVu Sans Mono" w:hAnsi="DejaVu Sans Mono"/>
          <w:b w:val="0"/>
          <w:i w:val="0"/>
          <w:sz w:val="17"/>
        </w:rPr>
        <w:t>spent</w:t>
      </w:r>
      <w:r>
        <w:rPr>
          <w:b w:val="0"/>
          <w:i w:val="0"/>
        </w:rPr>
        <w:t xml:space="preserve"> 为 </w:t>
      </w:r>
      <w:r>
        <w:rPr>
          <w:rFonts w:ascii="DejaVu Sans Mono" w:hAnsi="DejaVu Sans Mono"/>
          <w:b w:val="0"/>
          <w:i w:val="0"/>
          <w:sz w:val="17"/>
        </w:rPr>
        <w:t>accepted_addition_mw</w:t>
      </w:r>
      <w:r>
        <w:rPr>
          <w:b w:val="0"/>
          <w:i w:val="0"/>
        </w:rPr>
        <w:t xml:space="preserve"> 所需建设资金，</w:t>
      </w:r>
      <w:r>
        <w:rPr>
          <w:rFonts w:ascii="DejaVu Sans Mono" w:hAnsi="DejaVu Sans Mono"/>
          <w:b w:val="0"/>
          <w:i w:val="0"/>
          <w:sz w:val="17"/>
        </w:rPr>
        <w:t>retained</w:t>
      </w:r>
      <w:r>
        <w:rPr>
          <w:b w:val="0"/>
          <w:i w:val="0"/>
        </w:rPr>
        <w:t xml:space="preserve"> 为正年度利润与该支出中的较小值，余量记入 </w:t>
      </w:r>
      <w:r>
        <w:rPr>
          <w:rFonts w:ascii="DejaVu Sans Mono" w:hAnsi="DejaVu Sans Mono"/>
          <w:b w:val="0"/>
          <w:i w:val="0"/>
          <w:sz w:val="17"/>
        </w:rPr>
        <w:t>externally_​funded_​capital_​gbp</w:t>
      </w:r>
      <w:r>
        <w:rPr>
          <w:b w:val="0"/>
          <w:i w:val="0"/>
        </w:rPr>
        <w:t>：</w:t>
      </w:r>
    </w:p>
    <w:p>
      <w:pPr>
        <w:keepLines/>
        <w:spacing w:line="276" w:lineRule="auto" w:after="160"/>
      </w:pPr>
      <w:r>
        <w:rPr>
          <w:rFonts w:ascii="DejaVu Sans Mono" w:hAnsi="DejaVu Sans Mono"/>
          <w:b w:val="0"/>
          <w:i w:val="0"/>
          <w:sz w:val="17"/>
        </w:rPr>
        <w:t>spent = accepted_addition_mw * capital_cost_per_mw_gbp</w:t>
        <w:br/>
        <w:t>retained = min(max(annual_​profit_​gbp, 0), spent)</w:t>
        <w:br/>
        <w:t>profit_​funded_​addition_​mw = retained / capital_cost_per_mw_gbp</w:t>
        <w:br/>
        <w:t>externally_​funded_​capital_​gbp = spent - retained</w:t>
        <w:br/>
      </w:r>
    </w:p>
    <w:p>
      <w:r>
        <w:rPr>
          <w:b w:val="0"/>
          <w:i w:val="0"/>
        </w:rPr>
        <w:t xml:space="preserve">适配器按 </w:t>
      </w:r>
      <w:r>
        <w:rPr>
          <w:rFonts w:ascii="DejaVu Sans Mono" w:hAnsi="DejaVu Sans Mono"/>
          <w:b w:val="0"/>
          <w:i w:val="0"/>
          <w:sz w:val="17"/>
        </w:rPr>
        <w:t>region_​addition=addition×region_​capacity/​capacity</w:t>
      </w:r>
      <w:r>
        <w:rPr>
          <w:b w:val="0"/>
          <w:i w:val="0"/>
        </w:rPr>
        <w:t xml:space="preserve"> 向各地区分配 </w:t>
      </w:r>
      <w:r>
        <w:rPr>
          <w:rFonts w:ascii="DejaVu Sans Mono" w:hAnsi="DejaVu Sans Mono"/>
          <w:b w:val="0"/>
          <w:i w:val="0"/>
          <w:sz w:val="17"/>
        </w:rPr>
        <w:t>addition</w:t>
      </w:r>
      <w:r>
        <w:rPr>
          <w:b w:val="0"/>
          <w:i w:val="0"/>
        </w:rPr>
        <w:t>。储能能量取该地区合计的能量功率比，</w:t>
      </w:r>
      <w:r>
        <w:rPr>
          <w:rFonts w:ascii="DejaVu Sans Mono" w:hAnsi="DejaVu Sans Mono"/>
          <w:b w:val="0"/>
          <w:i w:val="0"/>
          <w:sz w:val="17"/>
        </w:rPr>
        <w:t>life</w:t>
      </w:r>
      <w:r>
        <w:rPr>
          <w:b w:val="0"/>
          <w:i w:val="0"/>
        </w:rPr>
        <w:t xml:space="preserve"> 取成员经济寿命最小值。融资记录采用 0.05 贷款利率和等于 </w:t>
      </w:r>
      <w:r>
        <w:rPr>
          <w:rFonts w:ascii="DejaVu Sans Mono" w:hAnsi="DejaVu Sans Mono"/>
          <w:b w:val="0"/>
          <w:i w:val="0"/>
          <w:sz w:val="17"/>
        </w:rPr>
        <w:t>life</w:t>
      </w:r>
      <w:r>
        <w:rPr>
          <w:b w:val="0"/>
          <w:i w:val="0"/>
        </w:rPr>
        <w:t xml:space="preserve"> 的期限，独立股权回收与贷款提款计划属于该融资接口的后续集成部分。</w:t>
      </w:r>
    </w:p>
    <w:p>
      <w:r>
        <w:rPr>
          <w:b w:val="0"/>
          <w:i w:val="0"/>
        </w:rPr>
        <w:t>内生项目时长与成功率采用第 4 章的相同冻结表。</w:t>
      </w:r>
      <w:r>
        <w:rPr>
          <w:rFonts w:ascii="DejaVu Sans Mono" w:hAnsi="DejaVu Sans Mono"/>
          <w:b w:val="0"/>
          <w:i w:val="0"/>
          <w:sz w:val="17"/>
        </w:rPr>
        <w:t>decide_​doctoral_​investment</w:t>
      </w:r>
      <w:r>
        <w:rPr>
          <w:b w:val="0"/>
          <w:i w:val="0"/>
        </w:rPr>
        <w:t xml:space="preserve"> 对每项地区提案调用 </w:t>
      </w:r>
      <w:r>
        <w:rPr>
          <w:rFonts w:ascii="DejaVu Sans Mono" w:hAnsi="DejaVu Sans Mono"/>
          <w:b w:val="0"/>
          <w:i w:val="0"/>
          <w:sz w:val="17"/>
        </w:rPr>
        <w:t>endogenous_​planning_​terms(state.extensions["planning_​parameters"],technology,owner,decision_​year)</w:t>
      </w:r>
      <w:r>
        <w:rPr>
          <w:b w:val="0"/>
          <w:i w:val="0"/>
        </w:rPr>
        <w:t xml:space="preserve">，记录 </w:t>
      </w:r>
      <w:r>
        <w:rPr>
          <w:rFonts w:ascii="DejaVu Sans Mono" w:hAnsi="DejaVu Sans Mono"/>
          <w:b w:val="0"/>
          <w:i w:val="0"/>
          <w:sz w:val="17"/>
        </w:rPr>
        <w:t>expected_​completion_​year</w:t>
      </w:r>
      <w:r>
        <w:rPr>
          <w:b w:val="0"/>
          <w:i w:val="0"/>
        </w:rPr>
        <w:t>、</w:t>
      </w:r>
      <w:r>
        <w:rPr>
          <w:rFonts w:ascii="DejaVu Sans Mono" w:hAnsi="DejaVu Sans Mono"/>
          <w:b w:val="0"/>
          <w:i w:val="0"/>
          <w:sz w:val="17"/>
        </w:rPr>
        <w:t>success_probability</w:t>
      </w:r>
      <w:r>
        <w:rPr>
          <w:b w:val="0"/>
          <w:i w:val="0"/>
        </w:rPr>
        <w:t>、</w:t>
      </w:r>
      <w:r>
        <w:rPr>
          <w:rFonts w:ascii="DejaVu Sans Mono" w:hAnsi="DejaVu Sans Mono"/>
          <w:b w:val="0"/>
          <w:i w:val="0"/>
          <w:sz w:val="17"/>
        </w:rPr>
        <w:t>timeline_months</w:t>
      </w:r>
      <w:r>
        <w:rPr>
          <w:b w:val="0"/>
          <w:i w:val="0"/>
        </w:rPr>
        <w:t xml:space="preserve"> 与 </w:t>
      </w:r>
      <w:r>
        <w:rPr>
          <w:rFonts w:ascii="DejaVu Sans Mono" w:hAnsi="DejaVu Sans Mono"/>
          <w:b w:val="0"/>
          <w:i w:val="0"/>
          <w:sz w:val="17"/>
        </w:rPr>
        <w:t>success_rate_source</w:t>
      </w:r>
      <w:r>
        <w:rPr>
          <w:b w:val="0"/>
          <w:i w:val="0"/>
        </w:rPr>
        <w:t>。燃气、CCGT、OCGT 及生物质采用陆上风电规划参数，氢储能采用光伏参数，普通电池采用 Battery 参数。</w:t>
      </w:r>
    </w:p>
    <w:p>
      <w:pPr>
        <w:keepLines/>
        <w:spacing w:line="276" w:lineRule="auto" w:after="160"/>
      </w:pPr>
      <w:r>
        <w:rPr>
          <w:rFonts w:ascii="DejaVu Sans Mono" w:hAnsi="DejaVu Sans Mono"/>
          <w:b w:val="0"/>
          <w:i w:val="0"/>
          <w:sz w:val="17"/>
        </w:rPr>
        <w:t>terms = endogenous_​planning_​terms(</w:t>
        <w:br/>
        <w:t xml:space="preserve">    state.extensions["planning_​parameters"],</w:t>
        <w:br/>
        <w:t xml:space="preserve">    technology=technology, owner=owner, decision_​year=market.year)</w:t>
        <w:br/>
        <w:t>expected_​completion_​year = terms["completion_​year"]</w:t>
        <w:br/>
        <w:t>success_probability = terms["success_rate"]</w:t>
        <w:br/>
      </w:r>
    </w:p>
    <w:p>
      <w:r>
        <w:rPr>
          <w:b w:val="0"/>
          <w:i w:val="0"/>
        </w:rPr>
        <w:t xml:space="preserve">例如，一个 100 MW 风光组在 1,000 MW 同技术机组中占 0.10 份额。技术额度为 200 MW、单位建设成本为 £1m/MW、年度资本为 £10m、运行盈余为 £11m、偏好率为 7.6% 时，年度利润为 £1m，收益率为 10%。该组进入 </w:t>
      </w:r>
      <w:r>
        <w:rPr>
          <w:rFonts w:ascii="DejaVu Sans Mono" w:hAnsi="DejaVu Sans Mono"/>
          <w:b w:val="0"/>
          <w:i w:val="0"/>
          <w:sz w:val="17"/>
        </w:rPr>
        <w:t>Invest_High</w:t>
      </w:r>
      <w:r>
        <w:rPr>
          <w:b w:val="0"/>
          <w:i w:val="0"/>
        </w:rPr>
        <w:t>，申请 20 MW，记录 £1m 留存利润融资与 £19m 外部融资。</w:t>
      </w:r>
    </w:p>
    <w:p>
      <w:pPr>
        <w:pStyle w:val="Heading2"/>
      </w:pPr>
      <w:r>
        <w:rPr>
          <w:b w:val="0"/>
          <w:i w:val="0"/>
        </w:rPr>
        <w:t>政策转移与支出</w:t>
      </w:r>
    </w:p>
    <w:p>
      <w:r>
        <w:rPr>
          <w:b w:val="0"/>
          <w:i w:val="0"/>
        </w:rPr>
        <w:t>政策情景向合格资产分配声明的年度预算。</w:t>
      </w:r>
      <w:r>
        <w:rPr>
          <w:rFonts w:ascii="DejaVu Sans Mono" w:hAnsi="DejaVu Sans Mono"/>
          <w:b w:val="0"/>
          <w:i w:val="0"/>
          <w:sz w:val="17"/>
        </w:rPr>
        <w:t>basic</w:t>
      </w:r>
      <w:r>
        <w:rPr>
          <w:b w:val="0"/>
          <w:i w:val="0"/>
        </w:rPr>
        <w:t xml:space="preserve"> 将转移支付置零；</w:t>
      </w:r>
      <w:r>
        <w:rPr>
          <w:rFonts w:ascii="DejaVu Sans Mono" w:hAnsi="DejaVu Sans Mono"/>
          <w:b w:val="0"/>
          <w:i w:val="0"/>
          <w:sz w:val="17"/>
        </w:rPr>
        <w:t>with_cm</w:t>
      </w:r>
      <w:r>
        <w:rPr>
          <w:b w:val="0"/>
          <w:i w:val="0"/>
        </w:rPr>
        <w:t>、</w:t>
      </w:r>
      <w:r>
        <w:rPr>
          <w:rFonts w:ascii="DejaVu Sans Mono" w:hAnsi="DejaVu Sans Mono"/>
          <w:b w:val="0"/>
          <w:i w:val="0"/>
          <w:sz w:val="17"/>
        </w:rPr>
        <w:t>decarbonisation_base</w:t>
      </w:r>
      <w:r>
        <w:rPr>
          <w:b w:val="0"/>
          <w:i w:val="0"/>
        </w:rPr>
        <w:t>、</w:t>
      </w:r>
      <w:r>
        <w:rPr>
          <w:rFonts w:ascii="DejaVu Sans Mono" w:hAnsi="DejaVu Sans Mono"/>
          <w:b w:val="0"/>
          <w:i w:val="0"/>
          <w:sz w:val="17"/>
        </w:rPr>
        <w:t>subsidy_as_usual</w:t>
      </w:r>
      <w:r>
        <w:rPr>
          <w:b w:val="0"/>
          <w:i w:val="0"/>
        </w:rPr>
        <w:t xml:space="preserve"> 与 </w:t>
      </w:r>
      <w:r>
        <w:rPr>
          <w:rFonts w:ascii="DejaVu Sans Mono" w:hAnsi="DejaVu Sans Mono"/>
          <w:b w:val="0"/>
          <w:i w:val="0"/>
          <w:sz w:val="17"/>
        </w:rPr>
        <w:t>governmental_target</w:t>
      </w:r>
      <w:r>
        <w:rPr>
          <w:b w:val="0"/>
          <w:i w:val="0"/>
        </w:rPr>
        <w:t xml:space="preserve"> 启用容量市场及辅助服务转移，后三者还在政策支出中纳入已有脱碳支持。预算以 2025 年 GBP 显式输入。</w:t>
      </w:r>
    </w:p>
    <w:p>
      <w:r>
        <w:rPr>
          <w:rFonts w:ascii="DejaVu Sans Mono" w:hAnsi="DejaVu Sans Mono"/>
          <w:b w:val="0"/>
          <w:i w:val="0"/>
          <w:sz w:val="17"/>
        </w:rPr>
        <w:t>allocate_​thesis96_​policy</w:t>
      </w:r>
      <w:r>
        <w:rPr>
          <w:b w:val="0"/>
          <w:i w:val="0"/>
        </w:rPr>
        <w:t xml:space="preserve"> 按折减容量分配容量市场收入。资产 </w:t>
      </w:r>
      <w:r>
        <w:rPr>
          <w:rFonts w:ascii="DejaVu Sans Mono" w:hAnsi="DejaVu Sans Mono"/>
          <w:b w:val="0"/>
          <w:i w:val="0"/>
          <w:sz w:val="17"/>
        </w:rPr>
        <w:t>name</w:t>
      </w:r>
      <w:r>
        <w:rPr>
          <w:b w:val="0"/>
          <w:i w:val="0"/>
        </w:rPr>
        <w:t xml:space="preserve"> 对应 </w:t>
      </w:r>
      <w:r>
        <w:rPr>
          <w:rFonts w:ascii="DejaVu Sans Mono" w:hAnsi="DejaVu Sans Mono"/>
          <w:b w:val="0"/>
          <w:i w:val="0"/>
          <w:sz w:val="17"/>
        </w:rPr>
        <w:t>cm_​weights[name]=power×factor</w:t>
      </w:r>
      <w:r>
        <w:rPr>
          <w:b w:val="0"/>
          <w:i w:val="0"/>
        </w:rPr>
        <w:t xml:space="preserve">，其中 </w:t>
      </w:r>
      <w:r>
        <w:rPr>
          <w:rFonts w:ascii="DejaVu Sans Mono" w:hAnsi="DejaVu Sans Mono"/>
          <w:b w:val="0"/>
          <w:i w:val="0"/>
          <w:sz w:val="17"/>
        </w:rPr>
        <w:t>power</w:t>
      </w:r>
      <w:r>
        <w:rPr>
          <w:b w:val="0"/>
          <w:i w:val="0"/>
        </w:rPr>
        <w:t xml:space="preserve"> 为在运 MW，</w:t>
      </w:r>
      <w:r>
        <w:rPr>
          <w:rFonts w:ascii="DejaVu Sans Mono" w:hAnsi="DejaVu Sans Mono"/>
          <w:b w:val="0"/>
          <w:i w:val="0"/>
          <w:sz w:val="17"/>
        </w:rPr>
        <w:t>factor</w:t>
      </w:r>
      <w:r>
        <w:rPr>
          <w:b w:val="0"/>
          <w:i w:val="0"/>
        </w:rPr>
        <w:t xml:space="preserve"> 为技术折减系数。年度容量市场预算为 £5.44bn，按这些权重分配。</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65"/>
        <w:gridCol w:w="3727"/>
      </w:tblGrid>
      <w:tr>
        <w:trPr>
          <w:cantSplit/>
          <w:tblHeader w:val="true"/>
        </w:trPr>
        <w:tc>
          <w:tcPr>
            <w:tcW w:type="dxa" w:w="6065"/>
            <w:vAlign w:val="center"/>
            <w:tcMar>
              <w:top w:w="90" w:type="dxa"/>
              <w:left w:w="90" w:type="dxa"/>
              <w:bottom w:w="90" w:type="dxa"/>
              <w:right w:w="90" w:type="dxa"/>
            </w:tcMar>
            <w:shd w:fill="EEEEEE"/>
          </w:tcPr>
          <w:p>
            <w:pPr>
              <w:spacing w:after="40" w:line="276" w:lineRule="auto"/>
            </w:pPr>
            <w:r>
              <w:rPr>
                <w:b/>
                <w:i w:val="0"/>
                <w:sz w:val="18"/>
              </w:rPr>
              <w:t>技术</w:t>
            </w:r>
          </w:p>
        </w:tc>
        <w:tc>
          <w:tcPr>
            <w:tcW w:type="dxa" w:w="3727"/>
            <w:vAlign w:val="center"/>
            <w:tcMar>
              <w:top w:w="90" w:type="dxa"/>
              <w:left w:w="90" w:type="dxa"/>
              <w:bottom w:w="90" w:type="dxa"/>
              <w:right w:w="90" w:type="dxa"/>
            </w:tcMar>
            <w:shd w:fill="EEEEEE"/>
          </w:tcPr>
          <w:p>
            <w:pPr>
              <w:spacing w:after="40" w:line="276" w:lineRule="auto"/>
            </w:pPr>
            <w:r>
              <w:rPr>
                <w:b/>
                <w:i w:val="0"/>
                <w:sz w:val="18"/>
              </w:rPr>
              <w:t>折减系数</w:t>
            </w:r>
          </w:p>
        </w:tc>
      </w:tr>
      <w:tr>
        <w:trPr>
          <w:cantSplit/>
        </w:trPr>
        <w:tc>
          <w:tcPr>
            <w:tcW w:type="dxa" w:w="6065"/>
            <w:vAlign w:val="center"/>
            <w:tcMar>
              <w:top w:w="90" w:type="dxa"/>
              <w:left w:w="90" w:type="dxa"/>
              <w:bottom w:w="90" w:type="dxa"/>
              <w:right w:w="90" w:type="dxa"/>
            </w:tcMar>
          </w:tcPr>
          <w:p>
            <w:pPr>
              <w:spacing w:after="40" w:line="276" w:lineRule="auto"/>
            </w:pPr>
            <w:r>
              <w:rPr>
                <w:b w:val="0"/>
                <w:i w:val="0"/>
                <w:sz w:val="18"/>
              </w:rPr>
              <w:t>CCGT、OCGT、生物质</w:t>
            </w:r>
          </w:p>
        </w:tc>
        <w:tc>
          <w:tcPr>
            <w:tcW w:type="dxa" w:w="3727"/>
            <w:vAlign w:val="center"/>
            <w:tcMar>
              <w:top w:w="90" w:type="dxa"/>
              <w:left w:w="90" w:type="dxa"/>
              <w:bottom w:w="90" w:type="dxa"/>
              <w:right w:w="90" w:type="dxa"/>
            </w:tcMar>
          </w:tcPr>
          <w:p>
            <w:pPr>
              <w:spacing w:after="40" w:line="276" w:lineRule="auto"/>
            </w:pPr>
            <w:r>
              <w:rPr>
                <w:b w:val="0"/>
                <w:i w:val="0"/>
                <w:sz w:val="18"/>
              </w:rPr>
              <w:t>0.95</w:t>
            </w:r>
          </w:p>
        </w:tc>
      </w:tr>
      <w:tr>
        <w:trPr>
          <w:cantSplit/>
        </w:trPr>
        <w:tc>
          <w:tcPr>
            <w:tcW w:type="dxa" w:w="6065"/>
            <w:vAlign w:val="center"/>
            <w:tcMar>
              <w:top w:w="90" w:type="dxa"/>
              <w:left w:w="90" w:type="dxa"/>
              <w:bottom w:w="90" w:type="dxa"/>
              <w:right w:w="90" w:type="dxa"/>
            </w:tcMar>
          </w:tcPr>
          <w:p>
            <w:pPr>
              <w:spacing w:after="40" w:line="276" w:lineRule="auto"/>
            </w:pPr>
            <w:r>
              <w:rPr>
                <w:b w:val="0"/>
                <w:i w:val="0"/>
                <w:sz w:val="18"/>
              </w:rPr>
              <w:t>核电</w:t>
            </w:r>
          </w:p>
        </w:tc>
        <w:tc>
          <w:tcPr>
            <w:tcW w:type="dxa" w:w="3727"/>
            <w:vAlign w:val="center"/>
            <w:tcMar>
              <w:top w:w="90" w:type="dxa"/>
              <w:left w:w="90" w:type="dxa"/>
              <w:bottom w:w="90" w:type="dxa"/>
              <w:right w:w="90" w:type="dxa"/>
            </w:tcMar>
          </w:tcPr>
          <w:p>
            <w:pPr>
              <w:spacing w:after="40" w:line="276" w:lineRule="auto"/>
            </w:pPr>
            <w:r>
              <w:rPr>
                <w:b w:val="0"/>
                <w:i w:val="0"/>
                <w:sz w:val="18"/>
              </w:rPr>
              <w:t>0.85</w:t>
            </w:r>
          </w:p>
        </w:tc>
      </w:tr>
      <w:tr>
        <w:trPr>
          <w:cantSplit/>
        </w:trPr>
        <w:tc>
          <w:tcPr>
            <w:tcW w:type="dxa" w:w="6065"/>
            <w:vAlign w:val="center"/>
            <w:tcMar>
              <w:top w:w="90" w:type="dxa"/>
              <w:left w:w="90" w:type="dxa"/>
              <w:bottom w:w="90" w:type="dxa"/>
              <w:right w:w="90" w:type="dxa"/>
            </w:tcMar>
          </w:tcPr>
          <w:p>
            <w:pPr>
              <w:spacing w:after="40" w:line="276" w:lineRule="auto"/>
            </w:pPr>
            <w:r>
              <w:rPr>
                <w:b w:val="0"/>
                <w:i w:val="0"/>
                <w:sz w:val="18"/>
              </w:rPr>
              <w:t>抽水蓄能</w:t>
            </w:r>
          </w:p>
        </w:tc>
        <w:tc>
          <w:tcPr>
            <w:tcW w:type="dxa" w:w="3727"/>
            <w:vAlign w:val="center"/>
            <w:tcMar>
              <w:top w:w="90" w:type="dxa"/>
              <w:left w:w="90" w:type="dxa"/>
              <w:bottom w:w="90" w:type="dxa"/>
              <w:right w:w="90" w:type="dxa"/>
            </w:tcMar>
          </w:tcPr>
          <w:p>
            <w:pPr>
              <w:spacing w:after="40" w:line="276" w:lineRule="auto"/>
            </w:pPr>
            <w:r>
              <w:rPr>
                <w:b w:val="0"/>
                <w:i w:val="0"/>
                <w:sz w:val="18"/>
              </w:rPr>
              <w:t>0.95</w:t>
            </w:r>
          </w:p>
        </w:tc>
      </w:tr>
      <w:tr>
        <w:trPr>
          <w:cantSplit/>
        </w:trPr>
        <w:tc>
          <w:tcPr>
            <w:tcW w:type="dxa" w:w="6065"/>
            <w:vAlign w:val="center"/>
            <w:tcMar>
              <w:top w:w="90" w:type="dxa"/>
              <w:left w:w="90" w:type="dxa"/>
              <w:bottom w:w="90" w:type="dxa"/>
              <w:right w:w="90" w:type="dxa"/>
            </w:tcMar>
          </w:tcPr>
          <w:p>
            <w:pPr>
              <w:spacing w:after="40" w:line="276" w:lineRule="auto"/>
            </w:pPr>
            <w:r>
              <w:rPr>
                <w:b w:val="0"/>
                <w:i w:val="0"/>
                <w:sz w:val="18"/>
              </w:rPr>
              <w:t>1C 电池</w:t>
            </w:r>
          </w:p>
        </w:tc>
        <w:tc>
          <w:tcPr>
            <w:tcW w:type="dxa" w:w="3727"/>
            <w:vAlign w:val="center"/>
            <w:tcMar>
              <w:top w:w="90" w:type="dxa"/>
              <w:left w:w="90" w:type="dxa"/>
              <w:bottom w:w="90" w:type="dxa"/>
              <w:right w:w="90" w:type="dxa"/>
            </w:tcMar>
          </w:tcPr>
          <w:p>
            <w:pPr>
              <w:spacing w:after="40" w:line="276" w:lineRule="auto"/>
            </w:pPr>
            <w:r>
              <w:rPr>
                <w:b w:val="0"/>
                <w:i w:val="0"/>
                <w:sz w:val="18"/>
              </w:rPr>
              <w:t>0.05</w:t>
            </w:r>
          </w:p>
        </w:tc>
      </w:tr>
      <w:tr>
        <w:trPr>
          <w:cantSplit/>
        </w:trPr>
        <w:tc>
          <w:tcPr>
            <w:tcW w:type="dxa" w:w="6065"/>
            <w:vAlign w:val="center"/>
            <w:tcMar>
              <w:top w:w="90" w:type="dxa"/>
              <w:left w:w="90" w:type="dxa"/>
              <w:bottom w:w="90" w:type="dxa"/>
              <w:right w:w="90" w:type="dxa"/>
            </w:tcMar>
          </w:tcPr>
          <w:p>
            <w:pPr>
              <w:spacing w:after="40" w:line="276" w:lineRule="auto"/>
            </w:pPr>
            <w:r>
              <w:rPr>
                <w:b w:val="0"/>
                <w:i w:val="0"/>
                <w:sz w:val="18"/>
              </w:rPr>
              <w:t>0.5C 电池</w:t>
            </w:r>
          </w:p>
        </w:tc>
        <w:tc>
          <w:tcPr>
            <w:tcW w:type="dxa" w:w="3727"/>
            <w:vAlign w:val="center"/>
            <w:tcMar>
              <w:top w:w="90" w:type="dxa"/>
              <w:left w:w="90" w:type="dxa"/>
              <w:bottom w:w="90" w:type="dxa"/>
              <w:right w:w="90" w:type="dxa"/>
            </w:tcMar>
          </w:tcPr>
          <w:p>
            <w:pPr>
              <w:spacing w:after="40" w:line="276" w:lineRule="auto"/>
            </w:pPr>
            <w:r>
              <w:rPr>
                <w:b w:val="0"/>
                <w:i w:val="0"/>
                <w:sz w:val="18"/>
              </w:rPr>
              <w:t>0.15</w:t>
            </w:r>
          </w:p>
        </w:tc>
      </w:tr>
      <w:tr>
        <w:trPr>
          <w:cantSplit/>
        </w:trPr>
        <w:tc>
          <w:tcPr>
            <w:tcW w:type="dxa" w:w="6065"/>
            <w:vAlign w:val="center"/>
            <w:tcMar>
              <w:top w:w="90" w:type="dxa"/>
              <w:left w:w="90" w:type="dxa"/>
              <w:bottom w:w="90" w:type="dxa"/>
              <w:right w:w="90" w:type="dxa"/>
            </w:tcMar>
          </w:tcPr>
          <w:p>
            <w:pPr>
              <w:spacing w:after="40" w:line="276" w:lineRule="auto"/>
            </w:pPr>
            <w:r>
              <w:rPr>
                <w:b w:val="0"/>
                <w:i w:val="0"/>
                <w:sz w:val="18"/>
              </w:rPr>
              <w:t>0.25C 电池</w:t>
            </w:r>
          </w:p>
        </w:tc>
        <w:tc>
          <w:tcPr>
            <w:tcW w:type="dxa" w:w="3727"/>
            <w:vAlign w:val="center"/>
            <w:tcMar>
              <w:top w:w="90" w:type="dxa"/>
              <w:left w:w="90" w:type="dxa"/>
              <w:bottom w:w="90" w:type="dxa"/>
              <w:right w:w="90" w:type="dxa"/>
            </w:tcMar>
          </w:tcPr>
          <w:p>
            <w:pPr>
              <w:spacing w:after="40" w:line="276" w:lineRule="auto"/>
            </w:pPr>
            <w:r>
              <w:rPr>
                <w:b w:val="0"/>
                <w:i w:val="0"/>
                <w:sz w:val="18"/>
              </w:rPr>
              <w:t>0.60</w:t>
            </w:r>
          </w:p>
        </w:tc>
      </w:tr>
    </w:tbl>
    <w:p>
      <w:pPr>
        <w:spacing w:after="20"/>
      </w:pPr>
    </w:p>
    <w:p>
      <w:r>
        <w:rPr>
          <w:b w:val="0"/>
          <w:i w:val="0"/>
        </w:rPr>
        <w:t>氢储能须提供情景专用折减系数。辅助服务按火电、核电与储能的运行 MW 分配。</w:t>
      </w:r>
      <w:r>
        <w:rPr>
          <w:rFonts w:ascii="DejaVu Sans Mono" w:hAnsi="DejaVu Sans Mono"/>
          <w:b w:val="0"/>
          <w:i w:val="0"/>
          <w:sz w:val="17"/>
        </w:rPr>
        <w:t>subsidy_as_usual</w:t>
      </w:r>
      <w:r>
        <w:rPr>
          <w:b w:val="0"/>
          <w:i w:val="0"/>
        </w:rPr>
        <w:t xml:space="preserve"> 和 </w:t>
      </w:r>
      <w:r>
        <w:rPr>
          <w:rFonts w:ascii="DejaVu Sans Mono" w:hAnsi="DejaVu Sans Mono"/>
          <w:b w:val="0"/>
          <w:i w:val="0"/>
          <w:sz w:val="17"/>
        </w:rPr>
        <w:t>governmental_target</w:t>
      </w:r>
      <w:r>
        <w:rPr>
          <w:b w:val="0"/>
          <w:i w:val="0"/>
        </w:rPr>
        <w:t xml:space="preserve"> 按合格风光 MW 分配新增脱碳支持，后者在技术容量达到声明目标时终止该技术资格。已有支持进入政策支出，新增支持进入合格投资收入；合格容量合计为零时，预算保留未分配。</w:t>
      </w:r>
    </w:p>
    <w:p>
      <w:r>
        <w:rPr>
          <w:rFonts w:ascii="DejaVu Sans Mono" w:hAnsi="DejaVu Sans Mono"/>
          <w:b w:val="0"/>
          <w:i w:val="0"/>
          <w:sz w:val="17"/>
        </w:rPr>
        <w:t>build_system_cost_views</w:t>
      </w:r>
      <w:r>
        <w:rPr>
          <w:b w:val="0"/>
          <w:i w:val="0"/>
        </w:rPr>
        <w:t xml:space="preserve"> 分别保留资源与历史支出视图。资源视图汇总提供的资本、运行及可靠性支出，以已供电量为分母；历史视图汇总资本、运行、政策征费及按 £17,000/MWh 计价的缺口，以包含适用进口的非电池发电量为分母。资源可靠性输入采用运行设定中的 VoLL，默认为 £17,000/MWh。</w:t>
      </w:r>
    </w:p>
    <w:p>
      <w:r>
        <w:rPr>
          <w:rFonts w:ascii="DejaVu Sans Mono" w:hAnsi="DejaVu Sans Mono"/>
          <w:b w:val="0"/>
          <w:i w:val="0"/>
          <w:sz w:val="17"/>
        </w:rPr>
        <w:t>legacy_carbon_metric</w:t>
      </w:r>
      <w:r>
        <w:rPr>
          <w:b w:val="0"/>
          <w:i w:val="0"/>
        </w:rPr>
        <w:t xml:space="preserve"> 以 </w:t>
      </w:r>
      <w:r>
        <w:rPr>
          <w:rFonts w:ascii="DejaVu Sans Mono" w:hAnsi="DejaVu Sans Mono"/>
          <w:b w:val="0"/>
          <w:i w:val="0"/>
          <w:sz w:val="17"/>
        </w:rPr>
        <w:t>unknown_source_scalar</w:t>
      </w:r>
      <w:r>
        <w:rPr>
          <w:b w:val="0"/>
          <w:i w:val="0"/>
        </w:rPr>
        <w:t xml:space="preserve"> 保留输入的历史碳标量。</w:t>
      </w:r>
      <w:r>
        <w:rPr>
          <w:rFonts w:ascii="DejaVu Sans Mono" w:hAnsi="DejaVu Sans Mono"/>
          <w:b w:val="0"/>
          <w:i w:val="0"/>
          <w:sz w:val="17"/>
        </w:rPr>
        <w:t>physical_carbon_view</w:t>
      </w:r>
      <w:r>
        <w:rPr>
          <w:b w:val="0"/>
          <w:i w:val="0"/>
        </w:rPr>
        <w:t xml:space="preserve"> 将发电 MWh 乘显式提供的 kgCO₂e/MWh 因子，再除以 1,000，报告运行 tCO₂e。储能碳库存须提供其充电、放电及来源强度输入，第 9 章列出当前因子目录与气体口径。</w:t>
      </w:r>
    </w:p>
    <w:p>
      <w:pPr>
        <w:pStyle w:val="Heading2"/>
      </w:pPr>
      <w:r>
        <w:rPr>
          <w:b w:val="0"/>
          <w:i w:val="0"/>
        </w:rPr>
        <w:t>REPD 项目与外生计划</w:t>
      </w:r>
    </w:p>
    <w:p>
      <w:r>
        <w:rPr>
          <w:b w:val="0"/>
          <w:i w:val="0"/>
        </w:rPr>
        <w:t>REPD 预处理依据项目状态、容量、地区及里程碑日期建立建设计划。</w:t>
      </w:r>
      <w:r>
        <w:rPr>
          <w:rFonts w:ascii="DejaVu Sans Mono" w:hAnsi="DejaVu Sans Mono"/>
          <w:b w:val="0"/>
          <w:i w:val="0"/>
          <w:sz w:val="17"/>
        </w:rPr>
        <w:t>lookup_​regional_​success_​rate</w:t>
      </w:r>
      <w:r>
        <w:rPr>
          <w:b w:val="0"/>
          <w:i w:val="0"/>
        </w:rPr>
        <w:t xml:space="preserve"> 先读取技术与地区条目，再取该技术地区均值，最后取 0.75；状态表决定是否应用成功率。期望容量模式将项目 MW 缩放一次，带种子的随机模式按名称、地区及技术生成项目结果，规划器保留这一预处理结果。</w:t>
      </w:r>
    </w:p>
    <w:p>
      <w:r>
        <w:rPr>
          <w:b w:val="0"/>
          <w:i w:val="0"/>
        </w:rPr>
        <w:t xml:space="preserve">REPD 项目的 </w:t>
      </w:r>
      <w:r>
        <w:rPr>
          <w:rFonts w:ascii="DejaVu Sans Mono" w:hAnsi="DejaVu Sans Mono"/>
          <w:b w:val="0"/>
          <w:i w:val="0"/>
          <w:sz w:val="17"/>
        </w:rPr>
        <w:t>resolve_repd_success</w:t>
      </w:r>
      <w:r>
        <w:rPr>
          <w:b w:val="0"/>
          <w:i w:val="0"/>
        </w:rPr>
        <w:t xml:space="preserve"> 按 </w:t>
      </w:r>
      <w:r>
        <w:rPr>
          <w:rFonts w:ascii="DejaVu Sans Mono" w:hAnsi="DejaVu Sans Mono"/>
          <w:b w:val="0"/>
          <w:i w:val="0"/>
          <w:sz w:val="17"/>
        </w:rPr>
        <w:t>project_name</w:t>
      </w:r>
      <w:r>
        <w:rPr>
          <w:b w:val="0"/>
          <w:i w:val="0"/>
        </w:rPr>
        <w:t>、</w:t>
      </w:r>
      <w:r>
        <w:rPr>
          <w:rFonts w:ascii="DejaVu Sans Mono" w:hAnsi="DejaVu Sans Mono"/>
          <w:b w:val="0"/>
          <w:i w:val="0"/>
          <w:sz w:val="17"/>
        </w:rPr>
        <w:t>region</w:t>
      </w:r>
      <w:r>
        <w:rPr>
          <w:b w:val="0"/>
          <w:i w:val="0"/>
        </w:rPr>
        <w:t xml:space="preserve"> 和成功率技术标签 </w:t>
      </w:r>
      <w:r>
        <w:rPr>
          <w:rFonts w:ascii="DejaVu Sans Mono" w:hAnsi="DejaVu Sans Mono"/>
          <w:b w:val="0"/>
          <w:i w:val="0"/>
          <w:sz w:val="17"/>
        </w:rPr>
        <w:t>label</w:t>
      </w:r>
      <w:r>
        <w:rPr>
          <w:b w:val="0"/>
          <w:i w:val="0"/>
        </w:rPr>
        <w:t xml:space="preserve"> 确定随机结果，接纳条件包含等号。配置种子作为元数据保留，抽签值由这三个项目字段固定：</w:t>
      </w:r>
    </w:p>
    <w:p>
      <w:pPr>
        <w:keepLines/>
        <w:spacing w:line="276" w:lineRule="auto" w:after="160"/>
      </w:pPr>
      <w:r>
        <w:rPr>
          <w:rFonts w:ascii="DejaVu Sans Mono" w:hAnsi="DejaVu Sans Mono"/>
          <w:b w:val="0"/>
          <w:i w:val="0"/>
          <w:sz w:val="17"/>
        </w:rPr>
        <w:t>draw = (stable_​int_​hash(f"{project_​name}|{region}|{label}") % 1_000_000) / 1_000_000</w:t>
        <w:br/>
        <w:t>succeeds = draw &lt;= rate</w:t>
        <w:br/>
      </w:r>
    </w:p>
    <w:p>
      <w:pPr>
        <w:keepNext/>
      </w:pPr>
      <w:r>
        <w:rPr>
          <w:rFonts w:ascii="DejaVu Sans Mono" w:hAnsi="DejaVu Sans Mono"/>
          <w:b w:val="0"/>
          <w:i w:val="0"/>
          <w:sz w:val="17"/>
        </w:rPr>
        <w:t>completion_​year_​from_​months</w:t>
      </w:r>
      <w:r>
        <w:rPr>
          <w:b w:val="0"/>
          <w:i w:val="0"/>
        </w:rPr>
        <w:t xml:space="preserve"> 采用 </w:t>
      </w:r>
      <w:r>
        <w:rPr>
          <w:rFonts w:ascii="DejaVu Sans Mono" w:hAnsi="DejaVu Sans Mono"/>
          <w:b w:val="0"/>
          <w:i w:val="0"/>
          <w:sz w:val="17"/>
        </w:rPr>
        <w:t>base_year</w:t>
      </w:r>
      <w:r>
        <w:rPr>
          <w:b w:val="0"/>
          <w:i w:val="0"/>
        </w:rPr>
        <w:t xml:space="preserve">、开发时长 </w:t>
      </w:r>
      <w:r>
        <w:rPr>
          <w:rFonts w:ascii="DejaVu Sans Mono" w:hAnsi="DejaVu Sans Mono"/>
          <w:b w:val="0"/>
          <w:i w:val="0"/>
          <w:sz w:val="17"/>
        </w:rPr>
        <w:t>months</w:t>
      </w:r>
      <w:r>
        <w:rPr>
          <w:b w:val="0"/>
          <w:i w:val="0"/>
        </w:rPr>
        <w:t xml:space="preserve"> 与 </w:t>
      </w:r>
      <w:r>
        <w:rPr>
          <w:rFonts w:ascii="DejaVu Sans Mono" w:hAnsi="DejaVu Sans Mono"/>
          <w:b w:val="0"/>
          <w:i w:val="0"/>
          <w:sz w:val="17"/>
        </w:rPr>
        <w:t>project_key</w:t>
      </w:r>
      <w:r>
        <w:rPr>
          <w:b w:val="0"/>
          <w:i w:val="0"/>
        </w:rPr>
        <w:t xml:space="preserve">。项目专用 </w:t>
      </w:r>
      <w:r>
        <w:rPr>
          <w:rFonts w:ascii="DejaVu Sans Mono" w:hAnsi="DejaVu Sans Mono"/>
          <w:b w:val="0"/>
          <w:i w:val="0"/>
          <w:sz w:val="17"/>
        </w:rPr>
        <w:t>jitter</w:t>
      </w:r>
      <w:r>
        <w:rPr>
          <w:b w:val="0"/>
          <w:i w:val="0"/>
        </w:rPr>
        <w:t xml:space="preserve"> 为 </w:t>
      </w:r>
      <w:r>
        <w:rPr>
          <w:rFonts w:ascii="DejaVu Sans Mono" w:hAnsi="DejaVu Sans Mono"/>
          <w:b w:val="0"/>
          <w:i w:val="0"/>
          <w:sz w:val="17"/>
        </w:rPr>
        <w:t>stable_​int_​hash(project_​key)</w:t>
      </w:r>
      <w:r>
        <w:rPr>
          <w:b w:val="0"/>
          <w:i w:val="0"/>
        </w:rPr>
        <w:t xml:space="preserve"> 取模 13 后减 6 个月，键为空时扰动取零，返回年份为：</w:t>
      </w:r>
    </w:p>
    <w:p>
      <w:pPr>
        <w:spacing w:after="160"/>
        <w:jc w:val="center"/>
      </w:pPr>
      <w:r>
        <w:drawing>
          <wp:inline xmlns:a="http://schemas.openxmlformats.org/drawingml/2006/main" xmlns:pic="http://schemas.openxmlformats.org/drawingml/2006/picture">
            <wp:extent cx="5292775" cy="637877"/>
            <wp:docPr id="129" name="Picture 129"/>
            <wp:cNvGraphicFramePr>
              <a:graphicFrameLocks noChangeAspect="1"/>
            </wp:cNvGraphicFramePr>
            <a:graphic>
              <a:graphicData uri="http://schemas.openxmlformats.org/drawingml/2006/picture">
                <pic:pic>
                  <pic:nvPicPr>
                    <pic:cNvPr id="0" name="eq-129.png"/>
                    <pic:cNvPicPr/>
                  </pic:nvPicPr>
                  <pic:blipFill>
                    <a:blip r:embed="rId131"/>
                    <a:stretch>
                      <a:fillRect/>
                    </a:stretch>
                  </pic:blipFill>
                  <pic:spPr>
                    <a:xfrm>
                      <a:off x="0" y="0"/>
                      <a:ext cx="5292775" cy="637877"/>
                    </a:xfrm>
                    <a:prstGeom prst="rect"/>
                  </pic:spPr>
                </pic:pic>
              </a:graphicData>
            </a:graphic>
          </wp:inline>
        </w:drawing>
      </w:r>
    </w:p>
    <w:p>
      <w:r>
        <w:rPr>
          <w:b w:val="0"/>
          <w:i w:val="0"/>
        </w:rPr>
        <w:t>获批项目合并施工准备与施工周期，日期按日优先解析。前向计划还考虑从申请开始的完整开发周期、模型起始年及初始快照的起始年加一下限。外部项目恰在起始年完成时，可按确定规则延后 1 至 3 年；内生提案采用第 4 章规定的决策年加一下限。</w:t>
      </w:r>
    </w:p>
    <w:p>
      <w:r>
        <w:rPr>
          <w:rFonts w:ascii="DejaVu Sans Mono" w:hAnsi="DejaVu Sans Mono"/>
          <w:b w:val="0"/>
          <w:i w:val="0"/>
          <w:sz w:val="17"/>
        </w:rPr>
        <w:t>preprocess_​doctoral_​project_​records</w:t>
      </w:r>
      <w:r>
        <w:rPr>
          <w:b w:val="0"/>
          <w:i w:val="0"/>
        </w:rPr>
        <w:t xml:space="preserve"> 保留容量至少 1 MW、至 2040 年完成的合格项目。过滤范围包括终止、已投运、已过完成期及长期停滞记录。默认陈旧状态年份为 2015 年，施工宽限期为两年，输出包含保留项目的时间、概率与有效容量。</w:t>
      </w:r>
    </w:p>
    <w:p>
      <w:r>
        <w:rPr>
          <w:b w:val="0"/>
          <w:i w:val="0"/>
        </w:rPr>
        <w:t>实验抽蓄日程给出合并功率、能量及已经年化的费用。</w:t>
      </w:r>
      <w:r>
        <w:rPr>
          <w:rFonts w:ascii="DejaVu Sans Mono" w:hAnsi="DejaVu Sans Mono"/>
          <w:b w:val="0"/>
          <w:i w:val="0"/>
          <w:sz w:val="17"/>
        </w:rPr>
        <w:t>apply_​thesis96_​pumped_​schedule</w:t>
      </w:r>
      <w:r>
        <w:rPr>
          <w:b w:val="0"/>
          <w:i w:val="0"/>
        </w:rPr>
        <w:t xml:space="preserve"> 从 </w:t>
      </w:r>
      <w:r>
        <w:rPr>
          <w:rFonts w:ascii="DejaVu Sans Mono" w:hAnsi="DejaVu Sans Mono"/>
          <w:b w:val="0"/>
          <w:i w:val="0"/>
          <w:sz w:val="17"/>
        </w:rPr>
        <w:t>thesis_​final96_​contract.json</w:t>
      </w:r>
      <w:r>
        <w:rPr>
          <w:b w:val="0"/>
          <w:i w:val="0"/>
        </w:rPr>
        <w:t xml:space="preserve"> 读取下表，应用到指定抽蓄资产。年度资本额与所选资本回收系数共同确定等效总资本，用于资产经济字段。</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57"/>
        <w:gridCol w:w="1729"/>
        <w:gridCol w:w="1655"/>
        <w:gridCol w:w="2264"/>
        <w:gridCol w:w="2287"/>
      </w:tblGrid>
      <w:tr>
        <w:trPr>
          <w:cantSplit/>
          <w:tblHeader w:val="true"/>
        </w:trPr>
        <w:tc>
          <w:tcPr>
            <w:tcW w:type="dxa" w:w="1857"/>
            <w:vAlign w:val="center"/>
            <w:tcMar>
              <w:top w:w="90" w:type="dxa"/>
              <w:left w:w="90" w:type="dxa"/>
              <w:bottom w:w="90" w:type="dxa"/>
              <w:right w:w="90" w:type="dxa"/>
            </w:tcMar>
            <w:shd w:fill="EEEEEE"/>
          </w:tcPr>
          <w:p>
            <w:pPr>
              <w:spacing w:after="40" w:line="276" w:lineRule="auto"/>
            </w:pPr>
            <w:r>
              <w:rPr>
                <w:b/>
                <w:i w:val="0"/>
                <w:sz w:val="18"/>
              </w:rPr>
              <w:t>模型年</w:t>
            </w:r>
          </w:p>
        </w:tc>
        <w:tc>
          <w:tcPr>
            <w:tcW w:type="dxa" w:w="1729"/>
            <w:vAlign w:val="center"/>
            <w:tcMar>
              <w:top w:w="90" w:type="dxa"/>
              <w:left w:w="90" w:type="dxa"/>
              <w:bottom w:w="90" w:type="dxa"/>
              <w:right w:w="90" w:type="dxa"/>
            </w:tcMar>
            <w:shd w:fill="EEEEEE"/>
          </w:tcPr>
          <w:p>
            <w:pPr>
              <w:spacing w:after="40" w:line="276" w:lineRule="auto"/>
            </w:pPr>
            <w:r>
              <w:rPr>
                <w:b/>
                <w:i w:val="0"/>
                <w:sz w:val="18"/>
              </w:rPr>
              <w:t>MW</w:t>
            </w:r>
          </w:p>
        </w:tc>
        <w:tc>
          <w:tcPr>
            <w:tcW w:type="dxa" w:w="1655"/>
            <w:vAlign w:val="center"/>
            <w:tcMar>
              <w:top w:w="90" w:type="dxa"/>
              <w:left w:w="90" w:type="dxa"/>
              <w:bottom w:w="90" w:type="dxa"/>
              <w:right w:w="90" w:type="dxa"/>
            </w:tcMar>
            <w:shd w:fill="EEEEEE"/>
          </w:tcPr>
          <w:p>
            <w:pPr>
              <w:spacing w:after="40" w:line="276" w:lineRule="auto"/>
            </w:pPr>
            <w:r>
              <w:rPr>
                <w:b/>
                <w:i w:val="0"/>
                <w:sz w:val="18"/>
              </w:rPr>
              <w:t>MWh</w:t>
            </w:r>
          </w:p>
        </w:tc>
        <w:tc>
          <w:tcPr>
            <w:tcW w:type="dxa" w:w="2264"/>
            <w:vAlign w:val="center"/>
            <w:tcMar>
              <w:top w:w="90" w:type="dxa"/>
              <w:left w:w="90" w:type="dxa"/>
              <w:bottom w:w="90" w:type="dxa"/>
              <w:right w:w="90" w:type="dxa"/>
            </w:tcMar>
            <w:shd w:fill="EEEEEE"/>
          </w:tcPr>
          <w:p>
            <w:pPr>
              <w:spacing w:after="40" w:line="276" w:lineRule="auto"/>
            </w:pPr>
            <w:r>
              <w:rPr>
                <w:b/>
                <w:i w:val="0"/>
                <w:sz w:val="18"/>
              </w:rPr>
              <w:t>年 OPEX，百万 GBP</w:t>
            </w:r>
          </w:p>
        </w:tc>
        <w:tc>
          <w:tcPr>
            <w:tcW w:type="dxa" w:w="2287"/>
            <w:vAlign w:val="center"/>
            <w:tcMar>
              <w:top w:w="90" w:type="dxa"/>
              <w:left w:w="90" w:type="dxa"/>
              <w:bottom w:w="90" w:type="dxa"/>
              <w:right w:w="90" w:type="dxa"/>
            </w:tcMar>
            <w:shd w:fill="EEEEEE"/>
          </w:tcPr>
          <w:p>
            <w:pPr>
              <w:spacing w:after="40" w:line="276" w:lineRule="auto"/>
            </w:pPr>
            <w:r>
              <w:rPr>
                <w:b/>
                <w:i w:val="0"/>
                <w:sz w:val="18"/>
              </w:rPr>
              <w:t>年化资本，百万 GBP</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2025</w:t>
            </w:r>
          </w:p>
        </w:tc>
        <w:tc>
          <w:tcPr>
            <w:tcW w:type="dxa" w:w="1729"/>
            <w:vAlign w:val="center"/>
            <w:tcMar>
              <w:top w:w="90" w:type="dxa"/>
              <w:left w:w="90" w:type="dxa"/>
              <w:bottom w:w="90" w:type="dxa"/>
              <w:right w:w="90" w:type="dxa"/>
            </w:tcMar>
          </w:tcPr>
          <w:p>
            <w:pPr>
              <w:spacing w:after="40" w:line="276" w:lineRule="auto"/>
            </w:pPr>
            <w:r>
              <w:rPr>
                <w:b w:val="0"/>
                <w:i w:val="0"/>
                <w:sz w:val="18"/>
              </w:rPr>
              <w:t>2,828</w:t>
            </w:r>
          </w:p>
        </w:tc>
        <w:tc>
          <w:tcPr>
            <w:tcW w:type="dxa" w:w="1655"/>
            <w:vAlign w:val="center"/>
            <w:tcMar>
              <w:top w:w="90" w:type="dxa"/>
              <w:left w:w="90" w:type="dxa"/>
              <w:bottom w:w="90" w:type="dxa"/>
              <w:right w:w="90" w:type="dxa"/>
            </w:tcMar>
          </w:tcPr>
          <w:p>
            <w:pPr>
              <w:spacing w:after="40" w:line="276" w:lineRule="auto"/>
            </w:pPr>
            <w:r>
              <w:rPr>
                <w:b w:val="0"/>
                <w:i w:val="0"/>
                <w:sz w:val="18"/>
              </w:rPr>
              <w:t>26,700</w:t>
            </w:r>
          </w:p>
        </w:tc>
        <w:tc>
          <w:tcPr>
            <w:tcW w:type="dxa" w:w="2264"/>
            <w:vAlign w:val="center"/>
            <w:tcMar>
              <w:top w:w="90" w:type="dxa"/>
              <w:left w:w="90" w:type="dxa"/>
              <w:bottom w:w="90" w:type="dxa"/>
              <w:right w:w="90" w:type="dxa"/>
            </w:tcMar>
          </w:tcPr>
          <w:p>
            <w:pPr>
              <w:spacing w:after="40" w:line="276" w:lineRule="auto"/>
            </w:pPr>
            <w:r>
              <w:rPr>
                <w:b w:val="0"/>
                <w:i w:val="0"/>
                <w:sz w:val="18"/>
              </w:rPr>
              <w:t>85.4</w:t>
            </w:r>
          </w:p>
        </w:tc>
        <w:tc>
          <w:tcPr>
            <w:tcW w:type="dxa" w:w="2287"/>
            <w:vAlign w:val="center"/>
            <w:tcMar>
              <w:top w:w="90" w:type="dxa"/>
              <w:left w:w="90" w:type="dxa"/>
              <w:bottom w:w="90" w:type="dxa"/>
              <w:right w:w="90" w:type="dxa"/>
            </w:tcMar>
          </w:tcPr>
          <w:p>
            <w:pPr>
              <w:spacing w:after="40" w:line="276" w:lineRule="auto"/>
            </w:pPr>
            <w:r>
              <w:rPr>
                <w:b w:val="0"/>
                <w:i w:val="0"/>
                <w:sz w:val="18"/>
              </w:rPr>
              <w:t>377.9</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2026–2027</w:t>
            </w:r>
          </w:p>
        </w:tc>
        <w:tc>
          <w:tcPr>
            <w:tcW w:type="dxa" w:w="1729"/>
            <w:vAlign w:val="center"/>
            <w:tcMar>
              <w:top w:w="90" w:type="dxa"/>
              <w:left w:w="90" w:type="dxa"/>
              <w:bottom w:w="90" w:type="dxa"/>
              <w:right w:w="90" w:type="dxa"/>
            </w:tcMar>
          </w:tcPr>
          <w:p>
            <w:pPr>
              <w:spacing w:after="40" w:line="276" w:lineRule="auto"/>
            </w:pPr>
            <w:r>
              <w:rPr>
                <w:b w:val="0"/>
                <w:i w:val="0"/>
                <w:sz w:val="18"/>
              </w:rPr>
              <w:t>2,927.9</w:t>
            </w:r>
          </w:p>
        </w:tc>
        <w:tc>
          <w:tcPr>
            <w:tcW w:type="dxa" w:w="1655"/>
            <w:vAlign w:val="center"/>
            <w:tcMar>
              <w:top w:w="90" w:type="dxa"/>
              <w:left w:w="90" w:type="dxa"/>
              <w:bottom w:w="90" w:type="dxa"/>
              <w:right w:w="90" w:type="dxa"/>
            </w:tcMar>
          </w:tcPr>
          <w:p>
            <w:pPr>
              <w:spacing w:after="40" w:line="276" w:lineRule="auto"/>
            </w:pPr>
            <w:r>
              <w:rPr>
                <w:b w:val="0"/>
                <w:i w:val="0"/>
                <w:sz w:val="18"/>
              </w:rPr>
              <w:t>27,400</w:t>
            </w:r>
          </w:p>
        </w:tc>
        <w:tc>
          <w:tcPr>
            <w:tcW w:type="dxa" w:w="2264"/>
            <w:vAlign w:val="center"/>
            <w:tcMar>
              <w:top w:w="90" w:type="dxa"/>
              <w:left w:w="90" w:type="dxa"/>
              <w:bottom w:w="90" w:type="dxa"/>
              <w:right w:w="90" w:type="dxa"/>
            </w:tcMar>
          </w:tcPr>
          <w:p>
            <w:pPr>
              <w:spacing w:after="40" w:line="276" w:lineRule="auto"/>
            </w:pPr>
            <w:r>
              <w:rPr>
                <w:b w:val="0"/>
                <w:i w:val="0"/>
                <w:sz w:val="18"/>
              </w:rPr>
              <w:t>87.8</w:t>
            </w:r>
          </w:p>
        </w:tc>
        <w:tc>
          <w:tcPr>
            <w:tcW w:type="dxa" w:w="2287"/>
            <w:vAlign w:val="center"/>
            <w:tcMar>
              <w:top w:w="90" w:type="dxa"/>
              <w:left w:w="90" w:type="dxa"/>
              <w:bottom w:w="90" w:type="dxa"/>
              <w:right w:w="90" w:type="dxa"/>
            </w:tcMar>
          </w:tcPr>
          <w:p>
            <w:pPr>
              <w:spacing w:after="40" w:line="276" w:lineRule="auto"/>
            </w:pPr>
            <w:r>
              <w:rPr>
                <w:b w:val="0"/>
                <w:i w:val="0"/>
                <w:sz w:val="18"/>
              </w:rPr>
              <w:t>388.5</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2028</w:t>
            </w:r>
          </w:p>
        </w:tc>
        <w:tc>
          <w:tcPr>
            <w:tcW w:type="dxa" w:w="1729"/>
            <w:vAlign w:val="center"/>
            <w:tcMar>
              <w:top w:w="90" w:type="dxa"/>
              <w:left w:w="90" w:type="dxa"/>
              <w:bottom w:w="90" w:type="dxa"/>
              <w:right w:w="90" w:type="dxa"/>
            </w:tcMar>
          </w:tcPr>
          <w:p>
            <w:pPr>
              <w:spacing w:after="40" w:line="276" w:lineRule="auto"/>
            </w:pPr>
            <w:r>
              <w:rPr>
                <w:b w:val="0"/>
                <w:i w:val="0"/>
                <w:sz w:val="18"/>
              </w:rPr>
              <w:t>3,377.9</w:t>
            </w:r>
          </w:p>
        </w:tc>
        <w:tc>
          <w:tcPr>
            <w:tcW w:type="dxa" w:w="1655"/>
            <w:vAlign w:val="center"/>
            <w:tcMar>
              <w:top w:w="90" w:type="dxa"/>
              <w:left w:w="90" w:type="dxa"/>
              <w:bottom w:w="90" w:type="dxa"/>
              <w:right w:w="90" w:type="dxa"/>
            </w:tcMar>
          </w:tcPr>
          <w:p>
            <w:pPr>
              <w:spacing w:after="40" w:line="276" w:lineRule="auto"/>
            </w:pPr>
            <w:r>
              <w:rPr>
                <w:b w:val="0"/>
                <w:i w:val="0"/>
                <w:sz w:val="18"/>
              </w:rPr>
              <w:t>30,200</w:t>
            </w:r>
          </w:p>
        </w:tc>
        <w:tc>
          <w:tcPr>
            <w:tcW w:type="dxa" w:w="2264"/>
            <w:vAlign w:val="center"/>
            <w:tcMar>
              <w:top w:w="90" w:type="dxa"/>
              <w:left w:w="90" w:type="dxa"/>
              <w:bottom w:w="90" w:type="dxa"/>
              <w:right w:w="90" w:type="dxa"/>
            </w:tcMar>
          </w:tcPr>
          <w:p>
            <w:pPr>
              <w:spacing w:after="40" w:line="276" w:lineRule="auto"/>
            </w:pPr>
            <w:r>
              <w:rPr>
                <w:b w:val="0"/>
                <w:i w:val="0"/>
                <w:sz w:val="18"/>
              </w:rPr>
              <w:t>96.1</w:t>
            </w:r>
          </w:p>
        </w:tc>
        <w:tc>
          <w:tcPr>
            <w:tcW w:type="dxa" w:w="2287"/>
            <w:vAlign w:val="center"/>
            <w:tcMar>
              <w:top w:w="90" w:type="dxa"/>
              <w:left w:w="90" w:type="dxa"/>
              <w:bottom w:w="90" w:type="dxa"/>
              <w:right w:w="90" w:type="dxa"/>
            </w:tcMar>
          </w:tcPr>
          <w:p>
            <w:pPr>
              <w:spacing w:after="40" w:line="276" w:lineRule="auto"/>
            </w:pPr>
            <w:r>
              <w:rPr>
                <w:b w:val="0"/>
                <w:i w:val="0"/>
                <w:sz w:val="18"/>
              </w:rPr>
              <w:t>425.1</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2029</w:t>
            </w:r>
          </w:p>
        </w:tc>
        <w:tc>
          <w:tcPr>
            <w:tcW w:type="dxa" w:w="1729"/>
            <w:vAlign w:val="center"/>
            <w:tcMar>
              <w:top w:w="90" w:type="dxa"/>
              <w:left w:w="90" w:type="dxa"/>
              <w:bottom w:w="90" w:type="dxa"/>
              <w:right w:w="90" w:type="dxa"/>
            </w:tcMar>
          </w:tcPr>
          <w:p>
            <w:pPr>
              <w:spacing w:after="40" w:line="276" w:lineRule="auto"/>
            </w:pPr>
            <w:r>
              <w:rPr>
                <w:b w:val="0"/>
                <w:i w:val="0"/>
                <w:sz w:val="18"/>
              </w:rPr>
              <w:t>3,587.9</w:t>
            </w:r>
          </w:p>
        </w:tc>
        <w:tc>
          <w:tcPr>
            <w:tcW w:type="dxa" w:w="1655"/>
            <w:vAlign w:val="center"/>
            <w:tcMar>
              <w:top w:w="90" w:type="dxa"/>
              <w:left w:w="90" w:type="dxa"/>
              <w:bottom w:w="90" w:type="dxa"/>
              <w:right w:w="90" w:type="dxa"/>
            </w:tcMar>
          </w:tcPr>
          <w:p>
            <w:pPr>
              <w:spacing w:after="40" w:line="276" w:lineRule="auto"/>
            </w:pPr>
            <w:r>
              <w:rPr>
                <w:b w:val="0"/>
                <w:i w:val="0"/>
                <w:sz w:val="18"/>
              </w:rPr>
              <w:t>31,800</w:t>
            </w:r>
          </w:p>
        </w:tc>
        <w:tc>
          <w:tcPr>
            <w:tcW w:type="dxa" w:w="2264"/>
            <w:vAlign w:val="center"/>
            <w:tcMar>
              <w:top w:w="90" w:type="dxa"/>
              <w:left w:w="90" w:type="dxa"/>
              <w:bottom w:w="90" w:type="dxa"/>
              <w:right w:w="90" w:type="dxa"/>
            </w:tcMar>
          </w:tcPr>
          <w:p>
            <w:pPr>
              <w:spacing w:after="40" w:line="276" w:lineRule="auto"/>
            </w:pPr>
            <w:r>
              <w:rPr>
                <w:b w:val="0"/>
                <w:i w:val="0"/>
                <w:sz w:val="18"/>
              </w:rPr>
              <w:t>99.9</w:t>
            </w:r>
          </w:p>
        </w:tc>
        <w:tc>
          <w:tcPr>
            <w:tcW w:type="dxa" w:w="2287"/>
            <w:vAlign w:val="center"/>
            <w:tcMar>
              <w:top w:w="90" w:type="dxa"/>
              <w:left w:w="90" w:type="dxa"/>
              <w:bottom w:w="90" w:type="dxa"/>
              <w:right w:w="90" w:type="dxa"/>
            </w:tcMar>
          </w:tcPr>
          <w:p>
            <w:pPr>
              <w:spacing w:after="40" w:line="276" w:lineRule="auto"/>
            </w:pPr>
            <w:r>
              <w:rPr>
                <w:b w:val="0"/>
                <w:i w:val="0"/>
                <w:sz w:val="18"/>
              </w:rPr>
              <w:t>441.5</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2030</w:t>
            </w:r>
          </w:p>
        </w:tc>
        <w:tc>
          <w:tcPr>
            <w:tcW w:type="dxa" w:w="1729"/>
            <w:vAlign w:val="center"/>
            <w:tcMar>
              <w:top w:w="90" w:type="dxa"/>
              <w:left w:w="90" w:type="dxa"/>
              <w:bottom w:w="90" w:type="dxa"/>
              <w:right w:w="90" w:type="dxa"/>
            </w:tcMar>
          </w:tcPr>
          <w:p>
            <w:pPr>
              <w:spacing w:after="40" w:line="276" w:lineRule="auto"/>
            </w:pPr>
            <w:r>
              <w:rPr>
                <w:b w:val="0"/>
                <w:i w:val="0"/>
                <w:sz w:val="18"/>
              </w:rPr>
              <w:t>4,187.9</w:t>
            </w:r>
          </w:p>
        </w:tc>
        <w:tc>
          <w:tcPr>
            <w:tcW w:type="dxa" w:w="1655"/>
            <w:vAlign w:val="center"/>
            <w:tcMar>
              <w:top w:w="90" w:type="dxa"/>
              <w:left w:w="90" w:type="dxa"/>
              <w:bottom w:w="90" w:type="dxa"/>
              <w:right w:w="90" w:type="dxa"/>
            </w:tcMar>
          </w:tcPr>
          <w:p>
            <w:pPr>
              <w:spacing w:after="40" w:line="276" w:lineRule="auto"/>
            </w:pPr>
            <w:r>
              <w:rPr>
                <w:b w:val="0"/>
                <w:i w:val="0"/>
                <w:sz w:val="18"/>
              </w:rPr>
              <w:t>40,800</w:t>
            </w:r>
          </w:p>
        </w:tc>
        <w:tc>
          <w:tcPr>
            <w:tcW w:type="dxa" w:w="2264"/>
            <w:vAlign w:val="center"/>
            <w:tcMar>
              <w:top w:w="90" w:type="dxa"/>
              <w:left w:w="90" w:type="dxa"/>
              <w:bottom w:w="90" w:type="dxa"/>
              <w:right w:w="90" w:type="dxa"/>
            </w:tcMar>
          </w:tcPr>
          <w:p>
            <w:pPr>
              <w:spacing w:after="40" w:line="276" w:lineRule="auto"/>
            </w:pPr>
            <w:r>
              <w:rPr>
                <w:b w:val="0"/>
                <w:i w:val="0"/>
                <w:sz w:val="18"/>
              </w:rPr>
              <w:t>112.4</w:t>
            </w:r>
          </w:p>
        </w:tc>
        <w:tc>
          <w:tcPr>
            <w:tcW w:type="dxa" w:w="2287"/>
            <w:vAlign w:val="center"/>
            <w:tcMar>
              <w:top w:w="90" w:type="dxa"/>
              <w:left w:w="90" w:type="dxa"/>
              <w:bottom w:w="90" w:type="dxa"/>
              <w:right w:w="90" w:type="dxa"/>
            </w:tcMar>
          </w:tcPr>
          <w:p>
            <w:pPr>
              <w:spacing w:after="40" w:line="276" w:lineRule="auto"/>
            </w:pPr>
            <w:r>
              <w:rPr>
                <w:b w:val="0"/>
                <w:i w:val="0"/>
                <w:sz w:val="18"/>
              </w:rPr>
              <w:t>496.8</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2031–2034</w:t>
            </w:r>
          </w:p>
        </w:tc>
        <w:tc>
          <w:tcPr>
            <w:tcW w:type="dxa" w:w="1729"/>
            <w:vAlign w:val="center"/>
            <w:tcMar>
              <w:top w:w="90" w:type="dxa"/>
              <w:left w:w="90" w:type="dxa"/>
              <w:bottom w:w="90" w:type="dxa"/>
              <w:right w:w="90" w:type="dxa"/>
            </w:tcMar>
          </w:tcPr>
          <w:p>
            <w:pPr>
              <w:spacing w:after="40" w:line="276" w:lineRule="auto"/>
            </w:pPr>
            <w:r>
              <w:rPr>
                <w:b w:val="0"/>
                <w:i w:val="0"/>
                <w:sz w:val="18"/>
              </w:rPr>
              <w:t>5,687.9</w:t>
            </w:r>
          </w:p>
        </w:tc>
        <w:tc>
          <w:tcPr>
            <w:tcW w:type="dxa" w:w="1655"/>
            <w:vAlign w:val="center"/>
            <w:tcMar>
              <w:top w:w="90" w:type="dxa"/>
              <w:left w:w="90" w:type="dxa"/>
              <w:bottom w:w="90" w:type="dxa"/>
              <w:right w:w="90" w:type="dxa"/>
            </w:tcMar>
          </w:tcPr>
          <w:p>
            <w:pPr>
              <w:spacing w:after="40" w:line="276" w:lineRule="auto"/>
            </w:pPr>
            <w:r>
              <w:rPr>
                <w:b w:val="0"/>
                <w:i w:val="0"/>
                <w:sz w:val="18"/>
              </w:rPr>
              <w:t>70,800</w:t>
            </w:r>
          </w:p>
        </w:tc>
        <w:tc>
          <w:tcPr>
            <w:tcW w:type="dxa" w:w="2264"/>
            <w:vAlign w:val="center"/>
            <w:tcMar>
              <w:top w:w="90" w:type="dxa"/>
              <w:left w:w="90" w:type="dxa"/>
              <w:bottom w:w="90" w:type="dxa"/>
              <w:right w:w="90" w:type="dxa"/>
            </w:tcMar>
          </w:tcPr>
          <w:p>
            <w:pPr>
              <w:spacing w:after="40" w:line="276" w:lineRule="auto"/>
            </w:pPr>
            <w:r>
              <w:rPr>
                <w:b w:val="0"/>
                <w:i w:val="0"/>
                <w:sz w:val="18"/>
              </w:rPr>
              <w:t>134.9</w:t>
            </w:r>
          </w:p>
        </w:tc>
        <w:tc>
          <w:tcPr>
            <w:tcW w:type="dxa" w:w="2287"/>
            <w:vAlign w:val="center"/>
            <w:tcMar>
              <w:top w:w="90" w:type="dxa"/>
              <w:left w:w="90" w:type="dxa"/>
              <w:bottom w:w="90" w:type="dxa"/>
              <w:right w:w="90" w:type="dxa"/>
            </w:tcMar>
          </w:tcPr>
          <w:p>
            <w:pPr>
              <w:spacing w:after="40" w:line="276" w:lineRule="auto"/>
            </w:pPr>
            <w:r>
              <w:rPr>
                <w:b w:val="0"/>
                <w:i w:val="0"/>
                <w:sz w:val="18"/>
              </w:rPr>
              <w:t>596.4</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2035</w:t>
            </w:r>
          </w:p>
        </w:tc>
        <w:tc>
          <w:tcPr>
            <w:tcW w:type="dxa" w:w="1729"/>
            <w:vAlign w:val="center"/>
            <w:tcMar>
              <w:top w:w="90" w:type="dxa"/>
              <w:left w:w="90" w:type="dxa"/>
              <w:bottom w:w="90" w:type="dxa"/>
              <w:right w:w="90" w:type="dxa"/>
            </w:tcMar>
          </w:tcPr>
          <w:p>
            <w:pPr>
              <w:spacing w:after="40" w:line="276" w:lineRule="auto"/>
            </w:pPr>
            <w:r>
              <w:rPr>
                <w:b w:val="0"/>
                <w:i w:val="0"/>
                <w:sz w:val="18"/>
              </w:rPr>
              <w:t>11,387.9</w:t>
            </w:r>
          </w:p>
        </w:tc>
        <w:tc>
          <w:tcPr>
            <w:tcW w:type="dxa" w:w="1655"/>
            <w:vAlign w:val="center"/>
            <w:tcMar>
              <w:top w:w="90" w:type="dxa"/>
              <w:left w:w="90" w:type="dxa"/>
              <w:bottom w:w="90" w:type="dxa"/>
              <w:right w:w="90" w:type="dxa"/>
            </w:tcMar>
          </w:tcPr>
          <w:p>
            <w:pPr>
              <w:spacing w:after="40" w:line="276" w:lineRule="auto"/>
            </w:pPr>
            <w:r>
              <w:rPr>
                <w:b w:val="0"/>
                <w:i w:val="0"/>
                <w:sz w:val="18"/>
              </w:rPr>
              <w:t>195,800</w:t>
            </w:r>
          </w:p>
        </w:tc>
        <w:tc>
          <w:tcPr>
            <w:tcW w:type="dxa" w:w="2264"/>
            <w:vAlign w:val="center"/>
            <w:tcMar>
              <w:top w:w="90" w:type="dxa"/>
              <w:left w:w="90" w:type="dxa"/>
              <w:bottom w:w="90" w:type="dxa"/>
              <w:right w:w="90" w:type="dxa"/>
            </w:tcMar>
          </w:tcPr>
          <w:p>
            <w:pPr>
              <w:spacing w:after="40" w:line="276" w:lineRule="auto"/>
            </w:pPr>
            <w:r>
              <w:rPr>
                <w:b w:val="0"/>
                <w:i w:val="0"/>
                <w:sz w:val="18"/>
              </w:rPr>
              <w:t>241.9</w:t>
            </w:r>
          </w:p>
        </w:tc>
        <w:tc>
          <w:tcPr>
            <w:tcW w:type="dxa" w:w="2287"/>
            <w:vAlign w:val="center"/>
            <w:tcMar>
              <w:top w:w="90" w:type="dxa"/>
              <w:left w:w="90" w:type="dxa"/>
              <w:bottom w:w="90" w:type="dxa"/>
              <w:right w:w="90" w:type="dxa"/>
            </w:tcMar>
          </w:tcPr>
          <w:p>
            <w:pPr>
              <w:spacing w:after="40" w:line="276" w:lineRule="auto"/>
            </w:pPr>
            <w:r>
              <w:rPr>
                <w:b w:val="0"/>
                <w:i w:val="0"/>
                <w:sz w:val="18"/>
              </w:rPr>
              <w:t>1,070.8</w:t>
            </w:r>
          </w:p>
        </w:tc>
      </w:tr>
    </w:tbl>
    <w:p>
      <w:pPr>
        <w:spacing w:after="20"/>
      </w:pPr>
    </w:p>
    <w:p>
      <w:r>
        <w:rPr>
          <w:b w:val="0"/>
          <w:i w:val="0"/>
        </w:rPr>
        <w:t xml:space="preserve">核电采用冻结的 </w:t>
      </w:r>
      <w:r>
        <w:rPr>
          <w:rFonts w:ascii="DejaVu Sans Mono" w:hAnsi="DejaVu Sans Mono"/>
          <w:b w:val="0"/>
          <w:i w:val="0"/>
          <w:sz w:val="17"/>
        </w:rPr>
        <w:t>value_​uk_​nuclear_​policy_​v1.json</w:t>
      </w:r>
      <w:r>
        <w:rPr>
          <w:b w:val="0"/>
          <w:i w:val="0"/>
        </w:rPr>
        <w:t xml:space="preserve"> 日程。Heysham 1、Hartlepool、Heysham 2 和 Torness 分别为 1,155、1,185、1,230、1,190 MW，从 2031 年退出年度资产日程；Sizewell B 为 1,198 MW，从 2056 年退出。Hinkley C 两台各 1,630 MW，于 2031、2032 年进入完整模型年运行；Sizewell C 的 3,200 MW 保留在 2035 年管线中。默认修正 Native 调度对具有电站政策的数据包另应用第 5 章负荷率，以及 AGR 在 2030 年第 4,320 期的可用率截止。</w:t>
      </w:r>
    </w:p>
    <w:p>
      <w:pPr>
        <w:pStyle w:val="Heading2"/>
      </w:pPr>
      <w:r>
        <w:rPr>
          <w:b w:val="0"/>
          <w:i w:val="0"/>
        </w:rPr>
        <w:t>实验年度间的物理状态</w:t>
      </w:r>
    </w:p>
    <w:p>
      <w:r>
        <w:rPr>
          <w:b w:val="0"/>
          <w:i w:val="0"/>
        </w:rPr>
        <w:t>实验逐期引擎在完整年度之间延续批次年龄与机组记忆。绝对时段索引跨年递增，继续运行批次保留其充电索引；原有机组记忆及累计天然资源预算共同传递，新机组采用给定初始状态，新储能采用空批次。</w:t>
      </w:r>
    </w:p>
    <w:p>
      <w:r>
        <w:rPr>
          <w:rFonts w:ascii="DejaVu Sans Mono" w:hAnsi="DejaVu Sans Mono"/>
          <w:b w:val="0"/>
          <w:i w:val="0"/>
          <w:sz w:val="17"/>
        </w:rPr>
        <w:t>DoctoralPeriodEngine.advance_​year</w:t>
      </w:r>
      <w:r>
        <w:rPr>
          <w:b w:val="0"/>
          <w:i w:val="0"/>
        </w:rPr>
        <w:t xml:space="preserve"> 要求连续完整模型年及足以容纳继承库存的储能容量。非空储能退役或缩容至低于现有库存时，需要通过后续接入步骤提供显式处置规则。因此，现行转换保留继续运行储能的库存，退役冲销由显式处置接口确定。年度账户准备、物理状态延续和投资提案分别遵循前述输入要求。</w:t>
      </w:r>
    </w:p>
    <w:p>
      <w:pPr>
        <w:pStyle w:val="Heading1"/>
      </w:pPr>
      <w:r>
        <w:rPr>
          <w:b w:val="0"/>
          <w:i w:val="0"/>
        </w:rPr>
        <w:t>7 传输与网络约束</w:t>
      </w:r>
    </w:p>
    <w:p>
      <w:pPr>
        <w:pStyle w:val="Heading2"/>
      </w:pPr>
      <w:r>
        <w:rPr>
          <w:b w:val="0"/>
          <w:i w:val="0"/>
        </w:rPr>
        <w:t>分区再调度的空间表示</w:t>
      </w:r>
    </w:p>
    <w:p>
      <w:r>
        <w:rPr>
          <w:b w:val="0"/>
          <w:i w:val="0"/>
        </w:rPr>
        <w:t>分区再调度在全国日前计划上加入空间约束。每个半小时接纳上调与下调报价，使最终注入满足分区需求、走廊容量和地理边界限额。无损运输表示通过守恒与容量约束确定流量。23 区配置与 11 区实验采用这一表示，直流调度与交流可行性采用下述独立方法。网络模块在修正口径下使用具备相应资格的数据包。</w:t>
      </w:r>
    </w:p>
    <w:p>
      <w:pPr>
        <w:keepNext/>
      </w:pPr>
      <w:r>
        <w:rPr>
          <w:b w:val="0"/>
          <w:i w:val="0"/>
        </w:rPr>
        <w:t>需求按案例指定的空间规则分配。</w:t>
      </w:r>
      <w:r>
        <w:rPr>
          <w:rFonts w:ascii="DejaVu Sans Mono" w:hAnsi="DejaVu Sans Mono"/>
          <w:b w:val="0"/>
          <w:i w:val="0"/>
          <w:sz w:val="17"/>
        </w:rPr>
        <w:t>align_zonal_demand</w:t>
      </w:r>
      <w:r>
        <w:rPr>
          <w:b w:val="0"/>
          <w:i w:val="0"/>
        </w:rPr>
        <w:t xml:space="preserve"> 在 23 区研究中保留网络包的分区份额，并缩放至全国情景需求。数组 </w:t>
      </w:r>
      <w:r>
        <w:rPr>
          <w:rFonts w:ascii="DejaVu Sans Mono" w:hAnsi="DejaVu Sans Mono"/>
          <w:b w:val="0"/>
          <w:i w:val="0"/>
          <w:sz w:val="17"/>
        </w:rPr>
        <w:t>aligned</w:t>
      </w:r>
      <w:r>
        <w:rPr>
          <w:b w:val="0"/>
          <w:i w:val="0"/>
        </w:rPr>
        <w:t>、</w:t>
      </w:r>
      <w:r>
        <w:rPr>
          <w:rFonts w:ascii="DejaVu Sans Mono" w:hAnsi="DejaVu Sans Mono"/>
          <w:b w:val="0"/>
          <w:i w:val="0"/>
          <w:sz w:val="17"/>
        </w:rPr>
        <w:t>output_real</w:t>
      </w:r>
      <w:r>
        <w:rPr>
          <w:b w:val="0"/>
          <w:i w:val="0"/>
        </w:rPr>
        <w:t>、</w:t>
      </w:r>
      <w:r>
        <w:rPr>
          <w:rFonts w:ascii="DejaVu Sans Mono" w:hAnsi="DejaVu Sans Mono"/>
          <w:b w:val="0"/>
          <w:i w:val="0"/>
          <w:sz w:val="17"/>
        </w:rPr>
        <w:t>network_​demand_​mwh_​by_​zone</w:t>
      </w:r>
      <w:r>
        <w:rPr>
          <w:b w:val="0"/>
          <w:i w:val="0"/>
        </w:rPr>
        <w:t xml:space="preserve"> 和 </w:t>
      </w:r>
      <w:r>
        <w:rPr>
          <w:rFonts w:ascii="DejaVu Sans Mono" w:hAnsi="DejaVu Sans Mono"/>
          <w:b w:val="0"/>
          <w:i w:val="0"/>
          <w:sz w:val="17"/>
        </w:rPr>
        <w:t>network_national_mwh</w:t>
      </w:r>
      <w:r>
        <w:rPr>
          <w:b w:val="0"/>
          <w:i w:val="0"/>
        </w:rPr>
        <w:t xml:space="preserve"> 均为 MWh，区域和时段下标为 </w:t>
      </w:r>
      <w:r>
        <w:drawing>
          <wp:inline xmlns:a="http://schemas.openxmlformats.org/drawingml/2006/main" xmlns:pic="http://schemas.openxmlformats.org/drawingml/2006/picture">
            <wp:extent cx="200818" cy="129695"/>
            <wp:docPr id="130" name="Picture 130"/>
            <wp:cNvGraphicFramePr>
              <a:graphicFrameLocks noChangeAspect="1"/>
            </wp:cNvGraphicFramePr>
            <a:graphic>
              <a:graphicData uri="http://schemas.openxmlformats.org/drawingml/2006/picture">
                <pic:pic>
                  <pic:nvPicPr>
                    <pic:cNvPr id="0" name="eq-130.png"/>
                    <pic:cNvPicPr/>
                  </pic:nvPicPr>
                  <pic:blipFill>
                    <a:blip r:embed="rId132"/>
                    <a:stretch>
                      <a:fillRect/>
                    </a:stretch>
                  </pic:blipFill>
                  <pic:spPr>
                    <a:xfrm>
                      <a:off x="0" y="0"/>
                      <a:ext cx="200818" cy="129695"/>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4083481" cy="631042"/>
            <wp:docPr id="131" name="Picture 131"/>
            <wp:cNvGraphicFramePr>
              <a:graphicFrameLocks noChangeAspect="1"/>
            </wp:cNvGraphicFramePr>
            <a:graphic>
              <a:graphicData uri="http://schemas.openxmlformats.org/drawingml/2006/picture">
                <pic:pic>
                  <pic:nvPicPr>
                    <pic:cNvPr id="0" name="eq-131.png"/>
                    <pic:cNvPicPr/>
                  </pic:nvPicPr>
                  <pic:blipFill>
                    <a:blip r:embed="rId133"/>
                    <a:stretch>
                      <a:fillRect/>
                    </a:stretch>
                  </pic:blipFill>
                  <pic:spPr>
                    <a:xfrm>
                      <a:off x="0" y="0"/>
                      <a:ext cx="4083481" cy="631042"/>
                    </a:xfrm>
                    <a:prstGeom prst="rect"/>
                  </pic:spPr>
                </pic:pic>
              </a:graphicData>
            </a:graphic>
          </wp:inline>
        </w:drawing>
      </w:r>
    </w:p>
    <w:p>
      <w:pPr>
        <w:keepNext/>
      </w:pPr>
      <w:r>
        <w:rPr>
          <w:b w:val="0"/>
          <w:i w:val="0"/>
        </w:rPr>
        <w:t>最后一个分区取全国需求减去前面各区已分配量，以保持总量守恒。11 区实验采用网络数据的绝对需求，并保留基础序列的预测需求与实际需求之比：</w:t>
      </w:r>
    </w:p>
    <w:p>
      <w:pPr>
        <w:spacing w:after="160"/>
        <w:jc w:val="center"/>
      </w:pPr>
      <w:r>
        <w:drawing>
          <wp:inline xmlns:a="http://schemas.openxmlformats.org/drawingml/2006/main" xmlns:pic="http://schemas.openxmlformats.org/drawingml/2006/picture">
            <wp:extent cx="4432325" cy="608045"/>
            <wp:docPr id="132" name="Picture 132"/>
            <wp:cNvGraphicFramePr>
              <a:graphicFrameLocks noChangeAspect="1"/>
            </wp:cNvGraphicFramePr>
            <a:graphic>
              <a:graphicData uri="http://schemas.openxmlformats.org/drawingml/2006/picture">
                <pic:pic>
                  <pic:nvPicPr>
                    <pic:cNvPr id="0" name="eq-132.png"/>
                    <pic:cNvPicPr/>
                  </pic:nvPicPr>
                  <pic:blipFill>
                    <a:blip r:embed="rId134"/>
                    <a:stretch>
                      <a:fillRect/>
                    </a:stretch>
                  </pic:blipFill>
                  <pic:spPr>
                    <a:xfrm>
                      <a:off x="0" y="0"/>
                      <a:ext cx="4432325" cy="608045"/>
                    </a:xfrm>
                    <a:prstGeom prst="rect"/>
                  </pic:spPr>
                </pic:pic>
              </a:graphicData>
            </a:graphic>
          </wp:inline>
        </w:drawing>
      </w:r>
    </w:p>
    <w:p>
      <w:r>
        <w:rPr>
          <w:b w:val="0"/>
          <w:i w:val="0"/>
        </w:rPr>
        <w:t xml:space="preserve">分母为零而目标需求为正时，输入检查报错。输出 </w:t>
      </w:r>
      <w:r>
        <w:rPr>
          <w:rFonts w:ascii="DejaVu Sans Mono" w:hAnsi="DejaVu Sans Mono"/>
          <w:b w:val="0"/>
          <w:i w:val="0"/>
          <w:sz w:val="17"/>
        </w:rPr>
        <w:t>demand_mwh_by_zone</w:t>
      </w:r>
      <w:r>
        <w:rPr>
          <w:b w:val="0"/>
          <w:i w:val="0"/>
        </w:rPr>
        <w:t xml:space="preserve"> 与资产位置、实际可用率、互联线进出口限额一起进入 </w:t>
      </w:r>
      <w:r>
        <w:rPr>
          <w:rFonts w:ascii="DejaVu Sans Mono" w:hAnsi="DejaVu Sans Mono"/>
          <w:b w:val="0"/>
          <w:i w:val="0"/>
          <w:sz w:val="17"/>
        </w:rPr>
        <w:t>build_​single_​period_​problem</w:t>
      </w:r>
      <w:r>
        <w:rPr>
          <w:b w:val="0"/>
          <w:i w:val="0"/>
        </w:rPr>
        <w:t>。</w:t>
      </w:r>
    </w:p>
    <w:p>
      <w:pPr>
        <w:pStyle w:val="Heading2"/>
      </w:pPr>
      <w:r>
        <w:rPr>
          <w:b w:val="0"/>
          <w:i w:val="0"/>
        </w:rPr>
        <w:t>调整目标与运行约束</w:t>
      </w:r>
    </w:p>
    <w:p>
      <w:r>
        <w:rPr>
          <w:b w:val="0"/>
          <w:i w:val="0"/>
        </w:rPr>
        <w:t>再调度依次求解四个线性目标：包含缺电费用的报价支出、调整电量、加权物理吞吐和固定变量顺序。</w:t>
      </w:r>
      <w:r>
        <w:rPr>
          <w:rFonts w:ascii="DejaVu Sans Mono" w:hAnsi="DejaVu Sans Mono"/>
          <w:b w:val="0"/>
          <w:i w:val="0"/>
          <w:sz w:val="17"/>
        </w:rPr>
        <w:t>SinglePeriodProblem</w:t>
      </w:r>
      <w:r>
        <w:rPr>
          <w:b w:val="0"/>
          <w:i w:val="0"/>
        </w:rPr>
        <w:t xml:space="preserve"> 将目标系数数组记为 </w:t>
      </w:r>
      <w:r>
        <w:rPr>
          <w:rFonts w:ascii="DejaVu Sans Mono" w:hAnsi="DejaVu Sans Mono"/>
          <w:b w:val="0"/>
          <w:i w:val="0"/>
          <w:sz w:val="17"/>
        </w:rPr>
        <w:t>primary_objective</w:t>
      </w:r>
      <w:r>
        <w:rPr>
          <w:b w:val="0"/>
          <w:i w:val="0"/>
        </w:rPr>
        <w:t>、</w:t>
      </w:r>
      <w:r>
        <w:rPr>
          <w:rFonts w:ascii="DejaVu Sans Mono" w:hAnsi="DejaVu Sans Mono"/>
          <w:b w:val="0"/>
          <w:i w:val="0"/>
          <w:sz w:val="17"/>
        </w:rPr>
        <w:t>secondary_objective</w:t>
      </w:r>
      <w:r>
        <w:rPr>
          <w:b w:val="0"/>
          <w:i w:val="0"/>
        </w:rPr>
        <w:t>、</w:t>
      </w:r>
      <w:r>
        <w:rPr>
          <w:rFonts w:ascii="DejaVu Sans Mono" w:hAnsi="DejaVu Sans Mono"/>
          <w:b w:val="0"/>
          <w:i w:val="0"/>
          <w:sz w:val="17"/>
        </w:rPr>
        <w:t>physical_tie_objective</w:t>
      </w:r>
      <w:r>
        <w:rPr>
          <w:b w:val="0"/>
          <w:i w:val="0"/>
        </w:rPr>
        <w:t xml:space="preserve"> 和 </w:t>
      </w:r>
      <w:r>
        <w:rPr>
          <w:rFonts w:ascii="DejaVu Sans Mono" w:hAnsi="DejaVu Sans Mono"/>
          <w:b w:val="0"/>
          <w:i w:val="0"/>
          <w:sz w:val="17"/>
        </w:rPr>
        <w:t>stable_tie_objective</w:t>
      </w:r>
      <w:r>
        <w:rPr>
          <w:b w:val="0"/>
          <w:i w:val="0"/>
        </w:rPr>
        <w:t xml:space="preserve">。各目标值为对应数组与期间决策向量 </w:t>
      </w:r>
      <w:r>
        <w:rPr>
          <w:rFonts w:ascii="DejaVu Sans Mono" w:hAnsi="DejaVu Sans Mono"/>
          <w:b w:val="0"/>
          <w:i w:val="0"/>
          <w:sz w:val="17"/>
        </w:rPr>
        <w:t>values</w:t>
      </w:r>
      <w:r>
        <w:rPr>
          <w:b w:val="0"/>
          <w:i w:val="0"/>
        </w:rPr>
        <w:t xml:space="preserve"> 的内积，后者由 </w:t>
      </w:r>
      <w:r>
        <w:rPr>
          <w:rFonts w:ascii="DejaVu Sans Mono" w:hAnsi="DejaVu Sans Mono"/>
          <w:b w:val="0"/>
          <w:i w:val="0"/>
          <w:sz w:val="17"/>
        </w:rPr>
        <w:t>solve_lexicographic</w:t>
      </w:r>
      <w:r>
        <w:rPr>
          <w:b w:val="0"/>
          <w:i w:val="0"/>
        </w:rPr>
        <w:t xml:space="preserve"> 返回。</w:t>
      </w:r>
    </w:p>
    <w:p>
      <w:r>
        <w:rPr>
          <w:b w:val="0"/>
          <w:i w:val="0"/>
        </w:rPr>
        <w:t>决策向量采用实现中的变量标签。</w:t>
      </w:r>
      <w:r>
        <w:rPr>
          <w:rFonts w:ascii="DejaVu Sans Mono" w:hAnsi="DejaVu Sans Mono"/>
          <w:b w:val="0"/>
          <w:i w:val="0"/>
          <w:sz w:val="17"/>
        </w:rPr>
        <w:t>bid:&lt;bid_id&gt;</w:t>
      </w:r>
      <w:r>
        <w:rPr>
          <w:b w:val="0"/>
          <w:i w:val="0"/>
        </w:rPr>
        <w:t xml:space="preserve"> 为非负接纳报价电量，</w:t>
      </w:r>
      <w:r>
        <w:rPr>
          <w:rFonts w:ascii="DejaVu Sans Mono" w:hAnsi="DejaVu Sans Mono"/>
          <w:b w:val="0"/>
          <w:i w:val="0"/>
          <w:sz w:val="17"/>
        </w:rPr>
        <w:t>flow:&lt;corridor_id&gt;</w:t>
      </w:r>
      <w:r>
        <w:rPr>
          <w:b w:val="0"/>
          <w:i w:val="0"/>
        </w:rPr>
        <w:t xml:space="preserve"> 为带方向走廊电量，</w:t>
      </w:r>
      <w:r>
        <w:rPr>
          <w:rFonts w:ascii="DejaVu Sans Mono" w:hAnsi="DejaVu Sans Mono"/>
          <w:b w:val="0"/>
          <w:i w:val="0"/>
          <w:sz w:val="17"/>
        </w:rPr>
        <w:t>load-shedding:&lt;zone_id&gt;</w:t>
      </w:r>
      <w:r>
        <w:rPr>
          <w:b w:val="0"/>
          <w:i w:val="0"/>
        </w:rPr>
        <w:t xml:space="preserve"> 为未满足需求，</w:t>
      </w:r>
      <w:r>
        <w:rPr>
          <w:rFonts w:ascii="DejaVu Sans Mono" w:hAnsi="DejaVu Sans Mono"/>
          <w:b w:val="0"/>
          <w:i w:val="0"/>
          <w:sz w:val="17"/>
        </w:rPr>
        <w:t>storage-charge:&lt;asset_​id&gt;</w:t>
      </w:r>
      <w:r>
        <w:rPr>
          <w:b w:val="0"/>
          <w:i w:val="0"/>
        </w:rPr>
        <w:t xml:space="preserve"> 与 </w:t>
      </w:r>
      <w:r>
        <w:rPr>
          <w:rFonts w:ascii="DejaVu Sans Mono" w:hAnsi="DejaVu Sans Mono"/>
          <w:b w:val="0"/>
          <w:i w:val="0"/>
          <w:sz w:val="17"/>
        </w:rPr>
        <w:t>storage-discharge:&lt;asset_​id&gt;</w:t>
      </w:r>
      <w:r>
        <w:rPr>
          <w:b w:val="0"/>
          <w:i w:val="0"/>
        </w:rPr>
        <w:t xml:space="preserve"> 为电网侧充放电量，</w:t>
      </w:r>
      <w:r>
        <w:rPr>
          <w:rFonts w:ascii="DejaVu Sans Mono" w:hAnsi="DejaVu Sans Mono"/>
          <w:b w:val="0"/>
          <w:i w:val="0"/>
          <w:sz w:val="17"/>
        </w:rPr>
        <w:t>absolute-flow:&lt;corridor_​id&gt;</w:t>
      </w:r>
      <w:r>
        <w:rPr>
          <w:b w:val="0"/>
          <w:i w:val="0"/>
        </w:rPr>
        <w:t xml:space="preserve"> 限制走廊绝对流量，单位均为 MWh。公式的数组下标保留这些已有标识。</w:t>
      </w:r>
    </w:p>
    <w:p>
      <w:pPr>
        <w:keepNext/>
      </w:pPr>
      <w:r>
        <w:rPr>
          <w:b w:val="0"/>
          <w:i w:val="0"/>
        </w:rPr>
        <w:t xml:space="preserve">第一目标按报价方向计算支出。上调量乘 </w:t>
      </w:r>
      <w:r>
        <w:rPr>
          <w:rFonts w:ascii="DejaVu Sans Mono" w:hAnsi="DejaVu Sans Mono"/>
          <w:b w:val="0"/>
          <w:i w:val="0"/>
          <w:sz w:val="17"/>
        </w:rPr>
        <w:t>price_gbp_per_mwh</w:t>
      </w:r>
      <w:r>
        <w:rPr>
          <w:b w:val="0"/>
          <w:i w:val="0"/>
        </w:rPr>
        <w:t xml:space="preserve">，下调量取该乘积的相反数；缺电量乘 </w:t>
      </w:r>
      <w:r>
        <w:rPr>
          <w:rFonts w:ascii="DejaVu Sans Mono" w:hAnsi="DejaVu Sans Mono"/>
          <w:b w:val="0"/>
          <w:i w:val="0"/>
          <w:sz w:val="17"/>
        </w:rPr>
        <w:t>voll_gbp_per_mwh</w:t>
      </w:r>
      <w:r>
        <w:rPr>
          <w:b w:val="0"/>
          <w:i w:val="0"/>
        </w:rPr>
        <w:t>，默认值为 17,000 GBP/MWh：</w:t>
      </w:r>
    </w:p>
    <w:p>
      <w:pPr>
        <w:spacing w:after="160"/>
        <w:jc w:val="center"/>
      </w:pPr>
      <w:r>
        <w:drawing>
          <wp:inline xmlns:a="http://schemas.openxmlformats.org/drawingml/2006/main" xmlns:pic="http://schemas.openxmlformats.org/drawingml/2006/picture">
            <wp:extent cx="5911519" cy="1243568"/>
            <wp:docPr id="133" name="Picture 133"/>
            <wp:cNvGraphicFramePr>
              <a:graphicFrameLocks noChangeAspect="1"/>
            </wp:cNvGraphicFramePr>
            <a:graphic>
              <a:graphicData uri="http://schemas.openxmlformats.org/drawingml/2006/picture">
                <pic:pic>
                  <pic:nvPicPr>
                    <pic:cNvPr id="0" name="eq-133.png"/>
                    <pic:cNvPicPr/>
                  </pic:nvPicPr>
                  <pic:blipFill>
                    <a:blip r:embed="rId135"/>
                    <a:stretch>
                      <a:fillRect/>
                    </a:stretch>
                  </pic:blipFill>
                  <pic:spPr>
                    <a:xfrm>
                      <a:off x="0" y="0"/>
                      <a:ext cx="5911519" cy="1243568"/>
                    </a:xfrm>
                    <a:prstGeom prst="rect"/>
                  </pic:spPr>
                </pic:pic>
              </a:graphicData>
            </a:graphic>
          </wp:inline>
        </w:drawing>
      </w:r>
    </w:p>
    <w:p>
      <w:r>
        <w:rPr>
          <w:b w:val="0"/>
          <w:i w:val="0"/>
        </w:rPr>
        <w:t>第二目标合计接纳报价电量与缺电量。第三目标对充电、放电和走廊绝对电量赋权 1，再加非储能下调报价的类别权重。</w:t>
      </w:r>
      <w:r>
        <w:rPr>
          <w:rFonts w:ascii="DejaVu Sans Mono" w:hAnsi="DejaVu Sans Mono"/>
          <w:b w:val="0"/>
          <w:i w:val="0"/>
          <w:sz w:val="17"/>
        </w:rPr>
        <w:t>physical_dec_weight</w:t>
      </w:r>
      <w:r>
        <w:rPr>
          <w:b w:val="0"/>
          <w:i w:val="0"/>
        </w:rPr>
        <w:t xml:space="preserve"> 提供下表权重，</w:t>
      </w:r>
      <w:r>
        <w:rPr>
          <w:rFonts w:ascii="DejaVu Sans Mono" w:hAnsi="DejaVu Sans Mono"/>
          <w:b w:val="0"/>
          <w:i w:val="0"/>
          <w:sz w:val="17"/>
        </w:rPr>
        <w:t>bid_dec_rank</w:t>
      </w:r>
      <w:r>
        <w:rPr>
          <w:b w:val="0"/>
          <w:i w:val="0"/>
        </w:rPr>
        <w:t xml:space="preserve"> 选择类别：</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30"/>
        <w:gridCol w:w="2762"/>
      </w:tblGrid>
      <w:tr>
        <w:trPr>
          <w:cantSplit/>
          <w:tblHeader w:val="true"/>
        </w:trPr>
        <w:tc>
          <w:tcPr>
            <w:tcW w:type="dxa" w:w="7030"/>
            <w:vAlign w:val="center"/>
            <w:tcMar>
              <w:top w:w="90" w:type="dxa"/>
              <w:left w:w="90" w:type="dxa"/>
              <w:bottom w:w="90" w:type="dxa"/>
              <w:right w:w="90" w:type="dxa"/>
            </w:tcMar>
            <w:shd w:fill="EEEEEE"/>
          </w:tcPr>
          <w:p>
            <w:pPr>
              <w:spacing w:after="40" w:line="276" w:lineRule="auto"/>
            </w:pPr>
            <w:r>
              <w:rPr>
                <w:b/>
                <w:i w:val="0"/>
                <w:sz w:val="18"/>
              </w:rPr>
              <w:t>下调类别</w:t>
            </w:r>
          </w:p>
        </w:tc>
        <w:tc>
          <w:tcPr>
            <w:tcW w:type="dxa" w:w="2762"/>
            <w:vAlign w:val="center"/>
            <w:tcMar>
              <w:top w:w="90" w:type="dxa"/>
              <w:left w:w="90" w:type="dxa"/>
              <w:bottom w:w="90" w:type="dxa"/>
              <w:right w:w="90" w:type="dxa"/>
            </w:tcMar>
            <w:shd w:fill="EEEEEE"/>
          </w:tcPr>
          <w:p>
            <w:pPr>
              <w:spacing w:after="40" w:line="276" w:lineRule="auto"/>
            </w:pPr>
            <w:r>
              <w:rPr>
                <w:b/>
                <w:i w:val="0"/>
                <w:sz w:val="18"/>
              </w:rPr>
              <w:t>权重</w:t>
            </w:r>
          </w:p>
        </w:tc>
      </w:tr>
      <w:tr>
        <w:trPr>
          <w:cantSplit/>
        </w:trPr>
        <w:tc>
          <w:tcPr>
            <w:tcW w:type="dxa" w:w="7030"/>
            <w:vAlign w:val="center"/>
            <w:tcMar>
              <w:top w:w="90" w:type="dxa"/>
              <w:left w:w="90" w:type="dxa"/>
              <w:bottom w:w="90" w:type="dxa"/>
              <w:right w:w="90" w:type="dxa"/>
            </w:tcMar>
          </w:tcPr>
          <w:p>
            <w:pPr>
              <w:spacing w:after="40" w:line="276" w:lineRule="auto"/>
            </w:pPr>
            <w:r>
              <w:rPr>
                <w:b w:val="0"/>
                <w:i w:val="0"/>
                <w:sz w:val="18"/>
              </w:rPr>
              <w:t>燃料机组不停机段</w:t>
            </w:r>
          </w:p>
        </w:tc>
        <w:tc>
          <w:tcPr>
            <w:tcW w:type="dxa" w:w="2762"/>
            <w:vAlign w:val="center"/>
            <w:tcMar>
              <w:top w:w="90" w:type="dxa"/>
              <w:left w:w="90" w:type="dxa"/>
              <w:bottom w:w="90" w:type="dxa"/>
              <w:right w:w="90" w:type="dxa"/>
            </w:tcMar>
          </w:tcPr>
          <w:p>
            <w:pPr>
              <w:spacing w:after="40" w:line="276" w:lineRule="auto"/>
            </w:pPr>
            <w:r>
              <w:rPr>
                <w:b w:val="0"/>
                <w:i w:val="0"/>
                <w:sz w:val="18"/>
              </w:rPr>
              <w:t>0</w:t>
            </w:r>
          </w:p>
        </w:tc>
      </w:tr>
      <w:tr>
        <w:trPr>
          <w:cantSplit/>
        </w:trPr>
        <w:tc>
          <w:tcPr>
            <w:tcW w:type="dxa" w:w="7030"/>
            <w:vAlign w:val="center"/>
            <w:tcMar>
              <w:top w:w="90" w:type="dxa"/>
              <w:left w:w="90" w:type="dxa"/>
              <w:bottom w:w="90" w:type="dxa"/>
              <w:right w:w="90" w:type="dxa"/>
            </w:tcMar>
          </w:tcPr>
          <w:p>
            <w:pPr>
              <w:spacing w:after="40" w:line="276" w:lineRule="auto"/>
            </w:pPr>
            <w:r>
              <w:rPr>
                <w:b w:val="0"/>
                <w:i w:val="0"/>
                <w:sz w:val="18"/>
              </w:rPr>
              <w:t>进口</w:t>
            </w:r>
          </w:p>
        </w:tc>
        <w:tc>
          <w:tcPr>
            <w:tcW w:type="dxa" w:w="2762"/>
            <w:vAlign w:val="center"/>
            <w:tcMar>
              <w:top w:w="90" w:type="dxa"/>
              <w:left w:w="90" w:type="dxa"/>
              <w:bottom w:w="90" w:type="dxa"/>
              <w:right w:w="90" w:type="dxa"/>
            </w:tcMar>
          </w:tcPr>
          <w:p>
            <w:pPr>
              <w:spacing w:after="40" w:line="276" w:lineRule="auto"/>
            </w:pPr>
            <w:r>
              <w:rPr>
                <w:b w:val="0"/>
                <w:i w:val="0"/>
                <w:sz w:val="18"/>
              </w:rPr>
              <w:t>0.5</w:t>
            </w:r>
          </w:p>
        </w:tc>
      </w:tr>
      <w:tr>
        <w:trPr>
          <w:cantSplit/>
        </w:trPr>
        <w:tc>
          <w:tcPr>
            <w:tcW w:type="dxa" w:w="7030"/>
            <w:vAlign w:val="center"/>
            <w:tcMar>
              <w:top w:w="90" w:type="dxa"/>
              <w:left w:w="90" w:type="dxa"/>
              <w:bottom w:w="90" w:type="dxa"/>
              <w:right w:w="90" w:type="dxa"/>
            </w:tcMar>
          </w:tcPr>
          <w:p>
            <w:pPr>
              <w:spacing w:after="40" w:line="276" w:lineRule="auto"/>
            </w:pPr>
            <w:r>
              <w:rPr>
                <w:b w:val="0"/>
                <w:i w:val="0"/>
                <w:sz w:val="18"/>
              </w:rPr>
              <w:t>径流水电</w:t>
            </w:r>
          </w:p>
        </w:tc>
        <w:tc>
          <w:tcPr>
            <w:tcW w:type="dxa" w:w="2762"/>
            <w:vAlign w:val="center"/>
            <w:tcMar>
              <w:top w:w="90" w:type="dxa"/>
              <w:left w:w="90" w:type="dxa"/>
              <w:bottom w:w="90" w:type="dxa"/>
              <w:right w:w="90" w:type="dxa"/>
            </w:tcMar>
          </w:tcPr>
          <w:p>
            <w:pPr>
              <w:spacing w:after="40" w:line="276" w:lineRule="auto"/>
            </w:pPr>
            <w:r>
              <w:rPr>
                <w:b w:val="0"/>
                <w:i w:val="0"/>
                <w:sz w:val="18"/>
              </w:rPr>
              <w:t>2</w:t>
            </w:r>
          </w:p>
        </w:tc>
      </w:tr>
      <w:tr>
        <w:trPr>
          <w:cantSplit/>
        </w:trPr>
        <w:tc>
          <w:tcPr>
            <w:tcW w:type="dxa" w:w="7030"/>
            <w:vAlign w:val="center"/>
            <w:tcMar>
              <w:top w:w="90" w:type="dxa"/>
              <w:left w:w="90" w:type="dxa"/>
              <w:bottom w:w="90" w:type="dxa"/>
              <w:right w:w="90" w:type="dxa"/>
            </w:tcMar>
          </w:tcPr>
          <w:p>
            <w:pPr>
              <w:spacing w:after="40" w:line="276" w:lineRule="auto"/>
            </w:pPr>
            <w:r>
              <w:rPr>
                <w:b w:val="0"/>
                <w:i w:val="0"/>
                <w:sz w:val="18"/>
              </w:rPr>
              <w:t>风电和光伏</w:t>
            </w:r>
          </w:p>
        </w:tc>
        <w:tc>
          <w:tcPr>
            <w:tcW w:type="dxa" w:w="2762"/>
            <w:vAlign w:val="center"/>
            <w:tcMar>
              <w:top w:w="90" w:type="dxa"/>
              <w:left w:w="90" w:type="dxa"/>
              <w:bottom w:w="90" w:type="dxa"/>
              <w:right w:w="90" w:type="dxa"/>
            </w:tcMar>
          </w:tcPr>
          <w:p>
            <w:pPr>
              <w:spacing w:after="40" w:line="276" w:lineRule="auto"/>
            </w:pPr>
            <w:r>
              <w:rPr>
                <w:b w:val="0"/>
                <w:i w:val="0"/>
                <w:sz w:val="18"/>
              </w:rPr>
              <w:t>3</w:t>
            </w:r>
          </w:p>
        </w:tc>
      </w:tr>
      <w:tr>
        <w:trPr>
          <w:cantSplit/>
        </w:trPr>
        <w:tc>
          <w:tcPr>
            <w:tcW w:type="dxa" w:w="7030"/>
            <w:vAlign w:val="center"/>
            <w:tcMar>
              <w:top w:w="90" w:type="dxa"/>
              <w:left w:w="90" w:type="dxa"/>
              <w:bottom w:w="90" w:type="dxa"/>
              <w:right w:w="90" w:type="dxa"/>
            </w:tcMar>
          </w:tcPr>
          <w:p>
            <w:pPr>
              <w:spacing w:after="40" w:line="276" w:lineRule="auto"/>
            </w:pPr>
            <w:r>
              <w:rPr>
                <w:b w:val="0"/>
                <w:i w:val="0"/>
                <w:sz w:val="18"/>
              </w:rPr>
              <w:t>燃料机组停机段</w:t>
            </w:r>
          </w:p>
        </w:tc>
        <w:tc>
          <w:tcPr>
            <w:tcW w:type="dxa" w:w="2762"/>
            <w:vAlign w:val="center"/>
            <w:tcMar>
              <w:top w:w="90" w:type="dxa"/>
              <w:left w:w="90" w:type="dxa"/>
              <w:bottom w:w="90" w:type="dxa"/>
              <w:right w:w="90" w:type="dxa"/>
            </w:tcMar>
          </w:tcPr>
          <w:p>
            <w:pPr>
              <w:spacing w:after="40" w:line="276" w:lineRule="auto"/>
            </w:pPr>
            <w:r>
              <w:rPr>
                <w:b w:val="0"/>
                <w:i w:val="0"/>
                <w:sz w:val="18"/>
              </w:rPr>
              <w:t>3.5</w:t>
            </w:r>
          </w:p>
        </w:tc>
      </w:tr>
      <w:tr>
        <w:trPr>
          <w:cantSplit/>
        </w:trPr>
        <w:tc>
          <w:tcPr>
            <w:tcW w:type="dxa" w:w="7030"/>
            <w:vAlign w:val="center"/>
            <w:tcMar>
              <w:top w:w="90" w:type="dxa"/>
              <w:left w:w="90" w:type="dxa"/>
              <w:bottom w:w="90" w:type="dxa"/>
              <w:right w:w="90" w:type="dxa"/>
            </w:tcMar>
          </w:tcPr>
          <w:p>
            <w:pPr>
              <w:spacing w:after="40" w:line="276" w:lineRule="auto"/>
            </w:pPr>
            <w:r>
              <w:rPr>
                <w:b w:val="0"/>
                <w:i w:val="0"/>
                <w:sz w:val="18"/>
              </w:rPr>
              <w:t>核电</w:t>
            </w:r>
          </w:p>
        </w:tc>
        <w:tc>
          <w:tcPr>
            <w:tcW w:type="dxa" w:w="2762"/>
            <w:vAlign w:val="center"/>
            <w:tcMar>
              <w:top w:w="90" w:type="dxa"/>
              <w:left w:w="90" w:type="dxa"/>
              <w:bottom w:w="90" w:type="dxa"/>
              <w:right w:w="90" w:type="dxa"/>
            </w:tcMar>
          </w:tcPr>
          <w:p>
            <w:pPr>
              <w:spacing w:after="40" w:line="276" w:lineRule="auto"/>
            </w:pPr>
            <w:r>
              <w:rPr>
                <w:b w:val="0"/>
                <w:i w:val="0"/>
                <w:sz w:val="18"/>
              </w:rPr>
              <w:t>4</w:t>
            </w:r>
          </w:p>
        </w:tc>
      </w:tr>
      <w:tr>
        <w:trPr>
          <w:cantSplit/>
        </w:trPr>
        <w:tc>
          <w:tcPr>
            <w:tcW w:type="dxa" w:w="7030"/>
            <w:vAlign w:val="center"/>
            <w:tcMar>
              <w:top w:w="90" w:type="dxa"/>
              <w:left w:w="90" w:type="dxa"/>
              <w:bottom w:w="90" w:type="dxa"/>
              <w:right w:w="90" w:type="dxa"/>
            </w:tcMar>
          </w:tcPr>
          <w:p>
            <w:pPr>
              <w:spacing w:after="40" w:line="276" w:lineRule="auto"/>
            </w:pPr>
            <w:r>
              <w:rPr>
                <w:b w:val="0"/>
                <w:i w:val="0"/>
                <w:sz w:val="18"/>
              </w:rPr>
              <w:t>短于最小停机时间的燃料机组停机段</w:t>
            </w:r>
          </w:p>
        </w:tc>
        <w:tc>
          <w:tcPr>
            <w:tcW w:type="dxa" w:w="2762"/>
            <w:vAlign w:val="center"/>
            <w:tcMar>
              <w:top w:w="90" w:type="dxa"/>
              <w:left w:w="90" w:type="dxa"/>
              <w:bottom w:w="90" w:type="dxa"/>
              <w:right w:w="90" w:type="dxa"/>
            </w:tcMar>
          </w:tcPr>
          <w:p>
            <w:pPr>
              <w:spacing w:after="40" w:line="276" w:lineRule="auto"/>
            </w:pPr>
            <w:r>
              <w:rPr>
                <w:b w:val="0"/>
                <w:i w:val="0"/>
                <w:sz w:val="18"/>
              </w:rPr>
              <w:t>5</w:t>
            </w:r>
          </w:p>
        </w:tc>
      </w:tr>
    </w:tbl>
    <w:p>
      <w:pPr>
        <w:spacing w:after="20"/>
      </w:pPr>
    </w:p>
    <w:p>
      <w:r>
        <w:rPr>
          <w:b w:val="0"/>
          <w:i w:val="0"/>
        </w:rPr>
        <w:t>同一区域内，第一目标价格完全相同时，储能充电先于径流水电、风光及核电下调；燃料机组停机段位于风光之后、核电之前。跨区时，类别权重同时与走廊流量竞争。第一目标采用原始价格，无网络平衡按 0.01 GBP/MWh 分档排列下调价格。第四目标按报价、走廊、区域和储能标识的固定顺序，依次给变量赋权 1、2、……。</w:t>
      </w:r>
    </w:p>
    <w:p>
      <w:pPr>
        <w:keepNext/>
      </w:pPr>
      <w:r>
        <w:rPr>
          <w:b w:val="0"/>
          <w:i w:val="0"/>
        </w:rPr>
        <w:t>资产最终注入等于日前计划加接纳的带方向调整。</w:t>
      </w:r>
      <w:r>
        <w:rPr>
          <w:rFonts w:ascii="DejaVu Sans Mono" w:hAnsi="DejaVu Sans Mono"/>
          <w:b w:val="0"/>
          <w:i w:val="0"/>
          <w:sz w:val="17"/>
        </w:rPr>
        <w:t>final_​dispatch_​mwh_​by_​asset</w:t>
      </w:r>
      <w:r>
        <w:rPr>
          <w:b w:val="0"/>
          <w:i w:val="0"/>
        </w:rPr>
        <w:t xml:space="preserve"> 与 </w:t>
      </w:r>
      <w:r>
        <w:rPr>
          <w:rFonts w:ascii="DejaVu Sans Mono" w:hAnsi="DejaVu Sans Mono"/>
          <w:b w:val="0"/>
          <w:i w:val="0"/>
          <w:sz w:val="17"/>
        </w:rPr>
        <w:t>schedule_mwh_by_asset</w:t>
      </w:r>
      <w:r>
        <w:rPr>
          <w:b w:val="0"/>
          <w:i w:val="0"/>
        </w:rPr>
        <w:t xml:space="preserve"> 均为 MWh。索引 </w:t>
      </w:r>
      <w:r>
        <w:drawing>
          <wp:inline xmlns:a="http://schemas.openxmlformats.org/drawingml/2006/main" xmlns:pic="http://schemas.openxmlformats.org/drawingml/2006/picture">
            <wp:extent cx="82353" cy="111916"/>
            <wp:docPr id="134" name="Picture 134"/>
            <wp:cNvGraphicFramePr>
              <a:graphicFrameLocks noChangeAspect="1"/>
            </wp:cNvGraphicFramePr>
            <a:graphic>
              <a:graphicData uri="http://schemas.openxmlformats.org/drawingml/2006/picture">
                <pic:pic>
                  <pic:nvPicPr>
                    <pic:cNvPr id="0" name="eq-134.png"/>
                    <pic:cNvPicPr/>
                  </pic:nvPicPr>
                  <pic:blipFill>
                    <a:blip r:embed="rId136"/>
                    <a:stretch>
                      <a:fillRect/>
                    </a:stretch>
                  </pic:blipFill>
                  <pic:spPr>
                    <a:xfrm>
                      <a:off x="0" y="0"/>
                      <a:ext cx="82353" cy="111916"/>
                    </a:xfrm>
                    <a:prstGeom prst="rect"/>
                  </pic:spPr>
                </pic:pic>
              </a:graphicData>
            </a:graphic>
          </wp:inline>
        </w:drawing>
      </w:r>
      <w:r>
        <w:rPr>
          <w:b w:val="0"/>
          <w:i w:val="0"/>
        </w:rPr>
        <w:t xml:space="preserve"> 表示报价，其 </w:t>
      </w:r>
      <w:r>
        <w:rPr>
          <w:rFonts w:ascii="DejaVu Sans Mono" w:hAnsi="DejaVu Sans Mono"/>
          <w:b w:val="0"/>
          <w:i w:val="0"/>
          <w:sz w:val="17"/>
        </w:rPr>
        <w:t>asset_id</w:t>
      </w:r>
      <w:r>
        <w:rPr>
          <w:b w:val="0"/>
          <w:i w:val="0"/>
        </w:rPr>
        <w:t xml:space="preserve"> 指定资产 </w:t>
      </w:r>
      <w:r>
        <w:drawing>
          <wp:inline xmlns:a="http://schemas.openxmlformats.org/drawingml/2006/main" xmlns:pic="http://schemas.openxmlformats.org/drawingml/2006/picture">
            <wp:extent cx="83610" cy="71068"/>
            <wp:docPr id="135" name="Picture 135"/>
            <wp:cNvGraphicFramePr>
              <a:graphicFrameLocks noChangeAspect="1"/>
            </wp:cNvGraphicFramePr>
            <a:graphic>
              <a:graphicData uri="http://schemas.openxmlformats.org/drawingml/2006/picture">
                <pic:pic>
                  <pic:nvPicPr>
                    <pic:cNvPr id="0" name="eq-135.png"/>
                    <pic:cNvPicPr/>
                  </pic:nvPicPr>
                  <pic:blipFill>
                    <a:blip r:embed="rId137"/>
                    <a:stretch>
                      <a:fillRect/>
                    </a:stretch>
                  </pic:blipFill>
                  <pic:spPr>
                    <a:xfrm>
                      <a:off x="0" y="0"/>
                      <a:ext cx="83610" cy="71068"/>
                    </a:xfrm>
                    <a:prstGeom prst="rect"/>
                  </pic:spPr>
                </pic:pic>
              </a:graphicData>
            </a:graphic>
          </wp:inline>
        </w:drawing>
      </w:r>
      <w:r>
        <w:rPr>
          <w:b w:val="0"/>
          <w:i w:val="0"/>
        </w:rPr>
        <w:t>⁠，</w:t>
      </w:r>
      <w:r>
        <w:rPr>
          <w:rFonts w:ascii="DejaVu Sans Mono" w:hAnsi="DejaVu Sans Mono"/>
          <w:b w:val="0"/>
          <w:i w:val="0"/>
          <w:sz w:val="17"/>
        </w:rPr>
        <w:t>asset_zone_id_by_asset</w:t>
      </w:r>
      <w:r>
        <w:rPr>
          <w:b w:val="0"/>
          <w:i w:val="0"/>
        </w:rPr>
        <w:t xml:space="preserve"> 指定分区 </w:t>
      </w:r>
      <w:r>
        <w:drawing>
          <wp:inline xmlns:a="http://schemas.openxmlformats.org/drawingml/2006/main" xmlns:pic="http://schemas.openxmlformats.org/drawingml/2006/picture">
            <wp:extent cx="73482" cy="71383"/>
            <wp:docPr id="136" name="Picture 136"/>
            <wp:cNvGraphicFramePr>
              <a:graphicFrameLocks noChangeAspect="1"/>
            </wp:cNvGraphicFramePr>
            <a:graphic>
              <a:graphicData uri="http://schemas.openxmlformats.org/drawingml/2006/picture">
                <pic:pic>
                  <pic:nvPicPr>
                    <pic:cNvPr id="0" name="eq-136.png"/>
                    <pic:cNvPicPr/>
                  </pic:nvPicPr>
                  <pic:blipFill>
                    <a:blip r:embed="rId138"/>
                    <a:stretch>
                      <a:fillRect/>
                    </a:stretch>
                  </pic:blipFill>
                  <pic:spPr>
                    <a:xfrm>
                      <a:off x="0" y="0"/>
                      <a:ext cx="73482" cy="71383"/>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5212308" cy="1067609"/>
            <wp:docPr id="137" name="Picture 137"/>
            <wp:cNvGraphicFramePr>
              <a:graphicFrameLocks noChangeAspect="1"/>
            </wp:cNvGraphicFramePr>
            <a:graphic>
              <a:graphicData uri="http://schemas.openxmlformats.org/drawingml/2006/picture">
                <pic:pic>
                  <pic:nvPicPr>
                    <pic:cNvPr id="0" name="eq-137.png"/>
                    <pic:cNvPicPr/>
                  </pic:nvPicPr>
                  <pic:blipFill>
                    <a:blip r:embed="rId139"/>
                    <a:stretch>
                      <a:fillRect/>
                    </a:stretch>
                  </pic:blipFill>
                  <pic:spPr>
                    <a:xfrm>
                      <a:off x="0" y="0"/>
                      <a:ext cx="5212308" cy="1067609"/>
                    </a:xfrm>
                    <a:prstGeom prst="rect"/>
                  </pic:spPr>
                </pic:pic>
              </a:graphicData>
            </a:graphic>
          </wp:inline>
        </w:drawing>
      </w:r>
    </w:p>
    <w:p>
      <w:pPr>
        <w:keepNext/>
      </w:pPr>
      <w:r>
        <w:rPr>
          <w:b w:val="0"/>
          <w:i w:val="0"/>
        </w:rPr>
        <w:t xml:space="preserve">分区守恒要求最终供给和流入满足需求及流出。走廊方向由 </w:t>
      </w:r>
      <w:r>
        <w:rPr>
          <w:rFonts w:ascii="DejaVu Sans Mono" w:hAnsi="DejaVu Sans Mono"/>
          <w:b w:val="0"/>
          <w:i w:val="0"/>
          <w:sz w:val="17"/>
        </w:rPr>
        <w:t>from_zone_id</w:t>
      </w:r>
      <w:r>
        <w:rPr>
          <w:b w:val="0"/>
          <w:i w:val="0"/>
        </w:rPr>
        <w:t xml:space="preserve"> 与 </w:t>
      </w:r>
      <w:r>
        <w:rPr>
          <w:rFonts w:ascii="DejaVu Sans Mono" w:hAnsi="DejaVu Sans Mono"/>
          <w:b w:val="0"/>
          <w:i w:val="0"/>
          <w:sz w:val="17"/>
        </w:rPr>
        <w:t>to_zone_id</w:t>
      </w:r>
      <w:r>
        <w:rPr>
          <w:b w:val="0"/>
          <w:i w:val="0"/>
        </w:rPr>
        <w:t xml:space="preserve"> 定义：</w:t>
      </w:r>
    </w:p>
    <w:p>
      <w:pPr>
        <w:spacing w:after="160"/>
        <w:jc w:val="center"/>
      </w:pPr>
      <w:r>
        <w:drawing>
          <wp:inline xmlns:a="http://schemas.openxmlformats.org/drawingml/2006/main" xmlns:pic="http://schemas.openxmlformats.org/drawingml/2006/picture">
            <wp:extent cx="5951601" cy="836515"/>
            <wp:docPr id="138" name="Picture 138"/>
            <wp:cNvGraphicFramePr>
              <a:graphicFrameLocks noChangeAspect="1"/>
            </wp:cNvGraphicFramePr>
            <a:graphic>
              <a:graphicData uri="http://schemas.openxmlformats.org/drawingml/2006/picture">
                <pic:pic>
                  <pic:nvPicPr>
                    <pic:cNvPr id="0" name="eq-138.png"/>
                    <pic:cNvPicPr/>
                  </pic:nvPicPr>
                  <pic:blipFill>
                    <a:blip r:embed="rId140"/>
                    <a:stretch>
                      <a:fillRect/>
                    </a:stretch>
                  </pic:blipFill>
                  <pic:spPr>
                    <a:xfrm>
                      <a:off x="0" y="0"/>
                      <a:ext cx="5951601" cy="836515"/>
                    </a:xfrm>
                    <a:prstGeom prst="rect"/>
                  </pic:spPr>
                </pic:pic>
              </a:graphicData>
            </a:graphic>
          </wp:inline>
        </w:drawing>
      </w:r>
    </w:p>
    <w:p>
      <w:r>
        <w:rPr>
          <w:b w:val="0"/>
          <w:i w:val="0"/>
        </w:rPr>
        <w:t xml:space="preserve">报价接纳量位于零与 </w:t>
      </w:r>
      <w:r>
        <w:rPr>
          <w:rFonts w:ascii="DejaVu Sans Mono" w:hAnsi="DejaVu Sans Mono"/>
          <w:b w:val="0"/>
          <w:i w:val="0"/>
          <w:sz w:val="17"/>
        </w:rPr>
        <w:t>bid_capacity</w:t>
      </w:r>
      <w:r>
        <w:rPr>
          <w:b w:val="0"/>
          <w:i w:val="0"/>
        </w:rPr>
        <w:t xml:space="preserve"> 之间，MW 报价乘 </w:t>
      </w:r>
      <w:r>
        <w:rPr>
          <w:rFonts w:ascii="DejaVu Sans Mono" w:hAnsi="DejaVu Sans Mono"/>
          <w:b w:val="0"/>
          <w:i w:val="0"/>
          <w:sz w:val="17"/>
        </w:rPr>
        <w:t>period_hours = 0.5</w:t>
      </w:r>
      <w:r>
        <w:rPr>
          <w:b w:val="0"/>
          <w:i w:val="0"/>
        </w:rPr>
        <w:t xml:space="preserve"> 后成为期间电量。缺电量介于零与分区需求之间。发电注入介于零与 </w:t>
      </w:r>
      <w:r>
        <w:rPr>
          <w:rFonts w:ascii="DejaVu Sans Mono" w:hAnsi="DejaVu Sans Mono"/>
          <w:b w:val="0"/>
          <w:i w:val="0"/>
          <w:sz w:val="17"/>
        </w:rPr>
        <w:t>realised_​availability_​mw_​by_​asset</w:t>
      </w:r>
      <w:r>
        <w:rPr>
          <w:b w:val="0"/>
          <w:i w:val="0"/>
        </w:rPr>
        <w:t xml:space="preserve"> 乘时段长度之间；互联线注入介于负的 </w:t>
      </w:r>
      <w:r>
        <w:rPr>
          <w:rFonts w:ascii="DejaVu Sans Mono" w:hAnsi="DejaVu Sans Mono"/>
          <w:b w:val="0"/>
          <w:i w:val="0"/>
          <w:sz w:val="17"/>
        </w:rPr>
        <w:t>export_capacity_mwh</w:t>
      </w:r>
      <w:r>
        <w:rPr>
          <w:b w:val="0"/>
          <w:i w:val="0"/>
        </w:rPr>
        <w:t xml:space="preserve"> 与正的 </w:t>
      </w:r>
      <w:r>
        <w:rPr>
          <w:rFonts w:ascii="DejaVu Sans Mono" w:hAnsi="DejaVu Sans Mono"/>
          <w:b w:val="0"/>
          <w:i w:val="0"/>
          <w:sz w:val="17"/>
        </w:rPr>
        <w:t>import_capacity_mwh</w:t>
      </w:r>
      <w:r>
        <w:rPr>
          <w:b w:val="0"/>
          <w:i w:val="0"/>
        </w:rPr>
        <w:t xml:space="preserve"> 之间。</w:t>
      </w:r>
    </w:p>
    <w:p>
      <w:pPr>
        <w:keepNext/>
      </w:pPr>
      <w:r>
        <w:rPr>
          <w:b w:val="0"/>
          <w:i w:val="0"/>
        </w:rPr>
        <w:t>同价非储能报价按可自由接纳量比例分配。上调分组采用相同区域、方向、网络作用和价格，下调还要求类别相同。</w:t>
      </w:r>
      <w:r>
        <w:rPr>
          <w:rFonts w:ascii="DejaVu Sans Mono" w:hAnsi="DejaVu Sans Mono"/>
          <w:b w:val="0"/>
          <w:i w:val="0"/>
          <w:sz w:val="17"/>
        </w:rPr>
        <w:t>_forced_down_by_bid</w:t>
      </w:r>
      <w:r>
        <w:rPr>
          <w:b w:val="0"/>
          <w:i w:val="0"/>
        </w:rPr>
        <w:t xml:space="preserve"> 先分出实际可用率或互联线限额要求的强制下调量。对组内某报价及该组第一报价，实现采用</w:t>
      </w:r>
    </w:p>
    <w:p>
      <w:pPr>
        <w:spacing w:after="160"/>
        <w:jc w:val="center"/>
      </w:pPr>
      <w:r>
        <w:drawing>
          <wp:inline xmlns:a="http://schemas.openxmlformats.org/drawingml/2006/main" xmlns:pic="http://schemas.openxmlformats.org/drawingml/2006/picture">
            <wp:extent cx="4999863" cy="642415"/>
            <wp:docPr id="139" name="Picture 139"/>
            <wp:cNvGraphicFramePr>
              <a:graphicFrameLocks noChangeAspect="1"/>
            </wp:cNvGraphicFramePr>
            <a:graphic>
              <a:graphicData uri="http://schemas.openxmlformats.org/drawingml/2006/picture">
                <pic:pic>
                  <pic:nvPicPr>
                    <pic:cNvPr id="0" name="eq-139.png"/>
                    <pic:cNvPicPr/>
                  </pic:nvPicPr>
                  <pic:blipFill>
                    <a:blip r:embed="rId141"/>
                    <a:stretch>
                      <a:fillRect/>
                    </a:stretch>
                  </pic:blipFill>
                  <pic:spPr>
                    <a:xfrm>
                      <a:off x="0" y="0"/>
                      <a:ext cx="4999863" cy="642415"/>
                    </a:xfrm>
                    <a:prstGeom prst="rect"/>
                  </pic:spPr>
                </pic:pic>
              </a:graphicData>
            </a:graphic>
          </wp:inline>
        </w:drawing>
      </w:r>
    </w:p>
    <w:p>
      <w:pPr>
        <w:keepNext/>
      </w:pPr>
      <w:r>
        <w:rPr>
          <w:b w:val="0"/>
          <w:i w:val="0"/>
        </w:rPr>
        <w:t>每个地理边界限制其成员走廊的带方向合计流量。</w:t>
      </w:r>
      <w:r>
        <w:rPr>
          <w:rFonts w:ascii="DejaVu Sans Mono" w:hAnsi="DejaVu Sans Mono"/>
          <w:b w:val="0"/>
          <w:i w:val="0"/>
          <w:sz w:val="17"/>
        </w:rPr>
        <w:t>coefficient</w:t>
      </w:r>
      <w:r>
        <w:rPr>
          <w:b w:val="0"/>
          <w:i w:val="0"/>
        </w:rPr>
        <w:t xml:space="preserve"> 为成员方向系数，</w:t>
      </w:r>
      <w:r>
        <w:rPr>
          <w:rFonts w:ascii="DejaVu Sans Mono" w:hAnsi="DejaVu Sans Mono"/>
          <w:b w:val="0"/>
          <w:i w:val="0"/>
          <w:sz w:val="17"/>
        </w:rPr>
        <w:t>forward_capacity</w:t>
      </w:r>
      <w:r>
        <w:rPr>
          <w:b w:val="0"/>
          <w:i w:val="0"/>
        </w:rPr>
        <w:t xml:space="preserve"> 与 </w:t>
      </w:r>
      <w:r>
        <w:rPr>
          <w:rFonts w:ascii="DejaVu Sans Mono" w:hAnsi="DejaVu Sans Mono"/>
          <w:b w:val="0"/>
          <w:i w:val="0"/>
          <w:sz w:val="17"/>
        </w:rPr>
        <w:t>reverse_capacity</w:t>
      </w:r>
      <w:r>
        <w:rPr>
          <w:b w:val="0"/>
          <w:i w:val="0"/>
        </w:rPr>
        <w:t xml:space="preserve"> 为将 MW 输入换算后的期间 MWh：</w:t>
      </w:r>
    </w:p>
    <w:p>
      <w:pPr>
        <w:spacing w:after="160"/>
        <w:jc w:val="center"/>
      </w:pPr>
      <w:r>
        <w:drawing>
          <wp:inline xmlns:a="http://schemas.openxmlformats.org/drawingml/2006/main" xmlns:pic="http://schemas.openxmlformats.org/drawingml/2006/picture">
            <wp:extent cx="5372404" cy="377211"/>
            <wp:docPr id="140" name="Picture 140"/>
            <wp:cNvGraphicFramePr>
              <a:graphicFrameLocks noChangeAspect="1"/>
            </wp:cNvGraphicFramePr>
            <a:graphic>
              <a:graphicData uri="http://schemas.openxmlformats.org/drawingml/2006/picture">
                <pic:pic>
                  <pic:nvPicPr>
                    <pic:cNvPr id="0" name="eq-140.png"/>
                    <pic:cNvPicPr/>
                  </pic:nvPicPr>
                  <pic:blipFill>
                    <a:blip r:embed="rId142"/>
                    <a:stretch>
                      <a:fillRect/>
                    </a:stretch>
                  </pic:blipFill>
                  <pic:spPr>
                    <a:xfrm>
                      <a:off x="0" y="0"/>
                      <a:ext cx="5372404" cy="377211"/>
                    </a:xfrm>
                    <a:prstGeom prst="rect"/>
                  </pic:spPr>
                </pic:pic>
              </a:graphicData>
            </a:graphic>
          </wp:inline>
        </w:drawing>
      </w:r>
    </w:p>
    <w:p>
      <w:r>
        <w:rPr>
          <w:b w:val="0"/>
          <w:i w:val="0"/>
        </w:rPr>
        <w:t>各边界同时约束流量。单独声明的走廊限额进一步限制该走廊，</w:t>
      </w:r>
      <w:r>
        <w:rPr>
          <w:rFonts w:ascii="DejaVu Sans Mono" w:hAnsi="DejaVu Sans Mono"/>
          <w:b w:val="0"/>
          <w:i w:val="0"/>
          <w:sz w:val="17"/>
        </w:rPr>
        <w:t>absolute-flow</w:t>
      </w:r>
      <w:r>
        <w:rPr>
          <w:b w:val="0"/>
          <w:i w:val="0"/>
        </w:rPr>
        <w:t xml:space="preserve"> 至少等于正、负两个方向的流量值。因此，B6 的 6,700 MW 在每半小时对应 3,350 MWh，Western Link 的 2,200 MW 对应 1,100 MWh。缺少自身限额的走廊仍受分区守恒和所属边界约束。</w:t>
      </w:r>
    </w:p>
    <w:p>
      <w:pPr>
        <w:keepNext/>
      </w:pPr>
      <w:r>
        <w:rPr>
          <w:b w:val="0"/>
          <w:i w:val="0"/>
        </w:rPr>
        <w:t>储能再调度以实际充放电更新内部库存。</w:t>
      </w:r>
      <w:r>
        <w:rPr>
          <w:rFonts w:ascii="DejaVu Sans Mono" w:hAnsi="DejaVu Sans Mono"/>
          <w:b w:val="0"/>
          <w:i w:val="0"/>
          <w:sz w:val="17"/>
        </w:rPr>
        <w:t>opening</w:t>
      </w:r>
      <w:r>
        <w:rPr>
          <w:b w:val="0"/>
          <w:i w:val="0"/>
        </w:rPr>
        <w:t xml:space="preserve"> 取自 </w:t>
      </w:r>
      <w:r>
        <w:rPr>
          <w:rFonts w:ascii="DejaVu Sans Mono" w:hAnsi="DejaVu Sans Mono"/>
          <w:b w:val="0"/>
          <w:i w:val="0"/>
          <w:sz w:val="17"/>
        </w:rPr>
        <w:t>initial_​soc_​mwh_​by_​asset</w:t>
      </w:r>
      <w:r>
        <w:rPr>
          <w:b w:val="0"/>
          <w:i w:val="0"/>
        </w:rPr>
        <w:t>，</w:t>
      </w:r>
      <w:r>
        <w:rPr>
          <w:rFonts w:ascii="DejaVu Sans Mono" w:hAnsi="DejaVu Sans Mono"/>
          <w:b w:val="0"/>
          <w:i w:val="0"/>
          <w:sz w:val="17"/>
        </w:rPr>
        <w:t>capacity</w:t>
      </w:r>
      <w:r>
        <w:rPr>
          <w:b w:val="0"/>
          <w:i w:val="0"/>
        </w:rPr>
        <w:t xml:space="preserve"> 取自 </w:t>
      </w:r>
      <w:r>
        <w:rPr>
          <w:rFonts w:ascii="DejaVu Sans Mono" w:hAnsi="DejaVu Sans Mono"/>
          <w:b w:val="0"/>
          <w:i w:val="0"/>
          <w:sz w:val="17"/>
        </w:rPr>
        <w:t>energy_capacity_mwh</w:t>
      </w:r>
      <w:r>
        <w:rPr>
          <w:b w:val="0"/>
          <w:i w:val="0"/>
        </w:rPr>
        <w:t>。各储能满足</w:t>
      </w:r>
    </w:p>
    <w:p>
      <w:pPr>
        <w:spacing w:after="160"/>
        <w:jc w:val="center"/>
      </w:pPr>
      <w:r>
        <w:drawing>
          <wp:inline xmlns:a="http://schemas.openxmlformats.org/drawingml/2006/main" xmlns:pic="http://schemas.openxmlformats.org/drawingml/2006/picture">
            <wp:extent cx="6217920" cy="834915"/>
            <wp:docPr id="141" name="Picture 141"/>
            <wp:cNvGraphicFramePr>
              <a:graphicFrameLocks noChangeAspect="1"/>
            </wp:cNvGraphicFramePr>
            <a:graphic>
              <a:graphicData uri="http://schemas.openxmlformats.org/drawingml/2006/picture">
                <pic:pic>
                  <pic:nvPicPr>
                    <pic:cNvPr id="0" name="eq-141.png"/>
                    <pic:cNvPicPr/>
                  </pic:nvPicPr>
                  <pic:blipFill>
                    <a:blip r:embed="rId143"/>
                    <a:stretch>
                      <a:fillRect/>
                    </a:stretch>
                  </pic:blipFill>
                  <pic:spPr>
                    <a:xfrm>
                      <a:off x="0" y="0"/>
                      <a:ext cx="6217920" cy="834915"/>
                    </a:xfrm>
                    <a:prstGeom prst="rect"/>
                  </pic:spPr>
                </pic:pic>
              </a:graphicData>
            </a:graphic>
          </wp:inline>
        </w:drawing>
      </w:r>
    </w:p>
    <w:p>
      <w:r>
        <w:rPr>
          <w:b w:val="0"/>
          <w:i w:val="0"/>
        </w:rPr>
        <w:t xml:space="preserve">充放电分别介于零与对应功率乘 </w:t>
      </w:r>
      <w:r>
        <w:rPr>
          <w:rFonts w:ascii="DejaVu Sans Mono" w:hAnsi="DejaVu Sans Mono"/>
          <w:b w:val="0"/>
          <w:i w:val="0"/>
          <w:sz w:val="17"/>
        </w:rPr>
        <w:t>period_hours</w:t>
      </w:r>
      <w:r>
        <w:rPr>
          <w:b w:val="0"/>
          <w:i w:val="0"/>
        </w:rPr>
        <w:t xml:space="preserve"> 之间，期末库存介于零与 </w:t>
      </w:r>
      <w:r>
        <w:rPr>
          <w:rFonts w:ascii="DejaVu Sans Mono" w:hAnsi="DejaVu Sans Mono"/>
          <w:b w:val="0"/>
          <w:i w:val="0"/>
          <w:sz w:val="17"/>
        </w:rPr>
        <w:t>capacity</w:t>
      </w:r>
      <w:r>
        <w:rPr>
          <w:b w:val="0"/>
          <w:i w:val="0"/>
        </w:rPr>
        <w:t xml:space="preserve"> 之间。储能报价采用 </w:t>
      </w:r>
      <w:r>
        <w:rPr>
          <w:rFonts w:ascii="DejaVu Sans Mono" w:hAnsi="DejaVu Sans Mono"/>
          <w:b w:val="0"/>
          <w:i w:val="0"/>
          <w:sz w:val="17"/>
        </w:rPr>
        <w:t>convex_net_power_v1</w:t>
      </w:r>
      <w:r>
        <w:rPr>
          <w:b w:val="0"/>
          <w:i w:val="0"/>
        </w:rPr>
        <w:t xml:space="preserve">，每个方向至多一条，下调价格至多为上调价格加 </w:t>
      </w:r>
      <w:r>
        <w:drawing>
          <wp:inline xmlns:a="http://schemas.openxmlformats.org/drawingml/2006/main" xmlns:pic="http://schemas.openxmlformats.org/drawingml/2006/picture">
            <wp:extent cx="313975" cy="140242"/>
            <wp:docPr id="142" name="Picture 142"/>
            <wp:cNvGraphicFramePr>
              <a:graphicFrameLocks noChangeAspect="1"/>
            </wp:cNvGraphicFramePr>
            <a:graphic>
              <a:graphicData uri="http://schemas.openxmlformats.org/drawingml/2006/picture">
                <pic:pic>
                  <pic:nvPicPr>
                    <pic:cNvPr id="0" name="eq-142.png"/>
                    <pic:cNvPicPr/>
                  </pic:nvPicPr>
                  <pic:blipFill>
                    <a:blip r:embed="rId144"/>
                    <a:stretch>
                      <a:fillRect/>
                    </a:stretch>
                  </pic:blipFill>
                  <pic:spPr>
                    <a:xfrm>
                      <a:off x="0" y="0"/>
                      <a:ext cx="313975" cy="140242"/>
                    </a:xfrm>
                    <a:prstGeom prst="rect"/>
                  </pic:spPr>
                </pic:pic>
              </a:graphicData>
            </a:graphic>
          </wp:inline>
        </w:drawing>
      </w:r>
      <w:r>
        <w:rPr>
          <w:b w:val="0"/>
          <w:i w:val="0"/>
        </w:rPr>
        <w:t xml:space="preserve"> GBP/MWh。最终同时充放电量至多为 </w:t>
      </w:r>
      <w:r>
        <w:drawing>
          <wp:inline xmlns:a="http://schemas.openxmlformats.org/drawingml/2006/main" xmlns:pic="http://schemas.openxmlformats.org/drawingml/2006/picture">
            <wp:extent cx="313975" cy="140242"/>
            <wp:docPr id="143" name="Picture 143"/>
            <wp:cNvGraphicFramePr>
              <a:graphicFrameLocks noChangeAspect="1"/>
            </wp:cNvGraphicFramePr>
            <a:graphic>
              <a:graphicData uri="http://schemas.openxmlformats.org/drawingml/2006/picture">
                <pic:pic>
                  <pic:nvPicPr>
                    <pic:cNvPr id="0" name="eq-142.png"/>
                    <pic:cNvPicPr/>
                  </pic:nvPicPr>
                  <pic:blipFill>
                    <a:blip r:embed="rId144"/>
                    <a:stretch>
                      <a:fillRect/>
                    </a:stretch>
                  </pic:blipFill>
                  <pic:spPr>
                    <a:xfrm>
                      <a:off x="0" y="0"/>
                      <a:ext cx="313975" cy="140242"/>
                    </a:xfrm>
                    <a:prstGeom prst="rect"/>
                  </pic:spPr>
                </pic:pic>
              </a:graphicData>
            </a:graphic>
          </wp:inline>
        </w:drawing>
      </w:r>
      <w:r>
        <w:rPr>
          <w:b w:val="0"/>
          <w:i w:val="0"/>
        </w:rPr>
        <w:t xml:space="preserve"> MWh。期末库存传入下一期，全国计划与提交报价提供当前决策中的跨期价值。</w:t>
      </w:r>
    </w:p>
    <w:p>
      <w:pPr>
        <w:keepNext/>
      </w:pPr>
      <w:r>
        <w:rPr>
          <w:b w:val="0"/>
          <w:i w:val="0"/>
        </w:rPr>
        <w:t>物理资源支出与报价支付分别核算。</w:t>
      </w:r>
      <w:r>
        <w:rPr>
          <w:rFonts w:ascii="DejaVu Sans Mono" w:hAnsi="DejaVu Sans Mono"/>
          <w:b w:val="0"/>
          <w:i w:val="0"/>
          <w:sz w:val="17"/>
        </w:rPr>
        <w:t>resource_​cost_​gbp_​per_​mwh_​by_​asset</w:t>
      </w:r>
      <w:r>
        <w:rPr>
          <w:b w:val="0"/>
          <w:i w:val="0"/>
        </w:rPr>
        <w:t xml:space="preserve"> 乘资产正的最终注入，缺电按 VoLL 计价：</w:t>
      </w:r>
    </w:p>
    <w:p>
      <w:pPr>
        <w:spacing w:after="160"/>
        <w:jc w:val="center"/>
      </w:pPr>
      <w:r>
        <w:drawing>
          <wp:inline xmlns:a="http://schemas.openxmlformats.org/drawingml/2006/main" xmlns:pic="http://schemas.openxmlformats.org/drawingml/2006/picture">
            <wp:extent cx="5682005" cy="1003379"/>
            <wp:docPr id="144" name="Picture 144"/>
            <wp:cNvGraphicFramePr>
              <a:graphicFrameLocks noChangeAspect="1"/>
            </wp:cNvGraphicFramePr>
            <a:graphic>
              <a:graphicData uri="http://schemas.openxmlformats.org/drawingml/2006/picture">
                <pic:pic>
                  <pic:nvPicPr>
                    <pic:cNvPr id="0" name="eq-144.png"/>
                    <pic:cNvPicPr/>
                  </pic:nvPicPr>
                  <pic:blipFill>
                    <a:blip r:embed="rId145"/>
                    <a:stretch>
                      <a:fillRect/>
                    </a:stretch>
                  </pic:blipFill>
                  <pic:spPr>
                    <a:xfrm>
                      <a:off x="0" y="0"/>
                      <a:ext cx="5682005" cy="1003379"/>
                    </a:xfrm>
                    <a:prstGeom prst="rect"/>
                  </pic:spPr>
                </pic:pic>
              </a:graphicData>
            </a:graphic>
          </wp:inline>
        </w:drawing>
      </w:r>
    </w:p>
    <w:p>
      <w:r>
        <w:rPr>
          <w:b w:val="0"/>
          <w:i w:val="0"/>
        </w:rPr>
        <w:t>网络约束费用将该结果与合并为单节点、移除走廊和边界后的同一线性规划比较。</w:t>
      </w:r>
      <w:r>
        <w:rPr>
          <w:rFonts w:ascii="DejaVu Sans Mono" w:hAnsi="DejaVu Sans Mono"/>
          <w:b w:val="0"/>
          <w:i w:val="0"/>
          <w:sz w:val="17"/>
        </w:rPr>
        <w:t>solve_​network_​free_​counterfactual</w:t>
      </w:r>
      <w:r>
        <w:rPr>
          <w:b w:val="0"/>
          <w:i w:val="0"/>
        </w:rPr>
        <w:t xml:space="preserve"> 保留报价、出口套利、进出口限额、储能物理约束、缺电估值和求解设置。两种情况共用逐期单位费用表：优先取给定的时变资源费用，其余采用年度边际费用、储能循环折旧及零出口资源费用。负进口价格可使期间资源支出为负。</w:t>
      </w:r>
    </w:p>
    <w:p>
      <w:r>
        <w:rPr>
          <w:b w:val="0"/>
          <w:i w:val="0"/>
        </w:rPr>
        <w:t xml:space="preserve">第一目标的差额单独记为 </w:t>
      </w:r>
      <w:r>
        <w:rPr>
          <w:rFonts w:ascii="DejaVu Sans Mono" w:hAnsi="DejaVu Sans Mono"/>
          <w:b w:val="0"/>
          <w:i w:val="0"/>
          <w:sz w:val="17"/>
        </w:rPr>
        <w:t>network_​constraint_​bid_​objective_​gbp</w:t>
      </w:r>
      <w:r>
        <w:rPr>
          <w:b w:val="0"/>
          <w:i w:val="0"/>
        </w:rPr>
        <w:t>。预测误差归因比较实际预测和完全预测的无网络结果。每次比较仅改变所声明的空间或预测输入，并保留相同优化方法。</w:t>
      </w:r>
    </w:p>
    <w:p>
      <w:pPr>
        <w:pStyle w:val="Heading2"/>
      </w:pPr>
      <w:r>
        <w:rPr>
          <w:b w:val="0"/>
          <w:i w:val="0"/>
        </w:rPr>
        <w:t>数值求解与边界边际价值</w:t>
      </w:r>
    </w:p>
    <w:p>
      <w:r>
        <w:rPr>
          <w:b w:val="0"/>
          <w:i w:val="0"/>
        </w:rPr>
        <w:t>求解器先固定第一目标最优解的缺电总量，再限制其中的报价费用。</w:t>
      </w:r>
      <w:r>
        <w:rPr>
          <w:rFonts w:ascii="DejaVu Sans Mono" w:hAnsi="DejaVu Sans Mono"/>
          <w:b w:val="0"/>
          <w:i w:val="0"/>
          <w:sz w:val="17"/>
        </w:rPr>
        <w:t>lock_primary_shedding</w:t>
      </w:r>
      <w:r>
        <w:rPr>
          <w:b w:val="0"/>
          <w:i w:val="0"/>
        </w:rPr>
        <w:t xml:space="preserve"> 在第一阶段缺电总量为零时将各区缺电固定为零，其余情况以上一最优解的缺电合计作为上界。</w:t>
      </w:r>
      <w:r>
        <w:rPr>
          <w:rFonts w:ascii="DejaVu Sans Mono" w:hAnsi="DejaVu Sans Mono"/>
          <w:b w:val="0"/>
          <w:i w:val="0"/>
          <w:sz w:val="17"/>
        </w:rPr>
        <w:t>bid_cost_coefficients</w:t>
      </w:r>
      <w:r>
        <w:rPr>
          <w:b w:val="0"/>
          <w:i w:val="0"/>
        </w:rPr>
        <w:t xml:space="preserve"> 提供下一条约束使用的纯报价费用系数。</w:t>
      </w:r>
    </w:p>
    <w:p>
      <w:pPr>
        <w:keepNext/>
      </w:pPr>
      <w:r>
        <w:rPr>
          <w:b w:val="0"/>
          <w:i w:val="0"/>
        </w:rPr>
        <w:t>目标约束采用随数值尺度变化的浮点容差。</w:t>
      </w:r>
      <w:r>
        <w:rPr>
          <w:rFonts w:ascii="DejaVu Sans Mono" w:hAnsi="DejaVu Sans Mono"/>
          <w:b w:val="0"/>
          <w:i w:val="0"/>
          <w:sz w:val="17"/>
        </w:rPr>
        <w:t>compute_lock_tolerance</w:t>
      </w:r>
      <w:r>
        <w:rPr>
          <w:b w:val="0"/>
          <w:i w:val="0"/>
        </w:rPr>
        <w:t xml:space="preserve"> 读取目标系数 </w:t>
      </w:r>
      <w:r>
        <w:rPr>
          <w:rFonts w:ascii="DejaVu Sans Mono" w:hAnsi="DejaVu Sans Mono"/>
          <w:b w:val="0"/>
          <w:i w:val="0"/>
          <w:sz w:val="17"/>
        </w:rPr>
        <w:t>coefficients</w:t>
      </w:r>
      <w:r>
        <w:rPr>
          <w:b w:val="0"/>
          <w:i w:val="0"/>
        </w:rPr>
        <w:t xml:space="preserve">、前次最优解 </w:t>
      </w:r>
      <w:r>
        <w:rPr>
          <w:rFonts w:ascii="DejaVu Sans Mono" w:hAnsi="DejaVu Sans Mono"/>
          <w:b w:val="0"/>
          <w:i w:val="0"/>
          <w:sz w:val="17"/>
        </w:rPr>
        <w:t>optimum</w:t>
      </w:r>
      <w:r>
        <w:rPr>
          <w:b w:val="0"/>
          <w:i w:val="0"/>
        </w:rPr>
        <w:t xml:space="preserve">、下限 </w:t>
      </w:r>
      <w:r>
        <w:rPr>
          <w:rFonts w:ascii="DejaVu Sans Mono" w:hAnsi="DejaVu Sans Mono"/>
          <w:b w:val="0"/>
          <w:i w:val="0"/>
          <w:sz w:val="17"/>
        </w:rPr>
        <w:t>unit_floor</w:t>
      </w:r>
      <w:r>
        <w:rPr>
          <w:b w:val="0"/>
          <w:i w:val="0"/>
        </w:rPr>
        <w:t xml:space="preserve"> 和有效 </w:t>
      </w:r>
      <w:r>
        <w:rPr>
          <w:rFonts w:ascii="DejaVu Sans Mono" w:hAnsi="DejaVu Sans Mono"/>
          <w:b w:val="0"/>
          <w:i w:val="0"/>
          <w:sz w:val="17"/>
        </w:rPr>
        <w:t>solver_tolerance</w:t>
      </w:r>
      <w:r>
        <w:rPr>
          <w:b w:val="0"/>
          <w:i w:val="0"/>
        </w:rPr>
        <w:t>，计算</w:t>
      </w:r>
    </w:p>
    <w:p>
      <w:pPr>
        <w:spacing w:after="160"/>
        <w:jc w:val="center"/>
      </w:pPr>
      <w:r>
        <w:drawing>
          <wp:inline xmlns:a="http://schemas.openxmlformats.org/drawingml/2006/main" xmlns:pic="http://schemas.openxmlformats.org/drawingml/2006/picture">
            <wp:extent cx="5080939" cy="2194198"/>
            <wp:docPr id="145" name="Picture 145"/>
            <wp:cNvGraphicFramePr>
              <a:graphicFrameLocks noChangeAspect="1"/>
            </wp:cNvGraphicFramePr>
            <a:graphic>
              <a:graphicData uri="http://schemas.openxmlformats.org/drawingml/2006/picture">
                <pic:pic>
                  <pic:nvPicPr>
                    <pic:cNvPr id="0" name="eq-145.png"/>
                    <pic:cNvPicPr/>
                  </pic:nvPicPr>
                  <pic:blipFill>
                    <a:blip r:embed="rId146"/>
                    <a:stretch>
                      <a:fillRect/>
                    </a:stretch>
                  </pic:blipFill>
                  <pic:spPr>
                    <a:xfrm>
                      <a:off x="0" y="0"/>
                      <a:ext cx="5080939" cy="2194198"/>
                    </a:xfrm>
                    <a:prstGeom prst="rect"/>
                  </pic:spPr>
                </pic:pic>
              </a:graphicData>
            </a:graphic>
          </wp:inline>
        </w:drawing>
      </w:r>
    </w:p>
    <w:p>
      <w:r>
        <w:rPr>
          <w:rFonts w:ascii="DejaVu Sans Mono" w:hAnsi="DejaVu Sans Mono"/>
          <w:b w:val="0"/>
          <w:i w:val="0"/>
          <w:sz w:val="17"/>
        </w:rPr>
        <w:t>nonzero_terms</w:t>
      </w:r>
      <w:r>
        <w:rPr>
          <w:b w:val="0"/>
          <w:i w:val="0"/>
        </w:rPr>
        <w:t xml:space="preserve"> 为非零系数数目，</w:t>
      </w:r>
      <w:r>
        <w:rPr>
          <w:rFonts w:ascii="DejaVu Sans Mono" w:hAnsi="DejaVu Sans Mono"/>
          <w:b w:val="0"/>
          <w:i w:val="0"/>
          <w:sz w:val="17"/>
        </w:rPr>
        <w:t>epsilon</w:t>
      </w:r>
      <w:r>
        <w:rPr>
          <w:b w:val="0"/>
          <w:i w:val="0"/>
        </w:rPr>
        <w:t xml:space="preserve"> 为机器精度。有效容差取适用求解容差与边界归整容差的较大值。报价费用约束的下限为 </w:t>
      </w:r>
      <w:r>
        <w:drawing>
          <wp:inline xmlns:a="http://schemas.openxmlformats.org/drawingml/2006/main" xmlns:pic="http://schemas.openxmlformats.org/drawingml/2006/picture">
            <wp:extent cx="313975" cy="140242"/>
            <wp:docPr id="146" name="Picture 146"/>
            <wp:cNvGraphicFramePr>
              <a:graphicFrameLocks noChangeAspect="1"/>
            </wp:cNvGraphicFramePr>
            <a:graphic>
              <a:graphicData uri="http://schemas.openxmlformats.org/drawingml/2006/picture">
                <pic:pic>
                  <pic:nvPicPr>
                    <pic:cNvPr id="0" name="eq-142.png"/>
                    <pic:cNvPicPr/>
                  </pic:nvPicPr>
                  <pic:blipFill>
                    <a:blip r:embed="rId144"/>
                    <a:stretch>
                      <a:fillRect/>
                    </a:stretch>
                  </pic:blipFill>
                  <pic:spPr>
                    <a:xfrm>
                      <a:off x="0" y="0"/>
                      <a:ext cx="313975" cy="140242"/>
                    </a:xfrm>
                    <a:prstGeom prst="rect"/>
                  </pic:spPr>
                </pic:pic>
              </a:graphicData>
            </a:graphic>
          </wp:inline>
        </w:drawing>
      </w:r>
      <w:r>
        <w:rPr>
          <w:b w:val="0"/>
          <w:i w:val="0"/>
        </w:rPr>
        <w:t xml:space="preserve"> GBP，默认求解容差为 </w:t>
      </w:r>
      <w:r>
        <w:drawing>
          <wp:inline xmlns:a="http://schemas.openxmlformats.org/drawingml/2006/main" xmlns:pic="http://schemas.openxmlformats.org/drawingml/2006/picture">
            <wp:extent cx="313975" cy="140242"/>
            <wp:docPr id="147" name="Picture 147"/>
            <wp:cNvGraphicFramePr>
              <a:graphicFrameLocks noChangeAspect="1"/>
            </wp:cNvGraphicFramePr>
            <a:graphic>
              <a:graphicData uri="http://schemas.openxmlformats.org/drawingml/2006/picture">
                <pic:pic>
                  <pic:nvPicPr>
                    <pic:cNvPr id="0" name="eq-147.png"/>
                    <pic:cNvPicPr/>
                  </pic:nvPicPr>
                  <pic:blipFill>
                    <a:blip r:embed="rId147"/>
                    <a:stretch>
                      <a:fillRect/>
                    </a:stretch>
                  </pic:blipFill>
                  <pic:spPr>
                    <a:xfrm>
                      <a:off x="0" y="0"/>
                      <a:ext cx="313975" cy="140242"/>
                    </a:xfrm>
                    <a:prstGeom prst="rect"/>
                  </pic:spPr>
                </pic:pic>
              </a:graphicData>
            </a:graphic>
          </wp:inline>
        </w:drawing>
      </w:r>
      <w:r>
        <w:rPr>
          <w:b w:val="0"/>
          <w:i w:val="0"/>
        </w:rPr>
        <w:t xml:space="preserve">⁠；MWh 目标的下限为 </w:t>
      </w:r>
      <w:r>
        <w:drawing>
          <wp:inline xmlns:a="http://schemas.openxmlformats.org/drawingml/2006/main" xmlns:pic="http://schemas.openxmlformats.org/drawingml/2006/picture">
            <wp:extent cx="313975" cy="140242"/>
            <wp:docPr id="148" name="Picture 148"/>
            <wp:cNvGraphicFramePr>
              <a:graphicFrameLocks noChangeAspect="1"/>
            </wp:cNvGraphicFramePr>
            <a:graphic>
              <a:graphicData uri="http://schemas.openxmlformats.org/drawingml/2006/picture">
                <pic:pic>
                  <pic:nvPicPr>
                    <pic:cNvPr id="0" name="eq-147.png"/>
                    <pic:cNvPicPr/>
                  </pic:nvPicPr>
                  <pic:blipFill>
                    <a:blip r:embed="rId147"/>
                    <a:stretch>
                      <a:fillRect/>
                    </a:stretch>
                  </pic:blipFill>
                  <pic:spPr>
                    <a:xfrm>
                      <a:off x="0" y="0"/>
                      <a:ext cx="313975" cy="140242"/>
                    </a:xfrm>
                    <a:prstGeom prst="rect"/>
                  </pic:spPr>
                </pic:pic>
              </a:graphicData>
            </a:graphic>
          </wp:inline>
        </w:drawing>
      </w:r>
      <w:r>
        <w:rPr>
          <w:b w:val="0"/>
          <w:i w:val="0"/>
        </w:rPr>
        <w:t xml:space="preserve"> MWh，求解容差下限为 </w:t>
      </w:r>
      <w:r>
        <w:drawing>
          <wp:inline xmlns:a="http://schemas.openxmlformats.org/drawingml/2006/main" xmlns:pic="http://schemas.openxmlformats.org/drawingml/2006/picture">
            <wp:extent cx="313975" cy="140242"/>
            <wp:docPr id="149" name="Picture 149"/>
            <wp:cNvGraphicFramePr>
              <a:graphicFrameLocks noChangeAspect="1"/>
            </wp:cNvGraphicFramePr>
            <a:graphic>
              <a:graphicData uri="http://schemas.openxmlformats.org/drawingml/2006/picture">
                <pic:pic>
                  <pic:nvPicPr>
                    <pic:cNvPr id="0" name="eq-142.png"/>
                    <pic:cNvPicPr/>
                  </pic:nvPicPr>
                  <pic:blipFill>
                    <a:blip r:embed="rId144"/>
                    <a:stretch>
                      <a:fillRect/>
                    </a:stretch>
                  </pic:blipFill>
                  <pic:spPr>
                    <a:xfrm>
                      <a:off x="0" y="0"/>
                      <a:ext cx="313975" cy="140242"/>
                    </a:xfrm>
                    <a:prstGeom prst="rect"/>
                  </pic:spPr>
                </pic:pic>
              </a:graphicData>
            </a:graphic>
          </wp:inline>
        </w:drawing>
      </w:r>
      <w:r>
        <w:rPr>
          <w:b w:val="0"/>
          <w:i w:val="0"/>
        </w:rPr>
        <w:t xml:space="preserve">⁠。报价费用接纳上限为每期 1 GBP。后续求解保留前面目标的上界。HiGHS 对偶单纯形法启用预求解，原始与对偶容差均为 </w:t>
      </w:r>
      <w:r>
        <w:drawing>
          <wp:inline xmlns:a="http://schemas.openxmlformats.org/drawingml/2006/main" xmlns:pic="http://schemas.openxmlformats.org/drawingml/2006/picture">
            <wp:extent cx="313975" cy="140242"/>
            <wp:docPr id="150" name="Picture 150"/>
            <wp:cNvGraphicFramePr>
              <a:graphicFrameLocks noChangeAspect="1"/>
            </wp:cNvGraphicFramePr>
            <a:graphic>
              <a:graphicData uri="http://schemas.openxmlformats.org/drawingml/2006/picture">
                <pic:pic>
                  <pic:nvPicPr>
                    <pic:cNvPr id="0" name="eq-147.png"/>
                    <pic:cNvPicPr/>
                  </pic:nvPicPr>
                  <pic:blipFill>
                    <a:blip r:embed="rId147"/>
                    <a:stretch>
                      <a:fillRect/>
                    </a:stretch>
                  </pic:blipFill>
                  <pic:spPr>
                    <a:xfrm>
                      <a:off x="0" y="0"/>
                      <a:ext cx="313975" cy="140242"/>
                    </a:xfrm>
                    <a:prstGeom prst="rect"/>
                  </pic:spPr>
                </pic:pic>
              </a:graphicData>
            </a:graphic>
          </wp:inline>
        </w:drawing>
      </w:r>
      <w:r>
        <w:rPr>
          <w:b w:val="0"/>
          <w:i w:val="0"/>
        </w:rPr>
        <w:t xml:space="preserve">⁠，最终等式、不等式及变量界偏差至多为 </w:t>
      </w:r>
      <w:r>
        <w:drawing>
          <wp:inline xmlns:a="http://schemas.openxmlformats.org/drawingml/2006/main" xmlns:pic="http://schemas.openxmlformats.org/drawingml/2006/picture">
            <wp:extent cx="313975" cy="140242"/>
            <wp:docPr id="151" name="Picture 151"/>
            <wp:cNvGraphicFramePr>
              <a:graphicFrameLocks noChangeAspect="1"/>
            </wp:cNvGraphicFramePr>
            <a:graphic>
              <a:graphicData uri="http://schemas.openxmlformats.org/drawingml/2006/picture">
                <pic:pic>
                  <pic:nvPicPr>
                    <pic:cNvPr id="0" name="eq-116.png"/>
                    <pic:cNvPicPr/>
                  </pic:nvPicPr>
                  <pic:blipFill>
                    <a:blip r:embed="rId119"/>
                    <a:stretch>
                      <a:fillRect/>
                    </a:stretch>
                  </pic:blipFill>
                  <pic:spPr>
                    <a:xfrm>
                      <a:off x="0" y="0"/>
                      <a:ext cx="313975" cy="140242"/>
                    </a:xfrm>
                    <a:prstGeom prst="rect"/>
                  </pic:spPr>
                </pic:pic>
              </a:graphicData>
            </a:graphic>
          </wp:inline>
        </w:drawing>
      </w:r>
      <w:r>
        <w:rPr>
          <w:b w:val="0"/>
          <w:i w:val="0"/>
        </w:rPr>
        <w:t>⁠。</w:t>
      </w:r>
    </w:p>
    <w:p>
      <w:pPr>
        <w:keepLines/>
        <w:spacing w:line="276" w:lineRule="auto" w:after="160"/>
      </w:pPr>
      <w:r>
        <w:rPr>
          <w:rFonts w:ascii="DejaVu Sans Mono" w:hAnsi="DejaVu Sans Mono"/>
          <w:b w:val="0"/>
          <w:i w:val="0"/>
          <w:sz w:val="17"/>
        </w:rPr>
        <w:t>for period in the half-hour chronology:</w:t>
        <w:br/>
        <w:t xml:space="preserve">    align_​zonal_​demand(...): obtain zonal demand</w:t>
        <w:br/>
        <w:t xml:space="preserve">    build_​single_​period_​problem(...): build bids and physical constraints</w:t>
        <w:br/>
        <w:t xml:space="preserve">    solve_​lexicographic(problem):</w:t>
        <w:br/>
        <w:t xml:space="preserve">        minimise primary_objective; retain primary boundary marginals</w:t>
        <w:br/>
        <w:t xml:space="preserve">        lock_​primary_​shedding(...); bound bid_​cost_​coefficients(problem)</w:t>
        <w:br/>
        <w:t xml:space="preserve">        minimise secondary_objective; retain its objective bound</w:t>
        <w:br/>
        <w:t xml:space="preserve">        minimise physical_tie_objective; retain its objective bound</w:t>
        <w:br/>
        <w:t xml:space="preserve">        minimise stable_tie_objective; validate_solution(...)</w:t>
        <w:br/>
        <w:t xml:space="preserve">    solve_​network_​free_​counterfactual(...): compute matched comparison</w:t>
        <w:br/>
        <w:t xml:space="preserve">    return actual injections, storage inventory, flows, shortage and costs</w:t>
        <w:br/>
        <w:t xml:space="preserve">    pass final_soc_mwh_by_asset to the next period</w:t>
        <w:br/>
      </w:r>
    </w:p>
    <w:p>
      <w:pPr>
        <w:keepNext/>
      </w:pPr>
      <w:r>
        <w:rPr>
          <w:b w:val="0"/>
          <w:i w:val="0"/>
        </w:rPr>
        <w:t>边界边际价值表示第一目标对传输容量的响应。</w:t>
      </w:r>
      <w:r>
        <w:rPr>
          <w:rFonts w:ascii="DejaVu Sans Mono" w:hAnsi="DejaVu Sans Mono"/>
          <w:b w:val="0"/>
          <w:i w:val="0"/>
          <w:sz w:val="17"/>
        </w:rPr>
        <w:t>boundary_​marginal_​values</w:t>
      </w:r>
      <w:r>
        <w:rPr>
          <w:b w:val="0"/>
          <w:i w:val="0"/>
        </w:rPr>
        <w:t xml:space="preserve"> 在增加目标约束前读取正、反向容量行的对偶值：</w:t>
      </w:r>
    </w:p>
    <w:p>
      <w:pPr>
        <w:spacing w:after="160"/>
        <w:jc w:val="center"/>
      </w:pPr>
      <w:r>
        <w:drawing>
          <wp:inline xmlns:a="http://schemas.openxmlformats.org/drawingml/2006/main" xmlns:pic="http://schemas.openxmlformats.org/drawingml/2006/picture">
            <wp:extent cx="4971135" cy="180560"/>
            <wp:docPr id="152" name="Picture 152"/>
            <wp:cNvGraphicFramePr>
              <a:graphicFrameLocks noChangeAspect="1"/>
            </wp:cNvGraphicFramePr>
            <a:graphic>
              <a:graphicData uri="http://schemas.openxmlformats.org/drawingml/2006/picture">
                <pic:pic>
                  <pic:nvPicPr>
                    <pic:cNvPr id="0" name="eq-152.png"/>
                    <pic:cNvPicPr/>
                  </pic:nvPicPr>
                  <pic:blipFill>
                    <a:blip r:embed="rId148"/>
                    <a:stretch>
                      <a:fillRect/>
                    </a:stretch>
                  </pic:blipFill>
                  <pic:spPr>
                    <a:xfrm>
                      <a:off x="0" y="0"/>
                      <a:ext cx="4971135" cy="180560"/>
                    </a:xfrm>
                    <a:prstGeom prst="rect"/>
                  </pic:spPr>
                </pic:pic>
              </a:graphicData>
            </a:graphic>
          </wp:inline>
        </w:drawing>
      </w:r>
    </w:p>
    <w:p>
      <w:r>
        <w:rPr>
          <w:b w:val="0"/>
          <w:i w:val="0"/>
        </w:rPr>
        <w:t xml:space="preserve">正值对应正向限额生效，负值对应反向限额生效。状态为 </w:t>
      </w:r>
      <w:r>
        <w:rPr>
          <w:rFonts w:ascii="DejaVu Sans Mono" w:hAnsi="DejaVu Sans Mono"/>
          <w:b w:val="0"/>
          <w:i w:val="0"/>
          <w:sz w:val="17"/>
        </w:rPr>
        <w:t>computed</w:t>
      </w:r>
      <w:r>
        <w:rPr>
          <w:b w:val="0"/>
          <w:i w:val="0"/>
        </w:rPr>
        <w:t xml:space="preserve">、限额生效但对偶值为零时的 </w:t>
      </w:r>
      <w:r>
        <w:rPr>
          <w:rFonts w:ascii="DejaVu Sans Mono" w:hAnsi="DejaVu Sans Mono"/>
          <w:b w:val="0"/>
          <w:i w:val="0"/>
          <w:sz w:val="17"/>
        </w:rPr>
        <w:t>degenerate_dual</w:t>
      </w:r>
      <w:r>
        <w:rPr>
          <w:b w:val="0"/>
          <w:i w:val="0"/>
        </w:rPr>
        <w:t xml:space="preserve">，或多个生效边界共享走廊、对偶分配具有多解时的 </w:t>
      </w:r>
      <w:r>
        <w:rPr>
          <w:rFonts w:ascii="DejaVu Sans Mono" w:hAnsi="DejaVu Sans Mono"/>
          <w:b w:val="0"/>
          <w:i w:val="0"/>
          <w:sz w:val="17"/>
        </w:rPr>
        <w:t>shared_member</w:t>
      </w:r>
      <w:r>
        <w:rPr>
          <w:b w:val="0"/>
          <w:i w:val="0"/>
        </w:rPr>
        <w:t>。年度合计的“边界价值乘传输量绝对值”作为拥塞诊断，与区域价格、现金流和系统费用分别报告。缺少该计算的账本显示“Not computed”。</w:t>
      </w:r>
    </w:p>
    <w:p>
      <w:pPr>
        <w:pStyle w:val="Heading2"/>
      </w:pPr>
      <w:r>
        <w:rPr>
          <w:b w:val="0"/>
          <w:i w:val="0"/>
        </w:rPr>
        <w:t>两个分区案例</w:t>
      </w:r>
    </w:p>
    <w:p>
      <w:r>
        <w:rPr>
          <w:b w:val="0"/>
          <w:i w:val="0"/>
        </w:rPr>
        <w:t xml:space="preserve">英国 23 区网络研究采用随 VALUE 0.7.0-alpha.1 提供的 GBP1 public2 研究套件 </w:t>
      </w:r>
      <w:r>
        <w:rPr>
          <w:rFonts w:ascii="DejaVu Sans Mono" w:hAnsi="DejaVu Sans Mono"/>
          <w:b w:val="0"/>
          <w:i w:val="0"/>
          <w:sz w:val="17"/>
        </w:rPr>
        <w:t>value-uk-research-suite-v1-public2</w:t>
      </w:r>
      <w:r>
        <w:rPr>
          <w:b w:val="0"/>
          <w:i w:val="0"/>
        </w:rPr>
        <w:t>，下载见</w:t>
      </w:r>
      <w:r>
        <w:rPr>
          <w:b w:val="0"/>
          <w:i w:val="0"/>
        </w:rPr>
        <w:t>数据页</w:t>
      </w:r>
      <w:r>
        <w:rPr>
          <w:b w:val="0"/>
          <w:i w:val="0"/>
        </w:rPr>
        <w:t>。网络包含 22 条计算走廊以及 B6、B7a 两个边界，双向容量分别为 6,700 MW 和 9,400 MW。2025–2034 年研究设计保持网络容量固定，年度需求与资产可以变化。</w:t>
      </w:r>
    </w:p>
    <w:p>
      <w:r>
        <w:rPr>
          <w:b w:val="0"/>
          <w:i w:val="0"/>
        </w:rPr>
        <w:t xml:space="preserve">23 区包按站点分配风电和光伏位置，CCGT、OCGT、生物质、径流水电、核电、储能和进口均放入 </w:t>
      </w:r>
      <w:r>
        <w:rPr>
          <w:rFonts w:ascii="DejaVu Sans Mono" w:hAnsi="DejaVu Sans Mono"/>
          <w:b w:val="0"/>
          <w:i w:val="0"/>
          <w:sz w:val="17"/>
        </w:rPr>
        <w:t>ENGLAND_FALLBACK</w:t>
      </w:r>
      <w:r>
        <w:rPr>
          <w:b w:val="0"/>
          <w:i w:val="0"/>
        </w:rPr>
        <w:t xml:space="preserve">。public2 核电政策在运行时形成的逐站资产采用该默认分区，包括位于 B6 以北的 Torness。进口资源名称为 </w:t>
      </w:r>
      <w:r>
        <w:rPr>
          <w:rFonts w:ascii="DejaVu Sans Mono" w:hAnsi="DejaVu Sans Mono"/>
          <w:b w:val="0"/>
          <w:i w:val="0"/>
          <w:sz w:val="17"/>
        </w:rPr>
        <w:t>import:&lt;country&gt;</w:t>
      </w:r>
      <w:r>
        <w:rPr>
          <w:b w:val="0"/>
          <w:i w:val="0"/>
        </w:rPr>
        <w:t xml:space="preserve">，登陆点表名称为 </w:t>
      </w:r>
      <w:r>
        <w:rPr>
          <w:rFonts w:ascii="DejaVu Sans Mono" w:hAnsi="DejaVu Sans Mono"/>
          <w:b w:val="0"/>
          <w:i w:val="0"/>
          <w:sz w:val="17"/>
        </w:rPr>
        <w:t>interconnector:&lt;line&gt;</w:t>
      </w:r>
      <w:r>
        <w:rPr>
          <w:b w:val="0"/>
          <w:i w:val="0"/>
        </w:rPr>
        <w:t>，两者对应关系缺失，进口也进入默认分区。</w:t>
      </w:r>
      <w:r>
        <w:rPr>
          <w:rFonts w:ascii="DejaVu Sans Mono" w:hAnsi="DejaVu Sans Mono"/>
          <w:b w:val="0"/>
          <w:i w:val="0"/>
          <w:sz w:val="17"/>
        </w:rPr>
        <w:t>runtime_fallback_audit</w:t>
      </w:r>
      <w:r>
        <w:rPr>
          <w:b w:val="0"/>
          <w:i w:val="0"/>
        </w:rPr>
        <w:t xml:space="preserve"> 记录这些分配，分区结果的空间分布具有指示意义。</w:t>
      </w:r>
    </w:p>
    <w:p>
      <w:r>
        <w:rPr>
          <w:b w:val="0"/>
          <w:i w:val="0"/>
        </w:rPr>
        <w:t xml:space="preserve">分段与分区运行的账本声明 </w:t>
      </w:r>
      <w:r>
        <w:rPr>
          <w:rFonts w:ascii="DejaVu Sans Mono" w:hAnsi="DejaVu Sans Mono"/>
          <w:b w:val="0"/>
          <w:i w:val="0"/>
          <w:sz w:val="17"/>
        </w:rPr>
        <w:t>full_node_v1</w:t>
      </w:r>
      <w:r>
        <w:rPr>
          <w:b w:val="0"/>
          <w:i w:val="0"/>
        </w:rPr>
        <w:t xml:space="preserve"> 平衡边界，因此能够评估能量平衡。独立检查 </w:t>
      </w:r>
      <w:r>
        <w:rPr>
          <w:rFonts w:ascii="DejaVu Sans Mono" w:hAnsi="DejaVu Sans Mono"/>
          <w:b w:val="0"/>
          <w:i w:val="0"/>
          <w:sz w:val="17"/>
        </w:rPr>
        <w:t>generation_cross_path</w:t>
      </w:r>
      <w:r>
        <w:rPr>
          <w:b w:val="0"/>
          <w:i w:val="0"/>
        </w:rPr>
        <w:t xml:space="preserve"> 与 </w:t>
      </w:r>
      <w:r>
        <w:rPr>
          <w:rFonts w:ascii="DejaVu Sans Mono" w:hAnsi="DejaVu Sans Mono"/>
          <w:b w:val="0"/>
          <w:i w:val="0"/>
          <w:sz w:val="17"/>
        </w:rPr>
        <w:t>demand_​input_​reconciliation</w:t>
      </w:r>
      <w:r>
        <w:rPr>
          <w:b w:val="0"/>
          <w:i w:val="0"/>
        </w:rPr>
        <w:t xml:space="preserve"> 的状态仍为 </w:t>
      </w:r>
      <w:r>
        <w:rPr>
          <w:rFonts w:ascii="DejaVu Sans Mono" w:hAnsi="DejaVu Sans Mono"/>
          <w:b w:val="0"/>
          <w:i w:val="0"/>
          <w:sz w:val="17"/>
        </w:rPr>
        <w:t>not_evaluated</w:t>
      </w:r>
      <w:r>
        <w:rPr>
          <w:b w:val="0"/>
          <w:i w:val="0"/>
        </w:rPr>
        <w:t xml:space="preserve">。默认 </w:t>
      </w:r>
      <w:r>
        <w:rPr>
          <w:rFonts w:ascii="DejaVu Sans Mono" w:hAnsi="DejaVu Sans Mono"/>
          <w:b w:val="0"/>
          <w:i w:val="0"/>
          <w:sz w:val="17"/>
        </w:rPr>
        <w:t>summary</w:t>
      </w:r>
      <w:r>
        <w:rPr>
          <w:b w:val="0"/>
          <w:i w:val="0"/>
        </w:rPr>
        <w:t xml:space="preserve"> 轨迹省略逐时段求解诊断，结果页相应显示“未记录”。</w:t>
      </w:r>
    </w:p>
    <w:p>
      <w:r>
        <w:rPr>
          <w:b w:val="0"/>
          <w:i w:val="0"/>
        </w:rPr>
        <w:t>11 区试验使用 T1–T11 表示英国区域，并在固定资产下运行单年传输比较。区域依次为苏格兰北部、苏格兰南部、英格兰北部、北威尔士／默西河／亨伯河、英格兰中部、英格兰中部偏南、东英吉利、南威尔士／塞文河、英格兰西南部、英格兰南部和英格兰东南部。时间序列采用 2022 年负荷与天气，共 17,520 个半小时，模型背景年为 2025。该试验的容量保持固定，年度投资模块留在试验之外。</w:t>
      </w:r>
    </w:p>
    <w:p>
      <w:r>
        <w:rPr>
          <w:b w:val="0"/>
          <w:i w:val="0"/>
        </w:rPr>
        <w:t>11 区网络由 13 条交流资产类别的计算走廊及 Western Link 组成。普通走廊连接 1–2、2–3、3–4、4–5、5–6、5–8、6–7、6–8、6–11、8–9、8–10、9–10、10–11；Western Link 连接 T2→T4。下表列出地理边界及另设的 Western Link 限额。2029 容量作为独立敏感性输入，基础案例使用 2025 容量。</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26"/>
        <w:gridCol w:w="2594"/>
        <w:gridCol w:w="2594"/>
        <w:gridCol w:w="2378"/>
      </w:tblGrid>
      <w:tr>
        <w:trPr>
          <w:cantSplit/>
          <w:tblHeader w:val="true"/>
        </w:trPr>
        <w:tc>
          <w:tcPr>
            <w:tcW w:type="dxa" w:w="2226"/>
            <w:vAlign w:val="center"/>
            <w:tcMar>
              <w:top w:w="90" w:type="dxa"/>
              <w:left w:w="90" w:type="dxa"/>
              <w:bottom w:w="90" w:type="dxa"/>
              <w:right w:w="90" w:type="dxa"/>
            </w:tcMar>
            <w:shd w:fill="EEEEEE"/>
          </w:tcPr>
          <w:p>
            <w:pPr>
              <w:spacing w:after="40" w:line="276" w:lineRule="auto"/>
            </w:pPr>
            <w:r>
              <w:rPr>
                <w:b/>
                <w:i w:val="0"/>
                <w:sz w:val="18"/>
              </w:rPr>
              <w:t>边界</w:t>
            </w:r>
          </w:p>
        </w:tc>
        <w:tc>
          <w:tcPr>
            <w:tcW w:type="dxa" w:w="2594"/>
            <w:vAlign w:val="center"/>
            <w:tcMar>
              <w:top w:w="90" w:type="dxa"/>
              <w:left w:w="90" w:type="dxa"/>
              <w:bottom w:w="90" w:type="dxa"/>
              <w:right w:w="90" w:type="dxa"/>
            </w:tcMar>
            <w:shd w:fill="EEEEEE"/>
          </w:tcPr>
          <w:p>
            <w:pPr>
              <w:spacing w:after="40" w:line="276" w:lineRule="auto"/>
            </w:pPr>
            <w:r>
              <w:rPr>
                <w:b/>
                <w:i w:val="0"/>
                <w:sz w:val="18"/>
              </w:rPr>
              <w:t>2025 正反向容量 MW</w:t>
            </w:r>
          </w:p>
        </w:tc>
        <w:tc>
          <w:tcPr>
            <w:tcW w:type="dxa" w:w="2594"/>
            <w:vAlign w:val="center"/>
            <w:tcMar>
              <w:top w:w="90" w:type="dxa"/>
              <w:left w:w="90" w:type="dxa"/>
              <w:bottom w:w="90" w:type="dxa"/>
              <w:right w:w="90" w:type="dxa"/>
            </w:tcMar>
            <w:shd w:fill="EEEEEE"/>
          </w:tcPr>
          <w:p>
            <w:pPr>
              <w:spacing w:after="40" w:line="276" w:lineRule="auto"/>
            </w:pPr>
            <w:r>
              <w:rPr>
                <w:b/>
                <w:i w:val="0"/>
                <w:sz w:val="18"/>
              </w:rPr>
              <w:t>2029 敏感性容量 MW</w:t>
            </w:r>
          </w:p>
        </w:tc>
        <w:tc>
          <w:tcPr>
            <w:tcW w:type="dxa" w:w="2378"/>
            <w:vAlign w:val="center"/>
            <w:tcMar>
              <w:top w:w="90" w:type="dxa"/>
              <w:left w:w="90" w:type="dxa"/>
              <w:bottom w:w="90" w:type="dxa"/>
              <w:right w:w="90" w:type="dxa"/>
            </w:tcMar>
            <w:shd w:fill="EEEEEE"/>
          </w:tcPr>
          <w:p>
            <w:pPr>
              <w:spacing w:after="40" w:line="276" w:lineRule="auto"/>
            </w:pPr>
            <w:r>
              <w:rPr>
                <w:b/>
                <w:i w:val="0"/>
                <w:sz w:val="18"/>
              </w:rPr>
              <w:t>正向成员</w:t>
            </w:r>
          </w:p>
        </w:tc>
      </w:tr>
      <w:tr>
        <w:trPr>
          <w:cantSplit/>
        </w:trPr>
        <w:tc>
          <w:tcPr>
            <w:tcW w:type="dxa" w:w="2226"/>
            <w:vAlign w:val="center"/>
            <w:tcMar>
              <w:top w:w="90" w:type="dxa"/>
              <w:left w:w="90" w:type="dxa"/>
              <w:bottom w:w="90" w:type="dxa"/>
              <w:right w:w="90" w:type="dxa"/>
            </w:tcMar>
          </w:tcPr>
          <w:p>
            <w:pPr>
              <w:spacing w:after="40" w:line="276" w:lineRule="auto"/>
            </w:pPr>
            <w:r>
              <w:rPr>
                <w:b w:val="0"/>
                <w:i w:val="0"/>
                <w:sz w:val="18"/>
              </w:rPr>
              <w:t>B4</w:t>
            </w:r>
          </w:p>
        </w:tc>
        <w:tc>
          <w:tcPr>
            <w:tcW w:type="dxa" w:w="2594"/>
            <w:vAlign w:val="center"/>
            <w:tcMar>
              <w:top w:w="90" w:type="dxa"/>
              <w:left w:w="90" w:type="dxa"/>
              <w:bottom w:w="90" w:type="dxa"/>
              <w:right w:w="90" w:type="dxa"/>
            </w:tcMar>
          </w:tcPr>
          <w:p>
            <w:pPr>
              <w:spacing w:after="40" w:line="276" w:lineRule="auto"/>
            </w:pPr>
            <w:r>
              <w:rPr>
                <w:b w:val="0"/>
                <w:i w:val="0"/>
                <w:sz w:val="18"/>
              </w:rPr>
              <w:t>4,002</w:t>
            </w:r>
          </w:p>
        </w:tc>
        <w:tc>
          <w:tcPr>
            <w:tcW w:type="dxa" w:w="2594"/>
            <w:vAlign w:val="center"/>
            <w:tcMar>
              <w:top w:w="90" w:type="dxa"/>
              <w:left w:w="90" w:type="dxa"/>
              <w:bottom w:w="90" w:type="dxa"/>
              <w:right w:w="90" w:type="dxa"/>
            </w:tcMar>
          </w:tcPr>
          <w:p>
            <w:pPr>
              <w:spacing w:after="40" w:line="276" w:lineRule="auto"/>
            </w:pPr>
            <w:r>
              <w:rPr>
                <w:b w:val="0"/>
                <w:i w:val="0"/>
                <w:sz w:val="18"/>
              </w:rPr>
              <w:t>4,923</w:t>
            </w:r>
          </w:p>
        </w:tc>
        <w:tc>
          <w:tcPr>
            <w:tcW w:type="dxa" w:w="2378"/>
            <w:vAlign w:val="center"/>
            <w:tcMar>
              <w:top w:w="90" w:type="dxa"/>
              <w:left w:w="90" w:type="dxa"/>
              <w:bottom w:w="90" w:type="dxa"/>
              <w:right w:w="90" w:type="dxa"/>
            </w:tcMar>
          </w:tcPr>
          <w:p>
            <w:pPr>
              <w:spacing w:after="40" w:line="276" w:lineRule="auto"/>
            </w:pPr>
            <w:r>
              <w:rPr>
                <w:b w:val="0"/>
                <w:i w:val="0"/>
                <w:sz w:val="18"/>
              </w:rPr>
              <w:t>f12</w:t>
            </w:r>
          </w:p>
        </w:tc>
      </w:tr>
      <w:tr>
        <w:trPr>
          <w:cantSplit/>
        </w:trPr>
        <w:tc>
          <w:tcPr>
            <w:tcW w:type="dxa" w:w="2226"/>
            <w:vAlign w:val="center"/>
            <w:tcMar>
              <w:top w:w="90" w:type="dxa"/>
              <w:left w:w="90" w:type="dxa"/>
              <w:bottom w:w="90" w:type="dxa"/>
              <w:right w:w="90" w:type="dxa"/>
            </w:tcMar>
          </w:tcPr>
          <w:p>
            <w:pPr>
              <w:spacing w:after="40" w:line="276" w:lineRule="auto"/>
            </w:pPr>
            <w:r>
              <w:rPr>
                <w:b w:val="0"/>
                <w:i w:val="0"/>
                <w:sz w:val="18"/>
              </w:rPr>
              <w:t>B6</w:t>
            </w:r>
          </w:p>
        </w:tc>
        <w:tc>
          <w:tcPr>
            <w:tcW w:type="dxa" w:w="2594"/>
            <w:vAlign w:val="center"/>
            <w:tcMar>
              <w:top w:w="90" w:type="dxa"/>
              <w:left w:w="90" w:type="dxa"/>
              <w:bottom w:w="90" w:type="dxa"/>
              <w:right w:w="90" w:type="dxa"/>
            </w:tcMar>
          </w:tcPr>
          <w:p>
            <w:pPr>
              <w:spacing w:after="40" w:line="276" w:lineRule="auto"/>
            </w:pPr>
            <w:r>
              <w:rPr>
                <w:b w:val="0"/>
                <w:i w:val="0"/>
                <w:sz w:val="18"/>
              </w:rPr>
              <w:t>6,700</w:t>
            </w:r>
          </w:p>
        </w:tc>
        <w:tc>
          <w:tcPr>
            <w:tcW w:type="dxa" w:w="2594"/>
            <w:vAlign w:val="center"/>
            <w:tcMar>
              <w:top w:w="90" w:type="dxa"/>
              <w:left w:w="90" w:type="dxa"/>
              <w:bottom w:w="90" w:type="dxa"/>
              <w:right w:w="90" w:type="dxa"/>
            </w:tcMar>
          </w:tcPr>
          <w:p>
            <w:pPr>
              <w:spacing w:after="40" w:line="276" w:lineRule="auto"/>
            </w:pPr>
            <w:r>
              <w:rPr>
                <w:b w:val="0"/>
                <w:i w:val="0"/>
                <w:sz w:val="18"/>
              </w:rPr>
              <w:t>11,456</w:t>
            </w:r>
          </w:p>
        </w:tc>
        <w:tc>
          <w:tcPr>
            <w:tcW w:type="dxa" w:w="2378"/>
            <w:vAlign w:val="center"/>
            <w:tcMar>
              <w:top w:w="90" w:type="dxa"/>
              <w:left w:w="90" w:type="dxa"/>
              <w:bottom w:w="90" w:type="dxa"/>
              <w:right w:w="90" w:type="dxa"/>
            </w:tcMar>
          </w:tcPr>
          <w:p>
            <w:pPr>
              <w:spacing w:after="40" w:line="276" w:lineRule="auto"/>
            </w:pPr>
            <w:r>
              <w:rPr>
                <w:b w:val="0"/>
                <w:i w:val="0"/>
                <w:sz w:val="18"/>
              </w:rPr>
              <w:t>f23 + fWL</w:t>
            </w:r>
          </w:p>
        </w:tc>
      </w:tr>
      <w:tr>
        <w:trPr>
          <w:cantSplit/>
        </w:trPr>
        <w:tc>
          <w:tcPr>
            <w:tcW w:type="dxa" w:w="2226"/>
            <w:vAlign w:val="center"/>
            <w:tcMar>
              <w:top w:w="90" w:type="dxa"/>
              <w:left w:w="90" w:type="dxa"/>
              <w:bottom w:w="90" w:type="dxa"/>
              <w:right w:w="90" w:type="dxa"/>
            </w:tcMar>
          </w:tcPr>
          <w:p>
            <w:pPr>
              <w:spacing w:after="40" w:line="276" w:lineRule="auto"/>
            </w:pPr>
            <w:r>
              <w:rPr>
                <w:b w:val="0"/>
                <w:i w:val="0"/>
                <w:sz w:val="18"/>
              </w:rPr>
              <w:t>B7a</w:t>
            </w:r>
          </w:p>
        </w:tc>
        <w:tc>
          <w:tcPr>
            <w:tcW w:type="dxa" w:w="2594"/>
            <w:vAlign w:val="center"/>
            <w:tcMar>
              <w:top w:w="90" w:type="dxa"/>
              <w:left w:w="90" w:type="dxa"/>
              <w:bottom w:w="90" w:type="dxa"/>
              <w:right w:w="90" w:type="dxa"/>
            </w:tcMar>
          </w:tcPr>
          <w:p>
            <w:pPr>
              <w:spacing w:after="40" w:line="276" w:lineRule="auto"/>
            </w:pPr>
            <w:r>
              <w:rPr>
                <w:b w:val="0"/>
                <w:i w:val="0"/>
                <w:sz w:val="18"/>
              </w:rPr>
              <w:t>9,400</w:t>
            </w:r>
          </w:p>
        </w:tc>
        <w:tc>
          <w:tcPr>
            <w:tcW w:type="dxa" w:w="2594"/>
            <w:vAlign w:val="center"/>
            <w:tcMar>
              <w:top w:w="90" w:type="dxa"/>
              <w:left w:w="90" w:type="dxa"/>
              <w:bottom w:w="90" w:type="dxa"/>
              <w:right w:w="90" w:type="dxa"/>
            </w:tcMar>
          </w:tcPr>
          <w:p>
            <w:pPr>
              <w:spacing w:after="40" w:line="276" w:lineRule="auto"/>
            </w:pPr>
            <w:r>
              <w:rPr>
                <w:b w:val="0"/>
                <w:i w:val="0"/>
                <w:sz w:val="18"/>
              </w:rPr>
              <w:t>10,609</w:t>
            </w:r>
          </w:p>
        </w:tc>
        <w:tc>
          <w:tcPr>
            <w:tcW w:type="dxa" w:w="2378"/>
            <w:vAlign w:val="center"/>
            <w:tcMar>
              <w:top w:w="90" w:type="dxa"/>
              <w:left w:w="90" w:type="dxa"/>
              <w:bottom w:w="90" w:type="dxa"/>
              <w:right w:w="90" w:type="dxa"/>
            </w:tcMar>
          </w:tcPr>
          <w:p>
            <w:pPr>
              <w:spacing w:after="40" w:line="276" w:lineRule="auto"/>
            </w:pPr>
            <w:r>
              <w:rPr>
                <w:b w:val="0"/>
                <w:i w:val="0"/>
                <w:sz w:val="18"/>
              </w:rPr>
              <w:t>f34 + fWL</w:t>
            </w:r>
          </w:p>
        </w:tc>
      </w:tr>
      <w:tr>
        <w:trPr>
          <w:cantSplit/>
        </w:trPr>
        <w:tc>
          <w:tcPr>
            <w:tcW w:type="dxa" w:w="2226"/>
            <w:vAlign w:val="center"/>
            <w:tcMar>
              <w:top w:w="90" w:type="dxa"/>
              <w:left w:w="90" w:type="dxa"/>
              <w:bottom w:w="90" w:type="dxa"/>
              <w:right w:w="90" w:type="dxa"/>
            </w:tcMar>
          </w:tcPr>
          <w:p>
            <w:pPr>
              <w:spacing w:after="40" w:line="276" w:lineRule="auto"/>
            </w:pPr>
            <w:r>
              <w:rPr>
                <w:b w:val="0"/>
                <w:i w:val="0"/>
                <w:sz w:val="18"/>
              </w:rPr>
              <w:t>B8</w:t>
            </w:r>
          </w:p>
        </w:tc>
        <w:tc>
          <w:tcPr>
            <w:tcW w:type="dxa" w:w="2594"/>
            <w:vAlign w:val="center"/>
            <w:tcMar>
              <w:top w:w="90" w:type="dxa"/>
              <w:left w:w="90" w:type="dxa"/>
              <w:bottom w:w="90" w:type="dxa"/>
              <w:right w:w="90" w:type="dxa"/>
            </w:tcMar>
          </w:tcPr>
          <w:p>
            <w:pPr>
              <w:spacing w:after="40" w:line="276" w:lineRule="auto"/>
            </w:pPr>
            <w:r>
              <w:rPr>
                <w:b w:val="0"/>
                <w:i w:val="0"/>
                <w:sz w:val="18"/>
              </w:rPr>
              <w:t>11,000</w:t>
            </w:r>
          </w:p>
        </w:tc>
        <w:tc>
          <w:tcPr>
            <w:tcW w:type="dxa" w:w="2594"/>
            <w:vAlign w:val="center"/>
            <w:tcMar>
              <w:top w:w="90" w:type="dxa"/>
              <w:left w:w="90" w:type="dxa"/>
              <w:bottom w:w="90" w:type="dxa"/>
              <w:right w:w="90" w:type="dxa"/>
            </w:tcMar>
          </w:tcPr>
          <w:p>
            <w:pPr>
              <w:spacing w:after="40" w:line="276" w:lineRule="auto"/>
            </w:pPr>
            <w:r>
              <w:rPr>
                <w:b w:val="0"/>
                <w:i w:val="0"/>
                <w:sz w:val="18"/>
              </w:rPr>
              <w:t>14,005</w:t>
            </w:r>
          </w:p>
        </w:tc>
        <w:tc>
          <w:tcPr>
            <w:tcW w:type="dxa" w:w="2378"/>
            <w:vAlign w:val="center"/>
            <w:tcMar>
              <w:top w:w="90" w:type="dxa"/>
              <w:left w:w="90" w:type="dxa"/>
              <w:bottom w:w="90" w:type="dxa"/>
              <w:right w:w="90" w:type="dxa"/>
            </w:tcMar>
          </w:tcPr>
          <w:p>
            <w:pPr>
              <w:spacing w:after="40" w:line="276" w:lineRule="auto"/>
            </w:pPr>
            <w:r>
              <w:rPr>
                <w:b w:val="0"/>
                <w:i w:val="0"/>
                <w:sz w:val="18"/>
              </w:rPr>
              <w:t>f45</w:t>
            </w:r>
          </w:p>
        </w:tc>
      </w:tr>
      <w:tr>
        <w:trPr>
          <w:cantSplit/>
        </w:trPr>
        <w:tc>
          <w:tcPr>
            <w:tcW w:type="dxa" w:w="2226"/>
            <w:vAlign w:val="center"/>
            <w:tcMar>
              <w:top w:w="90" w:type="dxa"/>
              <w:left w:w="90" w:type="dxa"/>
              <w:bottom w:w="90" w:type="dxa"/>
              <w:right w:w="90" w:type="dxa"/>
            </w:tcMar>
          </w:tcPr>
          <w:p>
            <w:pPr>
              <w:spacing w:after="40" w:line="276" w:lineRule="auto"/>
            </w:pPr>
            <w:r>
              <w:rPr>
                <w:b w:val="0"/>
                <w:i w:val="0"/>
                <w:sz w:val="18"/>
              </w:rPr>
              <w:t>B9</w:t>
            </w:r>
          </w:p>
        </w:tc>
        <w:tc>
          <w:tcPr>
            <w:tcW w:type="dxa" w:w="2594"/>
            <w:vAlign w:val="center"/>
            <w:tcMar>
              <w:top w:w="90" w:type="dxa"/>
              <w:left w:w="90" w:type="dxa"/>
              <w:bottom w:w="90" w:type="dxa"/>
              <w:right w:w="90" w:type="dxa"/>
            </w:tcMar>
          </w:tcPr>
          <w:p>
            <w:pPr>
              <w:spacing w:after="40" w:line="276" w:lineRule="auto"/>
            </w:pPr>
            <w:r>
              <w:rPr>
                <w:b w:val="0"/>
                <w:i w:val="0"/>
                <w:sz w:val="18"/>
              </w:rPr>
              <w:t>11,500</w:t>
            </w:r>
          </w:p>
        </w:tc>
        <w:tc>
          <w:tcPr>
            <w:tcW w:type="dxa" w:w="2594"/>
            <w:vAlign w:val="center"/>
            <w:tcMar>
              <w:top w:w="90" w:type="dxa"/>
              <w:left w:w="90" w:type="dxa"/>
              <w:bottom w:w="90" w:type="dxa"/>
              <w:right w:w="90" w:type="dxa"/>
            </w:tcMar>
          </w:tcPr>
          <w:p>
            <w:pPr>
              <w:spacing w:after="40" w:line="276" w:lineRule="auto"/>
            </w:pPr>
            <w:r>
              <w:rPr>
                <w:b w:val="0"/>
                <w:i w:val="0"/>
                <w:sz w:val="18"/>
              </w:rPr>
              <w:t>12,900</w:t>
            </w:r>
          </w:p>
        </w:tc>
        <w:tc>
          <w:tcPr>
            <w:tcW w:type="dxa" w:w="2378"/>
            <w:vAlign w:val="center"/>
            <w:tcMar>
              <w:top w:w="90" w:type="dxa"/>
              <w:left w:w="90" w:type="dxa"/>
              <w:bottom w:w="90" w:type="dxa"/>
              <w:right w:w="90" w:type="dxa"/>
            </w:tcMar>
          </w:tcPr>
          <w:p>
            <w:pPr>
              <w:spacing w:after="40" w:line="276" w:lineRule="auto"/>
            </w:pPr>
            <w:r>
              <w:rPr>
                <w:b w:val="0"/>
                <w:i w:val="0"/>
                <w:sz w:val="18"/>
              </w:rPr>
              <w:t>f56 + f58</w:t>
            </w:r>
          </w:p>
        </w:tc>
      </w:tr>
      <w:tr>
        <w:trPr>
          <w:cantSplit/>
        </w:trPr>
        <w:tc>
          <w:tcPr>
            <w:tcW w:type="dxa" w:w="2226"/>
            <w:vAlign w:val="center"/>
            <w:tcMar>
              <w:top w:w="90" w:type="dxa"/>
              <w:left w:w="90" w:type="dxa"/>
              <w:bottom w:w="90" w:type="dxa"/>
              <w:right w:w="90" w:type="dxa"/>
            </w:tcMar>
          </w:tcPr>
          <w:p>
            <w:pPr>
              <w:spacing w:after="40" w:line="276" w:lineRule="auto"/>
            </w:pPr>
            <w:r>
              <w:rPr>
                <w:b w:val="0"/>
                <w:i w:val="0"/>
                <w:sz w:val="18"/>
              </w:rPr>
              <w:t>EC5</w:t>
            </w:r>
          </w:p>
        </w:tc>
        <w:tc>
          <w:tcPr>
            <w:tcW w:type="dxa" w:w="2594"/>
            <w:vAlign w:val="center"/>
            <w:tcMar>
              <w:top w:w="90" w:type="dxa"/>
              <w:left w:w="90" w:type="dxa"/>
              <w:bottom w:w="90" w:type="dxa"/>
              <w:right w:w="90" w:type="dxa"/>
            </w:tcMar>
          </w:tcPr>
          <w:p>
            <w:pPr>
              <w:spacing w:after="40" w:line="276" w:lineRule="auto"/>
            </w:pPr>
            <w:r>
              <w:rPr>
                <w:b w:val="0"/>
                <w:i w:val="0"/>
                <w:sz w:val="18"/>
              </w:rPr>
              <w:t>3,300</w:t>
            </w:r>
          </w:p>
        </w:tc>
        <w:tc>
          <w:tcPr>
            <w:tcW w:type="dxa" w:w="2594"/>
            <w:vAlign w:val="center"/>
            <w:tcMar>
              <w:top w:w="90" w:type="dxa"/>
              <w:left w:w="90" w:type="dxa"/>
              <w:bottom w:w="90" w:type="dxa"/>
              <w:right w:w="90" w:type="dxa"/>
            </w:tcMar>
          </w:tcPr>
          <w:p>
            <w:pPr>
              <w:spacing w:after="40" w:line="276" w:lineRule="auto"/>
            </w:pPr>
            <w:r>
              <w:rPr>
                <w:b w:val="0"/>
                <w:i w:val="0"/>
                <w:sz w:val="18"/>
              </w:rPr>
              <w:t>5,925</w:t>
            </w:r>
          </w:p>
        </w:tc>
        <w:tc>
          <w:tcPr>
            <w:tcW w:type="dxa" w:w="2378"/>
            <w:vAlign w:val="center"/>
            <w:tcMar>
              <w:top w:w="90" w:type="dxa"/>
              <w:left w:w="90" w:type="dxa"/>
              <w:bottom w:w="90" w:type="dxa"/>
              <w:right w:w="90" w:type="dxa"/>
            </w:tcMar>
          </w:tcPr>
          <w:p>
            <w:pPr>
              <w:spacing w:after="40" w:line="276" w:lineRule="auto"/>
            </w:pPr>
            <w:r>
              <w:rPr>
                <w:b w:val="0"/>
                <w:i w:val="0"/>
                <w:sz w:val="18"/>
              </w:rPr>
              <w:t>−f67</w:t>
            </w:r>
          </w:p>
        </w:tc>
      </w:tr>
      <w:tr>
        <w:trPr>
          <w:cantSplit/>
        </w:trPr>
        <w:tc>
          <w:tcPr>
            <w:tcW w:type="dxa" w:w="2226"/>
            <w:vAlign w:val="center"/>
            <w:tcMar>
              <w:top w:w="90" w:type="dxa"/>
              <w:left w:w="90" w:type="dxa"/>
              <w:bottom w:w="90" w:type="dxa"/>
              <w:right w:w="90" w:type="dxa"/>
            </w:tcMar>
          </w:tcPr>
          <w:p>
            <w:pPr>
              <w:spacing w:after="40" w:line="276" w:lineRule="auto"/>
            </w:pPr>
            <w:r>
              <w:rPr>
                <w:b w:val="0"/>
                <w:i w:val="0"/>
                <w:sz w:val="18"/>
              </w:rPr>
              <w:t>LE1</w:t>
            </w:r>
          </w:p>
        </w:tc>
        <w:tc>
          <w:tcPr>
            <w:tcW w:type="dxa" w:w="2594"/>
            <w:vAlign w:val="center"/>
            <w:tcMar>
              <w:top w:w="90" w:type="dxa"/>
              <w:left w:w="90" w:type="dxa"/>
              <w:bottom w:w="90" w:type="dxa"/>
              <w:right w:w="90" w:type="dxa"/>
            </w:tcMar>
          </w:tcPr>
          <w:p>
            <w:pPr>
              <w:spacing w:after="40" w:line="276" w:lineRule="auto"/>
            </w:pPr>
            <w:r>
              <w:rPr>
                <w:b w:val="0"/>
                <w:i w:val="0"/>
                <w:sz w:val="18"/>
              </w:rPr>
              <w:t>11,223</w:t>
            </w:r>
          </w:p>
        </w:tc>
        <w:tc>
          <w:tcPr>
            <w:tcW w:type="dxa" w:w="2594"/>
            <w:vAlign w:val="center"/>
            <w:tcMar>
              <w:top w:w="90" w:type="dxa"/>
              <w:left w:w="90" w:type="dxa"/>
              <w:bottom w:w="90" w:type="dxa"/>
              <w:right w:w="90" w:type="dxa"/>
            </w:tcMar>
          </w:tcPr>
          <w:p>
            <w:pPr>
              <w:spacing w:after="40" w:line="276" w:lineRule="auto"/>
            </w:pPr>
            <w:r>
              <w:rPr>
                <w:b w:val="0"/>
                <w:i w:val="0"/>
                <w:sz w:val="18"/>
              </w:rPr>
              <w:t>13,917</w:t>
            </w:r>
          </w:p>
        </w:tc>
        <w:tc>
          <w:tcPr>
            <w:tcW w:type="dxa" w:w="2378"/>
            <w:vAlign w:val="center"/>
            <w:tcMar>
              <w:top w:w="90" w:type="dxa"/>
              <w:left w:w="90" w:type="dxa"/>
              <w:bottom w:w="90" w:type="dxa"/>
              <w:right w:w="90" w:type="dxa"/>
            </w:tcMar>
          </w:tcPr>
          <w:p>
            <w:pPr>
              <w:spacing w:after="40" w:line="276" w:lineRule="auto"/>
            </w:pPr>
            <w:r>
              <w:rPr>
                <w:b w:val="0"/>
                <w:i w:val="0"/>
                <w:sz w:val="18"/>
              </w:rPr>
              <w:t>f6,11 + f10,11</w:t>
            </w:r>
          </w:p>
        </w:tc>
      </w:tr>
      <w:tr>
        <w:trPr>
          <w:cantSplit/>
        </w:trPr>
        <w:tc>
          <w:tcPr>
            <w:tcW w:type="dxa" w:w="2226"/>
            <w:vAlign w:val="center"/>
            <w:tcMar>
              <w:top w:w="90" w:type="dxa"/>
              <w:left w:w="90" w:type="dxa"/>
              <w:bottom w:w="90" w:type="dxa"/>
              <w:right w:w="90" w:type="dxa"/>
            </w:tcMar>
          </w:tcPr>
          <w:p>
            <w:pPr>
              <w:spacing w:after="40" w:line="276" w:lineRule="auto"/>
            </w:pPr>
            <w:r>
              <w:rPr>
                <w:b w:val="0"/>
                <w:i w:val="0"/>
                <w:sz w:val="18"/>
              </w:rPr>
              <w:t>B13</w:t>
            </w:r>
          </w:p>
        </w:tc>
        <w:tc>
          <w:tcPr>
            <w:tcW w:type="dxa" w:w="2594"/>
            <w:vAlign w:val="center"/>
            <w:tcMar>
              <w:top w:w="90" w:type="dxa"/>
              <w:left w:w="90" w:type="dxa"/>
              <w:bottom w:w="90" w:type="dxa"/>
              <w:right w:w="90" w:type="dxa"/>
            </w:tcMar>
          </w:tcPr>
          <w:p>
            <w:pPr>
              <w:spacing w:after="40" w:line="276" w:lineRule="auto"/>
            </w:pPr>
            <w:r>
              <w:rPr>
                <w:b w:val="0"/>
                <w:i w:val="0"/>
                <w:sz w:val="18"/>
              </w:rPr>
              <w:t>3,500</w:t>
            </w:r>
          </w:p>
        </w:tc>
        <w:tc>
          <w:tcPr>
            <w:tcW w:type="dxa" w:w="2594"/>
            <w:vAlign w:val="center"/>
            <w:tcMar>
              <w:top w:w="90" w:type="dxa"/>
              <w:left w:w="90" w:type="dxa"/>
              <w:bottom w:w="90" w:type="dxa"/>
              <w:right w:w="90" w:type="dxa"/>
            </w:tcMar>
          </w:tcPr>
          <w:p>
            <w:pPr>
              <w:spacing w:after="40" w:line="276" w:lineRule="auto"/>
            </w:pPr>
            <w:r>
              <w:rPr>
                <w:b w:val="0"/>
                <w:i w:val="0"/>
                <w:sz w:val="18"/>
              </w:rPr>
              <w:t>6,575</w:t>
            </w:r>
          </w:p>
        </w:tc>
        <w:tc>
          <w:tcPr>
            <w:tcW w:type="dxa" w:w="2378"/>
            <w:vAlign w:val="center"/>
            <w:tcMar>
              <w:top w:w="90" w:type="dxa"/>
              <w:left w:w="90" w:type="dxa"/>
              <w:bottom w:w="90" w:type="dxa"/>
              <w:right w:w="90" w:type="dxa"/>
            </w:tcMar>
          </w:tcPr>
          <w:p>
            <w:pPr>
              <w:spacing w:after="40" w:line="276" w:lineRule="auto"/>
            </w:pPr>
            <w:r>
              <w:rPr>
                <w:b w:val="0"/>
                <w:i w:val="0"/>
                <w:sz w:val="18"/>
              </w:rPr>
              <w:t>−f89 + f9,10</w:t>
            </w:r>
          </w:p>
        </w:tc>
      </w:tr>
      <w:tr>
        <w:trPr>
          <w:cantSplit/>
        </w:trPr>
        <w:tc>
          <w:tcPr>
            <w:tcW w:type="dxa" w:w="2226"/>
            <w:vAlign w:val="center"/>
            <w:tcMar>
              <w:top w:w="90" w:type="dxa"/>
              <w:left w:w="90" w:type="dxa"/>
              <w:bottom w:w="90" w:type="dxa"/>
              <w:right w:w="90" w:type="dxa"/>
            </w:tcMar>
          </w:tcPr>
          <w:p>
            <w:pPr>
              <w:spacing w:after="40" w:line="276" w:lineRule="auto"/>
            </w:pPr>
            <w:r>
              <w:rPr>
                <w:b w:val="0"/>
                <w:i w:val="0"/>
                <w:sz w:val="18"/>
              </w:rPr>
              <w:t>Western Link</w:t>
            </w:r>
          </w:p>
        </w:tc>
        <w:tc>
          <w:tcPr>
            <w:tcW w:type="dxa" w:w="2594"/>
            <w:vAlign w:val="center"/>
            <w:tcMar>
              <w:top w:w="90" w:type="dxa"/>
              <w:left w:w="90" w:type="dxa"/>
              <w:bottom w:w="90" w:type="dxa"/>
              <w:right w:w="90" w:type="dxa"/>
            </w:tcMar>
          </w:tcPr>
          <w:p>
            <w:pPr>
              <w:spacing w:after="40" w:line="276" w:lineRule="auto"/>
            </w:pPr>
            <w:r>
              <w:rPr>
                <w:b w:val="0"/>
                <w:i w:val="0"/>
                <w:sz w:val="18"/>
              </w:rPr>
              <w:t>2,200</w:t>
            </w:r>
          </w:p>
        </w:tc>
        <w:tc>
          <w:tcPr>
            <w:tcW w:type="dxa" w:w="2594"/>
            <w:vAlign w:val="center"/>
            <w:tcMar>
              <w:top w:w="90" w:type="dxa"/>
              <w:left w:w="90" w:type="dxa"/>
              <w:bottom w:w="90" w:type="dxa"/>
              <w:right w:w="90" w:type="dxa"/>
            </w:tcMar>
          </w:tcPr>
          <w:p>
            <w:pPr>
              <w:spacing w:after="40" w:line="276" w:lineRule="auto"/>
            </w:pPr>
            <w:r>
              <w:rPr>
                <w:b w:val="0"/>
                <w:i w:val="0"/>
                <w:sz w:val="18"/>
              </w:rPr>
              <w:t>2,200</w:t>
            </w:r>
          </w:p>
        </w:tc>
        <w:tc>
          <w:tcPr>
            <w:tcW w:type="dxa" w:w="2378"/>
            <w:vAlign w:val="center"/>
            <w:tcMar>
              <w:top w:w="90" w:type="dxa"/>
              <w:left w:w="90" w:type="dxa"/>
              <w:bottom w:w="90" w:type="dxa"/>
              <w:right w:w="90" w:type="dxa"/>
            </w:tcMar>
          </w:tcPr>
          <w:p>
            <w:pPr>
              <w:spacing w:after="40" w:line="276" w:lineRule="auto"/>
            </w:pPr>
            <w:r>
              <w:rPr>
                <w:b w:val="0"/>
                <w:i w:val="0"/>
                <w:sz w:val="18"/>
              </w:rPr>
              <w:t>fWL</w:t>
            </w:r>
          </w:p>
        </w:tc>
      </w:tr>
    </w:tbl>
    <w:p>
      <w:pPr>
        <w:spacing w:after="20"/>
      </w:pPr>
    </w:p>
    <w:p>
      <w:r>
        <w:rPr>
          <w:b w:val="0"/>
          <w:i w:val="0"/>
        </w:rPr>
        <w:t>Western Link 的传输同时占用 B6 与 B7a 的既定容量。8 个地理边界的反向能力采用正向能力的对称假设，Western Link 输入采用双向额定值。基础约简网络对 T6、T8、T10 的边界成员定义相同，三者之间的模型传输能力缺少有限上界。其 14 维走廊空间中，节点关联矩阵秩为 10，地理边界矩阵秩为 8，加入 HVDC 限额后秩为 9；5 维约束零空间含 3 维循环流和 2 维节点净传输方向。</w:t>
      </w:r>
    </w:p>
    <w:p>
      <w:r>
        <w:rPr>
          <w:b w:val="0"/>
          <w:i w:val="0"/>
        </w:rPr>
        <w:t>热容量敏感性为南部 8 条走廊补充单独限额，同时保留地理边界。构造方法将区内已知变电站收缩为区域节点，保留未知中间节点，排除其他已知区，再以线路网络的最大流／最小割计算走廊容量。并联线路容量相加，串联路径受其瓶颈控制；MVA 按功率因数 1 换算为 MW。普通夏季与冬季输入如下，另设的上界敏感性使用各自输入文件。</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2"/>
        <w:gridCol w:w="3170"/>
        <w:gridCol w:w="3170"/>
      </w:tblGrid>
      <w:tr>
        <w:trPr>
          <w:cantSplit/>
          <w:tblHeader w:val="true"/>
        </w:trPr>
        <w:tc>
          <w:tcPr>
            <w:tcW w:type="dxa" w:w="3452"/>
            <w:vAlign w:val="center"/>
            <w:tcMar>
              <w:top w:w="90" w:type="dxa"/>
              <w:left w:w="90" w:type="dxa"/>
              <w:bottom w:w="90" w:type="dxa"/>
              <w:right w:w="90" w:type="dxa"/>
            </w:tcMar>
            <w:shd w:fill="EEEEEE"/>
          </w:tcPr>
          <w:p>
            <w:pPr>
              <w:spacing w:after="40" w:line="276" w:lineRule="auto"/>
            </w:pPr>
            <w:r>
              <w:rPr>
                <w:b/>
                <w:i w:val="0"/>
                <w:sz w:val="18"/>
              </w:rPr>
              <w:t>走廊</w:t>
            </w:r>
          </w:p>
        </w:tc>
        <w:tc>
          <w:tcPr>
            <w:tcW w:type="dxa" w:w="3170"/>
            <w:vAlign w:val="center"/>
            <w:tcMar>
              <w:top w:w="90" w:type="dxa"/>
              <w:left w:w="90" w:type="dxa"/>
              <w:bottom w:w="90" w:type="dxa"/>
              <w:right w:w="90" w:type="dxa"/>
            </w:tcMar>
            <w:shd w:fill="EEEEEE"/>
          </w:tcPr>
          <w:p>
            <w:pPr>
              <w:spacing w:after="40" w:line="276" w:lineRule="auto"/>
            </w:pPr>
            <w:r>
              <w:rPr>
                <w:b/>
                <w:i w:val="0"/>
                <w:sz w:val="18"/>
              </w:rPr>
              <w:t>夏季 MW</w:t>
            </w:r>
          </w:p>
        </w:tc>
        <w:tc>
          <w:tcPr>
            <w:tcW w:type="dxa" w:w="3170"/>
            <w:vAlign w:val="center"/>
            <w:tcMar>
              <w:top w:w="90" w:type="dxa"/>
              <w:left w:w="90" w:type="dxa"/>
              <w:bottom w:w="90" w:type="dxa"/>
              <w:right w:w="90" w:type="dxa"/>
            </w:tcMar>
            <w:shd w:fill="EEEEEE"/>
          </w:tcPr>
          <w:p>
            <w:pPr>
              <w:spacing w:after="40" w:line="276" w:lineRule="auto"/>
            </w:pPr>
            <w:r>
              <w:rPr>
                <w:b/>
                <w:i w:val="0"/>
                <w:sz w:val="18"/>
              </w:rPr>
              <w:t>冬季 MW</w:t>
            </w:r>
          </w:p>
        </w:tc>
      </w:tr>
      <w:tr>
        <w:trPr>
          <w:cantSplit/>
        </w:trPr>
        <w:tc>
          <w:tcPr>
            <w:tcW w:type="dxa" w:w="3452"/>
            <w:vAlign w:val="center"/>
            <w:tcMar>
              <w:top w:w="90" w:type="dxa"/>
              <w:left w:w="90" w:type="dxa"/>
              <w:bottom w:w="90" w:type="dxa"/>
              <w:right w:w="90" w:type="dxa"/>
            </w:tcMar>
          </w:tcPr>
          <w:p>
            <w:pPr>
              <w:spacing w:after="40" w:line="276" w:lineRule="auto"/>
            </w:pPr>
            <w:r>
              <w:rPr>
                <w:b w:val="0"/>
                <w:i w:val="0"/>
                <w:sz w:val="18"/>
              </w:rPr>
              <w:t>T5–T6</w:t>
            </w:r>
          </w:p>
        </w:tc>
        <w:tc>
          <w:tcPr>
            <w:tcW w:type="dxa" w:w="3170"/>
            <w:vAlign w:val="center"/>
            <w:tcMar>
              <w:top w:w="90" w:type="dxa"/>
              <w:left w:w="90" w:type="dxa"/>
              <w:bottom w:w="90" w:type="dxa"/>
              <w:right w:w="90" w:type="dxa"/>
            </w:tcMar>
          </w:tcPr>
          <w:p>
            <w:pPr>
              <w:spacing w:after="40" w:line="276" w:lineRule="auto"/>
            </w:pPr>
            <w:r>
              <w:rPr>
                <w:b w:val="0"/>
                <w:i w:val="0"/>
                <w:sz w:val="18"/>
              </w:rPr>
              <w:t>19,086</w:t>
            </w:r>
          </w:p>
        </w:tc>
        <w:tc>
          <w:tcPr>
            <w:tcW w:type="dxa" w:w="3170"/>
            <w:vAlign w:val="center"/>
            <w:tcMar>
              <w:top w:w="90" w:type="dxa"/>
              <w:left w:w="90" w:type="dxa"/>
              <w:bottom w:w="90" w:type="dxa"/>
              <w:right w:w="90" w:type="dxa"/>
            </w:tcMar>
          </w:tcPr>
          <w:p>
            <w:pPr>
              <w:spacing w:after="40" w:line="276" w:lineRule="auto"/>
            </w:pPr>
            <w:r>
              <w:rPr>
                <w:b w:val="0"/>
                <w:i w:val="0"/>
                <w:sz w:val="18"/>
              </w:rPr>
              <w:t>21,052</w:t>
            </w:r>
          </w:p>
        </w:tc>
      </w:tr>
      <w:tr>
        <w:trPr>
          <w:cantSplit/>
        </w:trPr>
        <w:tc>
          <w:tcPr>
            <w:tcW w:type="dxa" w:w="3452"/>
            <w:vAlign w:val="center"/>
            <w:tcMar>
              <w:top w:w="90" w:type="dxa"/>
              <w:left w:w="90" w:type="dxa"/>
              <w:bottom w:w="90" w:type="dxa"/>
              <w:right w:w="90" w:type="dxa"/>
            </w:tcMar>
          </w:tcPr>
          <w:p>
            <w:pPr>
              <w:spacing w:after="40" w:line="276" w:lineRule="auto"/>
            </w:pPr>
            <w:r>
              <w:rPr>
                <w:b w:val="0"/>
                <w:i w:val="0"/>
                <w:sz w:val="18"/>
              </w:rPr>
              <w:t>T5–T8</w:t>
            </w:r>
          </w:p>
        </w:tc>
        <w:tc>
          <w:tcPr>
            <w:tcW w:type="dxa" w:w="3170"/>
            <w:vAlign w:val="center"/>
            <w:tcMar>
              <w:top w:w="90" w:type="dxa"/>
              <w:left w:w="90" w:type="dxa"/>
              <w:bottom w:w="90" w:type="dxa"/>
              <w:right w:w="90" w:type="dxa"/>
            </w:tcMar>
          </w:tcPr>
          <w:p>
            <w:pPr>
              <w:spacing w:after="40" w:line="276" w:lineRule="auto"/>
            </w:pPr>
            <w:r>
              <w:rPr>
                <w:b w:val="0"/>
                <w:i w:val="0"/>
                <w:sz w:val="18"/>
              </w:rPr>
              <w:t>3,424</w:t>
            </w:r>
          </w:p>
        </w:tc>
        <w:tc>
          <w:tcPr>
            <w:tcW w:type="dxa" w:w="3170"/>
            <w:vAlign w:val="center"/>
            <w:tcMar>
              <w:top w:w="90" w:type="dxa"/>
              <w:left w:w="90" w:type="dxa"/>
              <w:bottom w:w="90" w:type="dxa"/>
              <w:right w:w="90" w:type="dxa"/>
            </w:tcMar>
          </w:tcPr>
          <w:p>
            <w:pPr>
              <w:spacing w:after="40" w:line="276" w:lineRule="auto"/>
            </w:pPr>
            <w:r>
              <w:rPr>
                <w:b w:val="0"/>
                <w:i w:val="0"/>
                <w:sz w:val="18"/>
              </w:rPr>
              <w:t>3,934</w:t>
            </w:r>
          </w:p>
        </w:tc>
      </w:tr>
      <w:tr>
        <w:trPr>
          <w:cantSplit/>
        </w:trPr>
        <w:tc>
          <w:tcPr>
            <w:tcW w:type="dxa" w:w="3452"/>
            <w:vAlign w:val="center"/>
            <w:tcMar>
              <w:top w:w="90" w:type="dxa"/>
              <w:left w:w="90" w:type="dxa"/>
              <w:bottom w:w="90" w:type="dxa"/>
              <w:right w:w="90" w:type="dxa"/>
            </w:tcMar>
          </w:tcPr>
          <w:p>
            <w:pPr>
              <w:spacing w:after="40" w:line="276" w:lineRule="auto"/>
            </w:pPr>
            <w:r>
              <w:rPr>
                <w:b w:val="0"/>
                <w:i w:val="0"/>
                <w:sz w:val="18"/>
              </w:rPr>
              <w:t>T6–T8</w:t>
            </w:r>
          </w:p>
        </w:tc>
        <w:tc>
          <w:tcPr>
            <w:tcW w:type="dxa" w:w="3170"/>
            <w:vAlign w:val="center"/>
            <w:tcMar>
              <w:top w:w="90" w:type="dxa"/>
              <w:left w:w="90" w:type="dxa"/>
              <w:bottom w:w="90" w:type="dxa"/>
              <w:right w:w="90" w:type="dxa"/>
            </w:tcMar>
          </w:tcPr>
          <w:p>
            <w:pPr>
              <w:spacing w:after="40" w:line="276" w:lineRule="auto"/>
            </w:pPr>
            <w:r>
              <w:rPr>
                <w:b w:val="0"/>
                <w:i w:val="0"/>
                <w:sz w:val="18"/>
              </w:rPr>
              <w:t>4,436</w:t>
            </w:r>
          </w:p>
        </w:tc>
        <w:tc>
          <w:tcPr>
            <w:tcW w:type="dxa" w:w="3170"/>
            <w:vAlign w:val="center"/>
            <w:tcMar>
              <w:top w:w="90" w:type="dxa"/>
              <w:left w:w="90" w:type="dxa"/>
              <w:bottom w:w="90" w:type="dxa"/>
              <w:right w:w="90" w:type="dxa"/>
            </w:tcMar>
          </w:tcPr>
          <w:p>
            <w:pPr>
              <w:spacing w:after="40" w:line="276" w:lineRule="auto"/>
            </w:pPr>
            <w:r>
              <w:rPr>
                <w:b w:val="0"/>
                <w:i w:val="0"/>
                <w:sz w:val="18"/>
              </w:rPr>
              <w:t>5,558</w:t>
            </w:r>
          </w:p>
        </w:tc>
      </w:tr>
      <w:tr>
        <w:trPr>
          <w:cantSplit/>
        </w:trPr>
        <w:tc>
          <w:tcPr>
            <w:tcW w:type="dxa" w:w="3452"/>
            <w:vAlign w:val="center"/>
            <w:tcMar>
              <w:top w:w="90" w:type="dxa"/>
              <w:left w:w="90" w:type="dxa"/>
              <w:bottom w:w="90" w:type="dxa"/>
              <w:right w:w="90" w:type="dxa"/>
            </w:tcMar>
          </w:tcPr>
          <w:p>
            <w:pPr>
              <w:spacing w:after="40" w:line="276" w:lineRule="auto"/>
            </w:pPr>
            <w:r>
              <w:rPr>
                <w:b w:val="0"/>
                <w:i w:val="0"/>
                <w:sz w:val="18"/>
              </w:rPr>
              <w:t>T6–T11</w:t>
            </w:r>
          </w:p>
        </w:tc>
        <w:tc>
          <w:tcPr>
            <w:tcW w:type="dxa" w:w="3170"/>
            <w:vAlign w:val="center"/>
            <w:tcMar>
              <w:top w:w="90" w:type="dxa"/>
              <w:left w:w="90" w:type="dxa"/>
              <w:bottom w:w="90" w:type="dxa"/>
              <w:right w:w="90" w:type="dxa"/>
            </w:tcMar>
          </w:tcPr>
          <w:p>
            <w:pPr>
              <w:spacing w:after="40" w:line="276" w:lineRule="auto"/>
            </w:pPr>
            <w:r>
              <w:rPr>
                <w:b w:val="0"/>
                <w:i w:val="0"/>
                <w:sz w:val="18"/>
              </w:rPr>
              <w:t>16,684</w:t>
            </w:r>
          </w:p>
        </w:tc>
        <w:tc>
          <w:tcPr>
            <w:tcW w:type="dxa" w:w="3170"/>
            <w:vAlign w:val="center"/>
            <w:tcMar>
              <w:top w:w="90" w:type="dxa"/>
              <w:left w:w="90" w:type="dxa"/>
              <w:bottom w:w="90" w:type="dxa"/>
              <w:right w:w="90" w:type="dxa"/>
            </w:tcMar>
          </w:tcPr>
          <w:p>
            <w:pPr>
              <w:spacing w:after="40" w:line="276" w:lineRule="auto"/>
            </w:pPr>
            <w:r>
              <w:rPr>
                <w:b w:val="0"/>
                <w:i w:val="0"/>
                <w:sz w:val="18"/>
              </w:rPr>
              <w:t>19,849</w:t>
            </w:r>
          </w:p>
        </w:tc>
      </w:tr>
      <w:tr>
        <w:trPr>
          <w:cantSplit/>
        </w:trPr>
        <w:tc>
          <w:tcPr>
            <w:tcW w:type="dxa" w:w="3452"/>
            <w:vAlign w:val="center"/>
            <w:tcMar>
              <w:top w:w="90" w:type="dxa"/>
              <w:left w:w="90" w:type="dxa"/>
              <w:bottom w:w="90" w:type="dxa"/>
              <w:right w:w="90" w:type="dxa"/>
            </w:tcMar>
          </w:tcPr>
          <w:p>
            <w:pPr>
              <w:spacing w:after="40" w:line="276" w:lineRule="auto"/>
            </w:pPr>
            <w:r>
              <w:rPr>
                <w:b w:val="0"/>
                <w:i w:val="0"/>
                <w:sz w:val="18"/>
              </w:rPr>
              <w:t>T8–T9</w:t>
            </w:r>
          </w:p>
        </w:tc>
        <w:tc>
          <w:tcPr>
            <w:tcW w:type="dxa" w:w="3170"/>
            <w:vAlign w:val="center"/>
            <w:tcMar>
              <w:top w:w="90" w:type="dxa"/>
              <w:left w:w="90" w:type="dxa"/>
              <w:bottom w:w="90" w:type="dxa"/>
              <w:right w:w="90" w:type="dxa"/>
            </w:tcMar>
          </w:tcPr>
          <w:p>
            <w:pPr>
              <w:spacing w:after="40" w:line="276" w:lineRule="auto"/>
            </w:pPr>
            <w:r>
              <w:rPr>
                <w:b w:val="0"/>
                <w:i w:val="0"/>
                <w:sz w:val="18"/>
              </w:rPr>
              <w:t>8,088</w:t>
            </w:r>
          </w:p>
        </w:tc>
        <w:tc>
          <w:tcPr>
            <w:tcW w:type="dxa" w:w="3170"/>
            <w:vAlign w:val="center"/>
            <w:tcMar>
              <w:top w:w="90" w:type="dxa"/>
              <w:left w:w="90" w:type="dxa"/>
              <w:bottom w:w="90" w:type="dxa"/>
              <w:right w:w="90" w:type="dxa"/>
            </w:tcMar>
          </w:tcPr>
          <w:p>
            <w:pPr>
              <w:spacing w:after="40" w:line="276" w:lineRule="auto"/>
            </w:pPr>
            <w:r>
              <w:rPr>
                <w:b w:val="0"/>
                <w:i w:val="0"/>
                <w:sz w:val="18"/>
              </w:rPr>
              <w:t>9,217</w:t>
            </w:r>
          </w:p>
        </w:tc>
      </w:tr>
      <w:tr>
        <w:trPr>
          <w:cantSplit/>
        </w:trPr>
        <w:tc>
          <w:tcPr>
            <w:tcW w:type="dxa" w:w="3452"/>
            <w:vAlign w:val="center"/>
            <w:tcMar>
              <w:top w:w="90" w:type="dxa"/>
              <w:left w:w="90" w:type="dxa"/>
              <w:bottom w:w="90" w:type="dxa"/>
              <w:right w:w="90" w:type="dxa"/>
            </w:tcMar>
          </w:tcPr>
          <w:p>
            <w:pPr>
              <w:spacing w:after="40" w:line="276" w:lineRule="auto"/>
            </w:pPr>
            <w:r>
              <w:rPr>
                <w:b w:val="0"/>
                <w:i w:val="0"/>
                <w:sz w:val="18"/>
              </w:rPr>
              <w:t>T8–T10</w:t>
            </w:r>
          </w:p>
        </w:tc>
        <w:tc>
          <w:tcPr>
            <w:tcW w:type="dxa" w:w="3170"/>
            <w:vAlign w:val="center"/>
            <w:tcMar>
              <w:top w:w="90" w:type="dxa"/>
              <w:left w:w="90" w:type="dxa"/>
              <w:bottom w:w="90" w:type="dxa"/>
              <w:right w:w="90" w:type="dxa"/>
            </w:tcMar>
          </w:tcPr>
          <w:p>
            <w:pPr>
              <w:spacing w:after="40" w:line="276" w:lineRule="auto"/>
            </w:pPr>
            <w:r>
              <w:rPr>
                <w:b w:val="0"/>
                <w:i w:val="0"/>
                <w:sz w:val="18"/>
              </w:rPr>
              <w:t>6,470</w:t>
            </w:r>
          </w:p>
        </w:tc>
        <w:tc>
          <w:tcPr>
            <w:tcW w:type="dxa" w:w="3170"/>
            <w:vAlign w:val="center"/>
            <w:tcMar>
              <w:top w:w="90" w:type="dxa"/>
              <w:left w:w="90" w:type="dxa"/>
              <w:bottom w:w="90" w:type="dxa"/>
              <w:right w:w="90" w:type="dxa"/>
            </w:tcMar>
          </w:tcPr>
          <w:p>
            <w:pPr>
              <w:spacing w:after="40" w:line="276" w:lineRule="auto"/>
            </w:pPr>
            <w:r>
              <w:rPr>
                <w:b w:val="0"/>
                <w:i w:val="0"/>
                <w:sz w:val="18"/>
              </w:rPr>
              <w:t>7,834</w:t>
            </w:r>
          </w:p>
        </w:tc>
      </w:tr>
      <w:tr>
        <w:trPr>
          <w:cantSplit/>
        </w:trPr>
        <w:tc>
          <w:tcPr>
            <w:tcW w:type="dxa" w:w="3452"/>
            <w:vAlign w:val="center"/>
            <w:tcMar>
              <w:top w:w="90" w:type="dxa"/>
              <w:left w:w="90" w:type="dxa"/>
              <w:bottom w:w="90" w:type="dxa"/>
              <w:right w:w="90" w:type="dxa"/>
            </w:tcMar>
          </w:tcPr>
          <w:p>
            <w:pPr>
              <w:spacing w:after="40" w:line="276" w:lineRule="auto"/>
            </w:pPr>
            <w:r>
              <w:rPr>
                <w:b w:val="0"/>
                <w:i w:val="0"/>
                <w:sz w:val="18"/>
              </w:rPr>
              <w:t>T9–T10</w:t>
            </w:r>
          </w:p>
        </w:tc>
        <w:tc>
          <w:tcPr>
            <w:tcW w:type="dxa" w:w="3170"/>
            <w:vAlign w:val="center"/>
            <w:tcMar>
              <w:top w:w="90" w:type="dxa"/>
              <w:left w:w="90" w:type="dxa"/>
              <w:bottom w:w="90" w:type="dxa"/>
              <w:right w:w="90" w:type="dxa"/>
            </w:tcMar>
          </w:tcPr>
          <w:p>
            <w:pPr>
              <w:spacing w:after="40" w:line="276" w:lineRule="auto"/>
            </w:pPr>
            <w:r>
              <w:rPr>
                <w:b w:val="0"/>
                <w:i w:val="0"/>
                <w:sz w:val="18"/>
              </w:rPr>
              <w:t>4,434</w:t>
            </w:r>
          </w:p>
        </w:tc>
        <w:tc>
          <w:tcPr>
            <w:tcW w:type="dxa" w:w="3170"/>
            <w:vAlign w:val="center"/>
            <w:tcMar>
              <w:top w:w="90" w:type="dxa"/>
              <w:left w:w="90" w:type="dxa"/>
              <w:bottom w:w="90" w:type="dxa"/>
              <w:right w:w="90" w:type="dxa"/>
            </w:tcMar>
          </w:tcPr>
          <w:p>
            <w:pPr>
              <w:spacing w:after="40" w:line="276" w:lineRule="auto"/>
            </w:pPr>
            <w:r>
              <w:rPr>
                <w:b w:val="0"/>
                <w:i w:val="0"/>
                <w:sz w:val="18"/>
              </w:rPr>
              <w:t>5,558</w:t>
            </w:r>
          </w:p>
        </w:tc>
      </w:tr>
      <w:tr>
        <w:trPr>
          <w:cantSplit/>
        </w:trPr>
        <w:tc>
          <w:tcPr>
            <w:tcW w:type="dxa" w:w="3452"/>
            <w:vAlign w:val="center"/>
            <w:tcMar>
              <w:top w:w="90" w:type="dxa"/>
              <w:left w:w="90" w:type="dxa"/>
              <w:bottom w:w="90" w:type="dxa"/>
              <w:right w:w="90" w:type="dxa"/>
            </w:tcMar>
          </w:tcPr>
          <w:p>
            <w:pPr>
              <w:spacing w:after="40" w:line="276" w:lineRule="auto"/>
            </w:pPr>
            <w:r>
              <w:rPr>
                <w:b w:val="0"/>
                <w:i w:val="0"/>
                <w:sz w:val="18"/>
              </w:rPr>
              <w:t>T10–T11</w:t>
            </w:r>
          </w:p>
        </w:tc>
        <w:tc>
          <w:tcPr>
            <w:tcW w:type="dxa" w:w="3170"/>
            <w:vAlign w:val="center"/>
            <w:tcMar>
              <w:top w:w="90" w:type="dxa"/>
              <w:left w:w="90" w:type="dxa"/>
              <w:bottom w:w="90" w:type="dxa"/>
              <w:right w:w="90" w:type="dxa"/>
            </w:tcMar>
          </w:tcPr>
          <w:p>
            <w:pPr>
              <w:spacing w:after="40" w:line="276" w:lineRule="auto"/>
            </w:pPr>
            <w:r>
              <w:rPr>
                <w:b w:val="0"/>
                <w:i w:val="0"/>
                <w:sz w:val="18"/>
              </w:rPr>
              <w:t>6,587</w:t>
            </w:r>
          </w:p>
        </w:tc>
        <w:tc>
          <w:tcPr>
            <w:tcW w:type="dxa" w:w="3170"/>
            <w:vAlign w:val="center"/>
            <w:tcMar>
              <w:top w:w="90" w:type="dxa"/>
              <w:left w:w="90" w:type="dxa"/>
              <w:bottom w:w="90" w:type="dxa"/>
              <w:right w:w="90" w:type="dxa"/>
            </w:tcMar>
          </w:tcPr>
          <w:p>
            <w:pPr>
              <w:spacing w:after="40" w:line="276" w:lineRule="auto"/>
            </w:pPr>
            <w:r>
              <w:rPr>
                <w:b w:val="0"/>
                <w:i w:val="0"/>
                <w:sz w:val="18"/>
              </w:rPr>
              <w:t>7,500</w:t>
            </w:r>
          </w:p>
        </w:tc>
      </w:tr>
    </w:tbl>
    <w:p>
      <w:pPr>
        <w:spacing w:after="20"/>
      </w:pPr>
    </w:p>
    <w:p>
      <w:pPr>
        <w:pStyle w:val="Heading2"/>
      </w:pPr>
      <w:r>
        <w:rPr>
          <w:b w:val="0"/>
          <w:i w:val="0"/>
        </w:rPr>
        <w:t>直流网络调度</w:t>
      </w:r>
    </w:p>
    <w:p>
      <w:pPr>
        <w:keepNext/>
      </w:pPr>
      <w:r>
        <w:rPr>
          <w:b w:val="0"/>
          <w:i w:val="0"/>
        </w:rPr>
        <w:t>直流网络模块在完整时序上联合选择发电、储能运行和节点电压相角。</w:t>
      </w:r>
      <w:r>
        <w:rPr>
          <w:rFonts w:ascii="DejaVu Sans Mono" w:hAnsi="DejaVu Sans Mono"/>
          <w:b w:val="0"/>
          <w:i w:val="0"/>
          <w:sz w:val="17"/>
        </w:rPr>
        <w:t>ReferenceDCNetworkPSM</w:t>
      </w:r>
      <w:r>
        <w:rPr>
          <w:b w:val="0"/>
          <w:i w:val="0"/>
        </w:rPr>
        <w:t xml:space="preserve"> 在 </w:t>
      </w:r>
      <w:r>
        <w:rPr>
          <w:rFonts w:ascii="DejaVu Sans Mono" w:hAnsi="DejaVu Sans Mono"/>
          <w:b w:val="0"/>
          <w:i w:val="0"/>
          <w:sz w:val="17"/>
        </w:rPr>
        <w:t>layout</w:t>
      </w:r>
      <w:r>
        <w:rPr>
          <w:b w:val="0"/>
          <w:i w:val="0"/>
        </w:rPr>
        <w:t xml:space="preserve"> 中建立 </w:t>
      </w:r>
      <w:r>
        <w:rPr>
          <w:rFonts w:ascii="DejaVu Sans Mono" w:hAnsi="DejaVu Sans Mono"/>
          <w:b w:val="0"/>
          <w:i w:val="0"/>
          <w:sz w:val="17"/>
        </w:rPr>
        <w:t>generation</w:t>
      </w:r>
      <w:r>
        <w:rPr>
          <w:b w:val="0"/>
          <w:i w:val="0"/>
        </w:rPr>
        <w:t>、</w:t>
      </w:r>
      <w:r>
        <w:rPr>
          <w:rFonts w:ascii="DejaVu Sans Mono" w:hAnsi="DejaVu Sans Mono"/>
          <w:b w:val="0"/>
          <w:i w:val="0"/>
          <w:sz w:val="17"/>
        </w:rPr>
        <w:t>charge</w:t>
      </w:r>
      <w:r>
        <w:rPr>
          <w:b w:val="0"/>
          <w:i w:val="0"/>
        </w:rPr>
        <w:t>、</w:t>
      </w:r>
      <w:r>
        <w:rPr>
          <w:rFonts w:ascii="DejaVu Sans Mono" w:hAnsi="DejaVu Sans Mono"/>
          <w:b w:val="0"/>
          <w:i w:val="0"/>
          <w:sz w:val="17"/>
        </w:rPr>
        <w:t>discharge</w:t>
      </w:r>
      <w:r>
        <w:rPr>
          <w:b w:val="0"/>
          <w:i w:val="0"/>
        </w:rPr>
        <w:t>、</w:t>
      </w:r>
      <w:r>
        <w:rPr>
          <w:rFonts w:ascii="DejaVu Sans Mono" w:hAnsi="DejaVu Sans Mono"/>
          <w:b w:val="0"/>
          <w:i w:val="0"/>
          <w:sz w:val="17"/>
        </w:rPr>
        <w:t>soc</w:t>
      </w:r>
      <w:r>
        <w:rPr>
          <w:b w:val="0"/>
          <w:i w:val="0"/>
        </w:rPr>
        <w:t>、</w:t>
      </w:r>
      <w:r>
        <w:rPr>
          <w:rFonts w:ascii="DejaVu Sans Mono" w:hAnsi="DejaVu Sans Mono"/>
          <w:b w:val="0"/>
          <w:i w:val="0"/>
          <w:sz w:val="17"/>
        </w:rPr>
        <w:t>blackout</w:t>
      </w:r>
      <w:r>
        <w:rPr>
          <w:b w:val="0"/>
          <w:i w:val="0"/>
        </w:rPr>
        <w:t>、</w:t>
      </w:r>
      <w:r>
        <w:rPr>
          <w:rFonts w:ascii="DejaVu Sans Mono" w:hAnsi="DejaVu Sans Mono"/>
          <w:b w:val="0"/>
          <w:i w:val="0"/>
          <w:sz w:val="17"/>
        </w:rPr>
        <w:t>angle</w:t>
      </w:r>
      <w:r>
        <w:rPr>
          <w:b w:val="0"/>
          <w:i w:val="0"/>
        </w:rPr>
        <w:t xml:space="preserve"> 和 </w:t>
      </w:r>
      <w:r>
        <w:rPr>
          <w:rFonts w:ascii="DejaVu Sans Mono" w:hAnsi="DejaVu Sans Mono"/>
          <w:b w:val="0"/>
          <w:i w:val="0"/>
          <w:sz w:val="17"/>
        </w:rPr>
        <w:t>flow</w:t>
      </w:r>
      <w:r>
        <w:rPr>
          <w:b w:val="0"/>
          <w:i w:val="0"/>
        </w:rPr>
        <w:t xml:space="preserve"> 变量块，公式沿用这些名称表示其解值。前五项为 MWh，</w:t>
      </w:r>
      <w:r>
        <w:rPr>
          <w:rFonts w:ascii="DejaVu Sans Mono" w:hAnsi="DejaVu Sans Mono"/>
          <w:b w:val="0"/>
          <w:i w:val="0"/>
          <w:sz w:val="17"/>
        </w:rPr>
        <w:t>angle</w:t>
      </w:r>
      <w:r>
        <w:rPr>
          <w:b w:val="0"/>
          <w:i w:val="0"/>
        </w:rPr>
        <w:t xml:space="preserve"> 为弧度，</w:t>
      </w:r>
      <w:r>
        <w:rPr>
          <w:rFonts w:ascii="DejaVu Sans Mono" w:hAnsi="DejaVu Sans Mono"/>
          <w:b w:val="0"/>
          <w:i w:val="0"/>
          <w:sz w:val="17"/>
        </w:rPr>
        <w:t>flow</w:t>
      </w:r>
      <w:r>
        <w:rPr>
          <w:b w:val="0"/>
          <w:i w:val="0"/>
        </w:rPr>
        <w:t xml:space="preserve"> 为 MW。资源、储能、节点、支路和时段索引为 </w:t>
      </w:r>
      <w:r>
        <w:drawing>
          <wp:inline xmlns:a="http://schemas.openxmlformats.org/drawingml/2006/main" xmlns:pic="http://schemas.openxmlformats.org/drawingml/2006/picture">
            <wp:extent cx="608672" cy="140624"/>
            <wp:docPr id="153" name="Picture 153"/>
            <wp:cNvGraphicFramePr>
              <a:graphicFrameLocks noChangeAspect="1"/>
            </wp:cNvGraphicFramePr>
            <a:graphic>
              <a:graphicData uri="http://schemas.openxmlformats.org/drawingml/2006/picture">
                <pic:pic>
                  <pic:nvPicPr>
                    <pic:cNvPr id="0" name="eq-153.png"/>
                    <pic:cNvPicPr/>
                  </pic:nvPicPr>
                  <pic:blipFill>
                    <a:blip r:embed="rId149"/>
                    <a:stretch>
                      <a:fillRect/>
                    </a:stretch>
                  </pic:blipFill>
                  <pic:spPr>
                    <a:xfrm>
                      <a:off x="0" y="0"/>
                      <a:ext cx="608672" cy="140624"/>
                    </a:xfrm>
                    <a:prstGeom prst="rect"/>
                  </pic:spPr>
                </pic:pic>
              </a:graphicData>
            </a:graphic>
          </wp:inline>
        </w:drawing>
      </w:r>
      <w:r>
        <w:rPr>
          <w:b w:val="0"/>
          <w:i w:val="0"/>
        </w:rPr>
        <w:t>⁠。</w:t>
      </w:r>
      <w:r>
        <w:rPr>
          <w:rFonts w:ascii="DejaVu Sans Mono" w:hAnsi="DejaVu Sans Mono"/>
          <w:b w:val="0"/>
          <w:i w:val="0"/>
          <w:sz w:val="17"/>
        </w:rPr>
        <w:t>marginal_costs</w:t>
      </w:r>
      <w:r>
        <w:rPr>
          <w:b w:val="0"/>
          <w:i w:val="0"/>
        </w:rPr>
        <w:t>、</w:t>
      </w:r>
      <w:r>
        <w:rPr>
          <w:rFonts w:ascii="DejaVu Sans Mono" w:hAnsi="DejaVu Sans Mono"/>
          <w:b w:val="0"/>
          <w:i w:val="0"/>
          <w:sz w:val="17"/>
        </w:rPr>
        <w:t>variable_​degradation_​gbp_​per_​mwh_​discharged</w:t>
      </w:r>
      <w:r>
        <w:rPr>
          <w:b w:val="0"/>
          <w:i w:val="0"/>
        </w:rPr>
        <w:t xml:space="preserve"> 和 </w:t>
      </w:r>
      <w:r>
        <w:rPr>
          <w:rFonts w:ascii="DejaVu Sans Mono" w:hAnsi="DejaVu Sans Mono"/>
          <w:b w:val="0"/>
          <w:i w:val="0"/>
          <w:sz w:val="17"/>
        </w:rPr>
        <w:t>voll_gbp_per_mwh</w:t>
      </w:r>
      <w:r>
        <w:rPr>
          <w:b w:val="0"/>
          <w:i w:val="0"/>
        </w:rPr>
        <w:t xml:space="preserve"> 的单位为 GBP/MWh。固定装机下的运行支出为</w:t>
      </w:r>
    </w:p>
    <w:p>
      <w:pPr>
        <w:spacing w:after="160"/>
        <w:jc w:val="center"/>
      </w:pPr>
      <w:r>
        <w:drawing>
          <wp:inline xmlns:a="http://schemas.openxmlformats.org/drawingml/2006/main" xmlns:pic="http://schemas.openxmlformats.org/drawingml/2006/picture">
            <wp:extent cx="5594299" cy="1268834"/>
            <wp:docPr id="154" name="Picture 154"/>
            <wp:cNvGraphicFramePr>
              <a:graphicFrameLocks noChangeAspect="1"/>
            </wp:cNvGraphicFramePr>
            <a:graphic>
              <a:graphicData uri="http://schemas.openxmlformats.org/drawingml/2006/picture">
                <pic:pic>
                  <pic:nvPicPr>
                    <pic:cNvPr id="0" name="eq-154.png"/>
                    <pic:cNvPicPr/>
                  </pic:nvPicPr>
                  <pic:blipFill>
                    <a:blip r:embed="rId150"/>
                    <a:stretch>
                      <a:fillRect/>
                    </a:stretch>
                  </pic:blipFill>
                  <pic:spPr>
                    <a:xfrm>
                      <a:off x="0" y="0"/>
                      <a:ext cx="5594299" cy="1268834"/>
                    </a:xfrm>
                    <a:prstGeom prst="rect"/>
                  </pic:spPr>
                </pic:pic>
              </a:graphicData>
            </a:graphic>
          </wp:inline>
        </w:drawing>
      </w:r>
    </w:p>
    <w:p>
      <w:r>
        <w:rPr>
          <w:b w:val="0"/>
          <w:i w:val="0"/>
        </w:rPr>
        <w:t xml:space="preserve">跨节点资产通过 </w:t>
      </w:r>
      <w:r>
        <w:rPr>
          <w:rFonts w:ascii="DejaVu Sans Mono" w:hAnsi="DejaVu Sans Mono"/>
          <w:b w:val="0"/>
          <w:i w:val="0"/>
          <w:sz w:val="17"/>
        </w:rPr>
        <w:t>expand_share_mappings</w:t>
      </w:r>
      <w:r>
        <w:rPr>
          <w:b w:val="0"/>
          <w:i w:val="0"/>
        </w:rPr>
        <w:t xml:space="preserve"> 拆为各位置独立的资源单元。每项资产的映射字段 </w:t>
      </w:r>
      <w:r>
        <w:rPr>
          <w:rFonts w:ascii="DejaVu Sans Mono" w:hAnsi="DejaVu Sans Mono"/>
          <w:b w:val="0"/>
          <w:i w:val="0"/>
          <w:sz w:val="17"/>
        </w:rPr>
        <w:t>share</w:t>
      </w:r>
      <w:r>
        <w:rPr>
          <w:b w:val="0"/>
          <w:i w:val="0"/>
        </w:rPr>
        <w:t xml:space="preserve"> 合计为 1，按份额缩放发电装机、储能充放电功率、电量容量和期初库存。求解器在指定节点调度这些单元，再按原资产汇总。VoLL 读取 </w:t>
      </w:r>
      <w:r>
        <w:rPr>
          <w:rFonts w:ascii="DejaVu Sans Mono" w:hAnsi="DejaVu Sans Mono"/>
          <w:b w:val="0"/>
          <w:i w:val="0"/>
          <w:sz w:val="17"/>
        </w:rPr>
        <w:t>market.voll_gbp_per_mwh</w:t>
      </w:r>
      <w:r>
        <w:rPr>
          <w:b w:val="0"/>
          <w:i w:val="0"/>
        </w:rPr>
        <w:t>，默认 17,000 GBP/MWh。</w:t>
      </w:r>
    </w:p>
    <w:p>
      <w:pPr>
        <w:keepNext/>
      </w:pPr>
      <w:r>
        <w:rPr>
          <w:b w:val="0"/>
          <w:i w:val="0"/>
        </w:rPr>
        <w:t xml:space="preserve">节点守恒用 </w:t>
      </w:r>
      <w:r>
        <w:rPr>
          <w:rFonts w:ascii="DejaVu Sans Mono" w:hAnsi="DejaVu Sans Mono"/>
          <w:b w:val="0"/>
          <w:i w:val="0"/>
          <w:sz w:val="17"/>
        </w:rPr>
        <w:t>period_hours</w:t>
      </w:r>
      <w:r>
        <w:rPr>
          <w:b w:val="0"/>
          <w:i w:val="0"/>
        </w:rPr>
        <w:t xml:space="preserve"> 将支路功率换为电量。对节点 </w:t>
      </w:r>
      <w:r>
        <w:drawing>
          <wp:inline xmlns:a="http://schemas.openxmlformats.org/drawingml/2006/main" xmlns:pic="http://schemas.openxmlformats.org/drawingml/2006/picture">
            <wp:extent cx="94786" cy="71616"/>
            <wp:docPr id="155" name="Picture 155"/>
            <wp:cNvGraphicFramePr>
              <a:graphicFrameLocks noChangeAspect="1"/>
            </wp:cNvGraphicFramePr>
            <a:graphic>
              <a:graphicData uri="http://schemas.openxmlformats.org/drawingml/2006/picture">
                <pic:pic>
                  <pic:nvPicPr>
                    <pic:cNvPr id="0" name="eq-155.png"/>
                    <pic:cNvPicPr/>
                  </pic:nvPicPr>
                  <pic:blipFill>
                    <a:blip r:embed="rId151"/>
                    <a:stretch>
                      <a:fillRect/>
                    </a:stretch>
                  </pic:blipFill>
                  <pic:spPr>
                    <a:xfrm>
                      <a:off x="0" y="0"/>
                      <a:ext cx="94786" cy="71616"/>
                    </a:xfrm>
                    <a:prstGeom prst="rect"/>
                  </pic:spPr>
                </pic:pic>
              </a:graphicData>
            </a:graphic>
          </wp:inline>
        </w:drawing>
      </w:r>
      <w:r>
        <w:rPr>
          <w:b w:val="0"/>
          <w:i w:val="0"/>
        </w:rPr>
        <w:t xml:space="preserve"> 上的单元，</w:t>
      </w:r>
    </w:p>
    <w:p>
      <w:pPr>
        <w:spacing w:after="160"/>
        <w:jc w:val="center"/>
      </w:pPr>
      <w:r>
        <w:drawing>
          <wp:inline xmlns:a="http://schemas.openxmlformats.org/drawingml/2006/main" xmlns:pic="http://schemas.openxmlformats.org/drawingml/2006/picture">
            <wp:extent cx="6217920" cy="709643"/>
            <wp:docPr id="156" name="Picture 156"/>
            <wp:cNvGraphicFramePr>
              <a:graphicFrameLocks noChangeAspect="1"/>
            </wp:cNvGraphicFramePr>
            <a:graphic>
              <a:graphicData uri="http://schemas.openxmlformats.org/drawingml/2006/picture">
                <pic:pic>
                  <pic:nvPicPr>
                    <pic:cNvPr id="0" name="eq-156.png"/>
                    <pic:cNvPicPr/>
                  </pic:nvPicPr>
                  <pic:blipFill>
                    <a:blip r:embed="rId152"/>
                    <a:stretch>
                      <a:fillRect/>
                    </a:stretch>
                  </pic:blipFill>
                  <pic:spPr>
                    <a:xfrm>
                      <a:off x="0" y="0"/>
                      <a:ext cx="6217920" cy="709643"/>
                    </a:xfrm>
                    <a:prstGeom prst="rect"/>
                  </pic:spPr>
                </pic:pic>
              </a:graphicData>
            </a:graphic>
          </wp:inline>
        </w:drawing>
      </w:r>
    </w:p>
    <w:p>
      <w:pPr>
        <w:keepNext/>
      </w:pPr>
      <w:r>
        <w:rPr>
          <w:b w:val="0"/>
          <w:i w:val="0"/>
        </w:rPr>
        <w:t xml:space="preserve">资源上界为 </w:t>
      </w:r>
      <w:r>
        <w:rPr>
          <w:rFonts w:ascii="DejaVu Sans Mono" w:hAnsi="DejaVu Sans Mono"/>
          <w:b w:val="0"/>
          <w:i w:val="0"/>
          <w:sz w:val="17"/>
        </w:rPr>
        <w:t>capacity_mw</w:t>
      </w:r>
      <w:r>
        <w:rPr>
          <w:b w:val="0"/>
          <w:i w:val="0"/>
        </w:rPr>
        <w:t>、</w:t>
      </w:r>
      <w:r>
        <w:rPr>
          <w:rFonts w:ascii="DejaVu Sans Mono" w:hAnsi="DejaVu Sans Mono"/>
          <w:b w:val="0"/>
          <w:i w:val="0"/>
          <w:sz w:val="17"/>
        </w:rPr>
        <w:t>share</w:t>
      </w:r>
      <w:r>
        <w:rPr>
          <w:b w:val="0"/>
          <w:i w:val="0"/>
        </w:rPr>
        <w:t>、</w:t>
      </w:r>
      <w:r>
        <w:rPr>
          <w:rFonts w:ascii="DejaVu Sans Mono" w:hAnsi="DejaVu Sans Mono"/>
          <w:b w:val="0"/>
          <w:i w:val="0"/>
          <w:sz w:val="17"/>
        </w:rPr>
        <w:t>availability</w:t>
      </w:r>
      <w:r>
        <w:rPr>
          <w:b w:val="0"/>
          <w:i w:val="0"/>
        </w:rPr>
        <w:t xml:space="preserve"> 与 </w:t>
      </w:r>
      <w:r>
        <w:rPr>
          <w:rFonts w:ascii="DejaVu Sans Mono" w:hAnsi="DejaVu Sans Mono"/>
          <w:b w:val="0"/>
          <w:i w:val="0"/>
          <w:sz w:val="17"/>
        </w:rPr>
        <w:t>period_hours</w:t>
      </w:r>
      <w:r>
        <w:rPr>
          <w:b w:val="0"/>
          <w:i w:val="0"/>
        </w:rPr>
        <w:t xml:space="preserve"> 的乘积。储能按相同映射份额采用第 8 章的充放电和库存约束，库存更新为</w:t>
      </w:r>
    </w:p>
    <w:p>
      <w:pPr>
        <w:spacing w:after="160"/>
        <w:jc w:val="center"/>
      </w:pPr>
      <w:r>
        <w:drawing>
          <wp:inline xmlns:a="http://schemas.openxmlformats.org/drawingml/2006/main" xmlns:pic="http://schemas.openxmlformats.org/drawingml/2006/picture">
            <wp:extent cx="3460394" cy="441120"/>
            <wp:docPr id="157" name="Picture 157"/>
            <wp:cNvGraphicFramePr>
              <a:graphicFrameLocks noChangeAspect="1"/>
            </wp:cNvGraphicFramePr>
            <a:graphic>
              <a:graphicData uri="http://schemas.openxmlformats.org/drawingml/2006/picture">
                <pic:pic>
                  <pic:nvPicPr>
                    <pic:cNvPr id="0" name="eq-157.png"/>
                    <pic:cNvPicPr/>
                  </pic:nvPicPr>
                  <pic:blipFill>
                    <a:blip r:embed="rId153"/>
                    <a:stretch>
                      <a:fillRect/>
                    </a:stretch>
                  </pic:blipFill>
                  <pic:spPr>
                    <a:xfrm>
                      <a:off x="0" y="0"/>
                      <a:ext cx="3460394" cy="441120"/>
                    </a:xfrm>
                    <a:prstGeom prst="rect"/>
                  </pic:spPr>
                </pic:pic>
              </a:graphicData>
            </a:graphic>
          </wp:inline>
        </w:drawing>
      </w:r>
    </w:p>
    <w:p>
      <w:r>
        <w:rPr>
          <w:b w:val="0"/>
          <w:i w:val="0"/>
        </w:rPr>
        <w:t xml:space="preserve">期末规则可以为自由、等于期初库存的循环规则，或固定目标。启用 </w:t>
      </w:r>
      <w:r>
        <w:rPr>
          <w:rFonts w:ascii="DejaVu Sans Mono" w:hAnsi="DejaVu Sans Mono"/>
          <w:b w:val="0"/>
          <w:i w:val="0"/>
          <w:sz w:val="17"/>
        </w:rPr>
        <w:t>allow_blackout</w:t>
      </w:r>
      <w:r>
        <w:rPr>
          <w:b w:val="0"/>
          <w:i w:val="0"/>
        </w:rPr>
        <w:t xml:space="preserve"> 时，缺电介于零与节点需求之间，其余情况固定为零。资源可用率位于 </w:t>
      </w:r>
      <w:r>
        <w:drawing>
          <wp:inline xmlns:a="http://schemas.openxmlformats.org/drawingml/2006/main" xmlns:pic="http://schemas.openxmlformats.org/drawingml/2006/picture">
            <wp:extent cx="316141" cy="157024"/>
            <wp:docPr id="158" name="Picture 158"/>
            <wp:cNvGraphicFramePr>
              <a:graphicFrameLocks noChangeAspect="1"/>
            </wp:cNvGraphicFramePr>
            <a:graphic>
              <a:graphicData uri="http://schemas.openxmlformats.org/drawingml/2006/picture">
                <pic:pic>
                  <pic:nvPicPr>
                    <pic:cNvPr id="0" name="eq-158.png"/>
                    <pic:cNvPicPr/>
                  </pic:nvPicPr>
                  <pic:blipFill>
                    <a:blip r:embed="rId154"/>
                    <a:stretch>
                      <a:fillRect/>
                    </a:stretch>
                  </pic:blipFill>
                  <pic:spPr>
                    <a:xfrm>
                      <a:off x="0" y="0"/>
                      <a:ext cx="316141" cy="157024"/>
                    </a:xfrm>
                    <a:prstGeom prst="rect"/>
                  </pic:spPr>
                </pic:pic>
              </a:graphicData>
            </a:graphic>
          </wp:inline>
        </w:drawing>
      </w:r>
      <w:r>
        <w:rPr>
          <w:b w:val="0"/>
          <w:i w:val="0"/>
        </w:rPr>
        <w:t>⁠，边际费用非负。</w:t>
      </w:r>
    </w:p>
    <w:p>
      <w:pPr>
        <w:keepNext/>
      </w:pPr>
      <w:r>
        <w:rPr>
          <w:b w:val="0"/>
          <w:i w:val="0"/>
        </w:rPr>
        <w:t>交流线路与变压器采用声明的等效电抗及相角差。</w:t>
      </w:r>
      <w:r>
        <w:rPr>
          <w:rFonts w:ascii="DejaVu Sans Mono" w:hAnsi="DejaVu Sans Mono"/>
          <w:b w:val="0"/>
          <w:i w:val="0"/>
          <w:sz w:val="17"/>
        </w:rPr>
        <w:t>base_mva</w:t>
      </w:r>
      <w:r>
        <w:rPr>
          <w:b w:val="0"/>
          <w:i w:val="0"/>
        </w:rPr>
        <w:t xml:space="preserve"> 默认 100 MVA，</w:t>
      </w:r>
      <w:r>
        <w:rPr>
          <w:rFonts w:ascii="DejaVu Sans Mono" w:hAnsi="DejaVu Sans Mono"/>
          <w:b w:val="0"/>
          <w:i w:val="0"/>
          <w:sz w:val="17"/>
        </w:rPr>
        <w:t>tap</w:t>
      </w:r>
      <w:r>
        <w:rPr>
          <w:b w:val="0"/>
          <w:i w:val="0"/>
        </w:rPr>
        <w:t xml:space="preserve"> 默认 1，</w:t>
      </w:r>
      <w:r>
        <w:rPr>
          <w:rFonts w:ascii="DejaVu Sans Mono" w:hAnsi="DejaVu Sans Mono"/>
          <w:b w:val="0"/>
          <w:i w:val="0"/>
          <w:sz w:val="17"/>
        </w:rPr>
        <w:t>phase</w:t>
      </w:r>
      <w:r>
        <w:rPr>
          <w:b w:val="0"/>
          <w:i w:val="0"/>
        </w:rPr>
        <w:t xml:space="preserve"> 将 </w:t>
      </w:r>
      <w:r>
        <w:rPr>
          <w:rFonts w:ascii="DejaVu Sans Mono" w:hAnsi="DejaVu Sans Mono"/>
          <w:b w:val="0"/>
          <w:i w:val="0"/>
          <w:sz w:val="17"/>
        </w:rPr>
        <w:t>phase_shift_degrees</w:t>
      </w:r>
      <w:r>
        <w:rPr>
          <w:b w:val="0"/>
          <w:i w:val="0"/>
        </w:rPr>
        <w:t xml:space="preserve"> 换为弧度：</w:t>
      </w:r>
    </w:p>
    <w:p>
      <w:pPr>
        <w:spacing w:after="160"/>
        <w:jc w:val="center"/>
      </w:pPr>
      <w:r>
        <w:drawing>
          <wp:inline xmlns:a="http://schemas.openxmlformats.org/drawingml/2006/main" xmlns:pic="http://schemas.openxmlformats.org/drawingml/2006/picture">
            <wp:extent cx="5112867" cy="870810"/>
            <wp:docPr id="159" name="Picture 159"/>
            <wp:cNvGraphicFramePr>
              <a:graphicFrameLocks noChangeAspect="1"/>
            </wp:cNvGraphicFramePr>
            <a:graphic>
              <a:graphicData uri="http://schemas.openxmlformats.org/drawingml/2006/picture">
                <pic:pic>
                  <pic:nvPicPr>
                    <pic:cNvPr id="0" name="eq-159.png"/>
                    <pic:cNvPicPr/>
                  </pic:nvPicPr>
                  <pic:blipFill>
                    <a:blip r:embed="rId155"/>
                    <a:stretch>
                      <a:fillRect/>
                    </a:stretch>
                  </pic:blipFill>
                  <pic:spPr>
                    <a:xfrm>
                      <a:off x="0" y="0"/>
                      <a:ext cx="5112867" cy="870810"/>
                    </a:xfrm>
                    <a:prstGeom prst="rect"/>
                  </pic:spPr>
                </pic:pic>
              </a:graphicData>
            </a:graphic>
          </wp:inline>
        </w:drawing>
      </w:r>
    </w:p>
    <w:p>
      <w:r>
        <w:rPr>
          <w:b w:val="0"/>
          <w:i w:val="0"/>
        </w:rPr>
        <w:t xml:space="preserve">回路数缩放热容量，声明的等效电抗进入相角方程。每个电气孤岛有一个零相角参考节点，其余相角位于 </w:t>
      </w:r>
      <w:r>
        <w:drawing>
          <wp:inline xmlns:a="http://schemas.openxmlformats.org/drawingml/2006/main" xmlns:pic="http://schemas.openxmlformats.org/drawingml/2006/picture">
            <wp:extent cx="461219" cy="157234"/>
            <wp:docPr id="160" name="Picture 160"/>
            <wp:cNvGraphicFramePr>
              <a:graphicFrameLocks noChangeAspect="1"/>
            </wp:cNvGraphicFramePr>
            <a:graphic>
              <a:graphicData uri="http://schemas.openxmlformats.org/drawingml/2006/picture">
                <pic:pic>
                  <pic:nvPicPr>
                    <pic:cNvPr id="0" name="eq-160.png"/>
                    <pic:cNvPicPr/>
                  </pic:nvPicPr>
                  <pic:blipFill>
                    <a:blip r:embed="rId156"/>
                    <a:stretch>
                      <a:fillRect/>
                    </a:stretch>
                  </pic:blipFill>
                  <pic:spPr>
                    <a:xfrm>
                      <a:off x="0" y="0"/>
                      <a:ext cx="461219" cy="157234"/>
                    </a:xfrm>
                    <a:prstGeom prst="rect"/>
                  </pic:spPr>
                </pic:pic>
              </a:graphicData>
            </a:graphic>
          </wp:inline>
        </w:drawing>
      </w:r>
      <w:r>
        <w:rPr>
          <w:b w:val="0"/>
          <w:i w:val="0"/>
        </w:rPr>
        <w:t>⁠。停运支路流量为零，直流联络线以声明范围内的可控流量进入节点平衡。</w:t>
      </w:r>
    </w:p>
    <w:p>
      <w:r>
        <w:rPr>
          <w:b w:val="0"/>
          <w:i w:val="0"/>
        </w:rPr>
        <w:t xml:space="preserve">HiGHS 在一次线性规划中求解全部时段，原始与对偶容差为 </w:t>
      </w:r>
      <w:r>
        <w:drawing>
          <wp:inline xmlns:a="http://schemas.openxmlformats.org/drawingml/2006/main" xmlns:pic="http://schemas.openxmlformats.org/drawingml/2006/picture">
            <wp:extent cx="313975" cy="140242"/>
            <wp:docPr id="161" name="Picture 161"/>
            <wp:cNvGraphicFramePr>
              <a:graphicFrameLocks noChangeAspect="1"/>
            </wp:cNvGraphicFramePr>
            <a:graphic>
              <a:graphicData uri="http://schemas.openxmlformats.org/drawingml/2006/picture">
                <pic:pic>
                  <pic:nvPicPr>
                    <pic:cNvPr id="0" name="eq-142.png"/>
                    <pic:cNvPicPr/>
                  </pic:nvPicPr>
                  <pic:blipFill>
                    <a:blip r:embed="rId144"/>
                    <a:stretch>
                      <a:fillRect/>
                    </a:stretch>
                  </pic:blipFill>
                  <pic:spPr>
                    <a:xfrm>
                      <a:off x="0" y="0"/>
                      <a:ext cx="313975" cy="140242"/>
                    </a:xfrm>
                    <a:prstGeom prst="rect"/>
                  </pic:spPr>
                </pic:pic>
              </a:graphicData>
            </a:graphic>
          </wp:inline>
        </w:drawing>
      </w:r>
      <w:r>
        <w:rPr>
          <w:b w:val="0"/>
          <w:i w:val="0"/>
        </w:rPr>
        <w:t xml:space="preserve">⁠，等式残差上限为 </w:t>
      </w:r>
      <w:r>
        <w:drawing>
          <wp:inline xmlns:a="http://schemas.openxmlformats.org/drawingml/2006/main" xmlns:pic="http://schemas.openxmlformats.org/drawingml/2006/picture">
            <wp:extent cx="313975" cy="140242"/>
            <wp:docPr id="162" name="Picture 162"/>
            <wp:cNvGraphicFramePr>
              <a:graphicFrameLocks noChangeAspect="1"/>
            </wp:cNvGraphicFramePr>
            <a:graphic>
              <a:graphicData uri="http://schemas.openxmlformats.org/drawingml/2006/picture">
                <pic:pic>
                  <pic:nvPicPr>
                    <pic:cNvPr id="0" name="eq-116.png"/>
                    <pic:cNvPicPr/>
                  </pic:nvPicPr>
                  <pic:blipFill>
                    <a:blip r:embed="rId119"/>
                    <a:stretch>
                      <a:fillRect/>
                    </a:stretch>
                  </pic:blipFill>
                  <pic:spPr>
                    <a:xfrm>
                      <a:off x="0" y="0"/>
                      <a:ext cx="313975" cy="140242"/>
                    </a:xfrm>
                    <a:prstGeom prst="rect"/>
                  </pic:spPr>
                </pic:pic>
              </a:graphicData>
            </a:graphic>
          </wp:inline>
        </w:drawing>
      </w:r>
      <w:r>
        <w:rPr>
          <w:b w:val="0"/>
          <w:i w:val="0"/>
        </w:rPr>
        <w:t>⁠。节点电量平衡的对偶值给出 GBP/MWh 边际运行价格，系统显示价格按需求加权。该完整时域比较由固定资产、连续调度、储能与线性网络共同定义。</w:t>
      </w:r>
    </w:p>
    <w:p>
      <w:pPr>
        <w:pStyle w:val="Heading2"/>
      </w:pPr>
      <w:r>
        <w:rPr>
          <w:b w:val="0"/>
          <w:i w:val="0"/>
        </w:rPr>
        <w:t>交流可行性计算</w:t>
      </w:r>
    </w:p>
    <w:p>
      <w:r>
        <w:rPr>
          <w:b w:val="0"/>
          <w:i w:val="0"/>
        </w:rPr>
        <w:t>交流模块计算给定有功计划下的稳态潮流。输入包含有功与无功需求、发电机有功和无功限额、电压设定、支路阻抗与充电电纳、固定变比及相移、电压范围和 MVA 额定值。每个电气孤岛有一个平衡资产，PV 和平衡节点配置发电机，同一节点的发电机采用共同电压设定。储能按给定的有功充放电计划运行。</w:t>
      </w:r>
    </w:p>
    <w:p>
      <w:pPr>
        <w:keepNext/>
      </w:pPr>
      <w:r>
        <w:rPr>
          <w:b w:val="0"/>
          <w:i w:val="0"/>
        </w:rPr>
        <w:t>节点复功率由求得的电压及节点导纳矩阵计算。</w:t>
      </w:r>
      <w:r>
        <w:rPr>
          <w:rFonts w:ascii="DejaVu Sans Mono" w:hAnsi="DejaVu Sans Mono"/>
          <w:b w:val="0"/>
          <w:i w:val="0"/>
          <w:sz w:val="17"/>
        </w:rPr>
        <w:t>vm</w:t>
      </w:r>
      <w:r>
        <w:rPr>
          <w:b w:val="0"/>
          <w:i w:val="0"/>
        </w:rPr>
        <w:t xml:space="preserve"> 为标幺电压幅值，</w:t>
      </w:r>
      <w:r>
        <w:rPr>
          <w:rFonts w:ascii="DejaVu Sans Mono" w:hAnsi="DejaVu Sans Mono"/>
          <w:b w:val="0"/>
          <w:i w:val="0"/>
          <w:sz w:val="17"/>
        </w:rPr>
        <w:t>theta</w:t>
      </w:r>
      <w:r>
        <w:rPr>
          <w:b w:val="0"/>
          <w:i w:val="0"/>
        </w:rPr>
        <w:t xml:space="preserve"> 为弧度，</w:t>
      </w:r>
      <w:r>
        <w:rPr>
          <w:rFonts w:ascii="DejaVu Sans Mono" w:hAnsi="DejaVu Sans Mono"/>
          <w:b w:val="0"/>
          <w:i w:val="0"/>
          <w:sz w:val="17"/>
        </w:rPr>
        <w:t>voltage</w:t>
      </w:r>
      <w:r>
        <w:rPr>
          <w:b w:val="0"/>
          <w:i w:val="0"/>
        </w:rPr>
        <w:t xml:space="preserve"> 为复数标幺电压，</w:t>
      </w:r>
      <w:r>
        <w:rPr>
          <w:rFonts w:ascii="DejaVu Sans Mono" w:hAnsi="DejaVu Sans Mono"/>
          <w:b w:val="0"/>
          <w:i w:val="0"/>
          <w:sz w:val="17"/>
        </w:rPr>
        <w:t>injection</w:t>
      </w:r>
      <w:r>
        <w:rPr>
          <w:b w:val="0"/>
          <w:i w:val="0"/>
        </w:rPr>
        <w:t xml:space="preserve"> 的实部和虚部分别为 MW、Mvar。</w:t>
      </w:r>
      <w:r>
        <w:rPr>
          <w:rFonts w:ascii="DejaVu Sans Mono" w:hAnsi="DejaVu Sans Mono"/>
          <w:b w:val="0"/>
          <w:i w:val="0"/>
          <w:sz w:val="17"/>
        </w:rPr>
        <w:t>ybus</w:t>
      </w:r>
      <w:r>
        <w:rPr>
          <w:b w:val="0"/>
          <w:i w:val="0"/>
        </w:rPr>
        <w:t xml:space="preserve"> 为 </w:t>
      </w:r>
      <w:r>
        <w:rPr>
          <w:rFonts w:ascii="DejaVu Sans Mono" w:hAnsi="DejaVu Sans Mono"/>
          <w:b w:val="0"/>
          <w:i w:val="0"/>
          <w:sz w:val="17"/>
        </w:rPr>
        <w:t>base_mva</w:t>
      </w:r>
      <w:r>
        <w:rPr>
          <w:b w:val="0"/>
          <w:i w:val="0"/>
        </w:rPr>
        <w:t xml:space="preserve"> 基准下的标幺导纳，</w:t>
      </w:r>
      <w:r>
        <w:drawing>
          <wp:inline xmlns:a="http://schemas.openxmlformats.org/drawingml/2006/main" xmlns:pic="http://schemas.openxmlformats.org/drawingml/2006/picture">
            <wp:extent cx="546785" cy="163407"/>
            <wp:docPr id="163" name="Picture 163"/>
            <wp:cNvGraphicFramePr>
              <a:graphicFrameLocks noChangeAspect="1"/>
            </wp:cNvGraphicFramePr>
            <a:graphic>
              <a:graphicData uri="http://schemas.openxmlformats.org/drawingml/2006/picture">
                <pic:pic>
                  <pic:nvPicPr>
                    <pic:cNvPr id="0" name="eq-163.png"/>
                    <pic:cNvPicPr/>
                  </pic:nvPicPr>
                  <pic:blipFill>
                    <a:blip r:embed="rId157"/>
                    <a:stretch>
                      <a:fillRect/>
                    </a:stretch>
                  </pic:blipFill>
                  <pic:spPr>
                    <a:xfrm>
                      <a:off x="0" y="0"/>
                      <a:ext cx="546785" cy="163407"/>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4233062" cy="667416"/>
            <wp:docPr id="164" name="Picture 164"/>
            <wp:cNvGraphicFramePr>
              <a:graphicFrameLocks noChangeAspect="1"/>
            </wp:cNvGraphicFramePr>
            <a:graphic>
              <a:graphicData uri="http://schemas.openxmlformats.org/drawingml/2006/picture">
                <pic:pic>
                  <pic:nvPicPr>
                    <pic:cNvPr id="0" name="eq-164.png"/>
                    <pic:cNvPicPr/>
                  </pic:nvPicPr>
                  <pic:blipFill>
                    <a:blip r:embed="rId158"/>
                    <a:stretch>
                      <a:fillRect/>
                    </a:stretch>
                  </pic:blipFill>
                  <pic:spPr>
                    <a:xfrm>
                      <a:off x="0" y="0"/>
                      <a:ext cx="4233062" cy="667416"/>
                    </a:xfrm>
                    <a:prstGeom prst="rect"/>
                  </pic:spPr>
                </pic:pic>
              </a:graphicData>
            </a:graphic>
          </wp:inline>
        </w:drawing>
      </w:r>
    </w:p>
    <w:p>
      <w:pPr>
        <w:keepNext/>
      </w:pPr>
      <w:r>
        <w:rPr>
          <w:b w:val="0"/>
          <w:i w:val="0"/>
        </w:rPr>
        <w:t>支路采用 π 型阻抗表示。</w:t>
      </w:r>
      <w:r>
        <w:rPr>
          <w:rFonts w:ascii="DejaVu Sans Mono" w:hAnsi="DejaVu Sans Mono"/>
          <w:b w:val="0"/>
          <w:i w:val="0"/>
          <w:sz w:val="17"/>
        </w:rPr>
        <w:t>_ybus</w:t>
      </w:r>
      <w:r>
        <w:rPr>
          <w:b w:val="0"/>
          <w:i w:val="0"/>
        </w:rPr>
        <w:t xml:space="preserve"> 将 </w:t>
      </w:r>
      <w:r>
        <w:rPr>
          <w:rFonts w:ascii="DejaVu Sans Mono" w:hAnsi="DejaVu Sans Mono"/>
          <w:b w:val="0"/>
          <w:i w:val="0"/>
          <w:sz w:val="17"/>
        </w:rPr>
        <w:t>resistance_pu</w:t>
      </w:r>
      <w:r>
        <w:rPr>
          <w:b w:val="0"/>
          <w:i w:val="0"/>
        </w:rPr>
        <w:t xml:space="preserve"> 加 </w:t>
      </w:r>
      <w:r>
        <w:drawing>
          <wp:inline xmlns:a="http://schemas.openxmlformats.org/drawingml/2006/main" xmlns:pic="http://schemas.openxmlformats.org/drawingml/2006/picture">
            <wp:extent cx="65100" cy="136500"/>
            <wp:docPr id="165" name="Picture 165"/>
            <wp:cNvGraphicFramePr>
              <a:graphicFrameLocks noChangeAspect="1"/>
            </wp:cNvGraphicFramePr>
            <a:graphic>
              <a:graphicData uri="http://schemas.openxmlformats.org/drawingml/2006/picture">
                <pic:pic>
                  <pic:nvPicPr>
                    <pic:cNvPr id="0" name="eq-165.png"/>
                    <pic:cNvPicPr/>
                  </pic:nvPicPr>
                  <pic:blipFill>
                    <a:blip r:embed="rId159"/>
                    <a:stretch>
                      <a:fillRect/>
                    </a:stretch>
                  </pic:blipFill>
                  <pic:spPr>
                    <a:xfrm>
                      <a:off x="0" y="0"/>
                      <a:ext cx="65100" cy="136500"/>
                    </a:xfrm>
                    <a:prstGeom prst="rect"/>
                  </pic:spPr>
                </pic:pic>
              </a:graphicData>
            </a:graphic>
          </wp:inline>
        </w:drawing>
      </w:r>
      <w:r>
        <w:rPr>
          <w:b w:val="0"/>
          <w:i w:val="0"/>
        </w:rPr>
        <w:t xml:space="preserve"> 倍 </w:t>
      </w:r>
      <w:r>
        <w:rPr>
          <w:rFonts w:ascii="DejaVu Sans Mono" w:hAnsi="DejaVu Sans Mono"/>
          <w:b w:val="0"/>
          <w:i w:val="0"/>
          <w:sz w:val="17"/>
        </w:rPr>
        <w:t>reactance_pu</w:t>
      </w:r>
      <w:r>
        <w:rPr>
          <w:b w:val="0"/>
          <w:i w:val="0"/>
        </w:rPr>
        <w:t xml:space="preserve"> 后取倒数得到 </w:t>
      </w:r>
      <w:r>
        <w:rPr>
          <w:rFonts w:ascii="DejaVu Sans Mono" w:hAnsi="DejaVu Sans Mono"/>
          <w:b w:val="0"/>
          <w:i w:val="0"/>
          <w:sz w:val="17"/>
        </w:rPr>
        <w:t>series</w:t>
      </w:r>
      <w:r>
        <w:rPr>
          <w:b w:val="0"/>
          <w:i w:val="0"/>
        </w:rPr>
        <w:t>；</w:t>
      </w:r>
      <w:r>
        <w:rPr>
          <w:rFonts w:ascii="DejaVu Sans Mono" w:hAnsi="DejaVu Sans Mono"/>
          <w:b w:val="0"/>
          <w:i w:val="0"/>
          <w:sz w:val="17"/>
        </w:rPr>
        <w:t>charging</w:t>
      </w:r>
      <w:r>
        <w:rPr>
          <w:b w:val="0"/>
          <w:i w:val="0"/>
        </w:rPr>
        <w:t xml:space="preserve"> 为虚数充电电纳的一半；</w:t>
      </w:r>
      <w:r>
        <w:rPr>
          <w:rFonts w:ascii="DejaVu Sans Mono" w:hAnsi="DejaVu Sans Mono"/>
          <w:b w:val="0"/>
          <w:i w:val="0"/>
          <w:sz w:val="17"/>
        </w:rPr>
        <w:t>tap</w:t>
      </w:r>
      <w:r>
        <w:rPr>
          <w:b w:val="0"/>
          <w:i w:val="0"/>
        </w:rPr>
        <w:t xml:space="preserve"> 为变比乘复数相移因子。两端导纳为</w:t>
      </w:r>
    </w:p>
    <w:p>
      <w:pPr>
        <w:spacing w:after="160"/>
        <w:jc w:val="center"/>
      </w:pPr>
      <w:r>
        <w:drawing>
          <wp:inline xmlns:a="http://schemas.openxmlformats.org/drawingml/2006/main" xmlns:pic="http://schemas.openxmlformats.org/drawingml/2006/picture">
            <wp:extent cx="3124352" cy="674238"/>
            <wp:docPr id="166" name="Picture 166"/>
            <wp:cNvGraphicFramePr>
              <a:graphicFrameLocks noChangeAspect="1"/>
            </wp:cNvGraphicFramePr>
            <a:graphic>
              <a:graphicData uri="http://schemas.openxmlformats.org/drawingml/2006/picture">
                <pic:pic>
                  <pic:nvPicPr>
                    <pic:cNvPr id="0" name="eq-166.png"/>
                    <pic:cNvPicPr/>
                  </pic:nvPicPr>
                  <pic:blipFill>
                    <a:blip r:embed="rId160"/>
                    <a:stretch>
                      <a:fillRect/>
                    </a:stretch>
                  </pic:blipFill>
                  <pic:spPr>
                    <a:xfrm>
                      <a:off x="0" y="0"/>
                      <a:ext cx="3124352" cy="674238"/>
                    </a:xfrm>
                    <a:prstGeom prst="rect"/>
                  </pic:spPr>
                </pic:pic>
              </a:graphicData>
            </a:graphic>
          </wp:inline>
        </w:drawing>
      </w:r>
    </w:p>
    <w:p>
      <w:pPr>
        <w:keepNext/>
      </w:pPr>
      <w:r>
        <w:rPr>
          <w:b w:val="0"/>
          <w:i w:val="0"/>
        </w:rPr>
        <w:t xml:space="preserve">求解器拟合非平衡节点有功平衡与 PQ 节点无功平衡，固定 PV 和平衡节点电压幅值。平衡资产提供剩余有功和网损，节点无功发电受该节点发电机合计限额约束。两端复功率 </w:t>
      </w:r>
      <w:r>
        <w:rPr>
          <w:rFonts w:ascii="DejaVu Sans Mono" w:hAnsi="DejaVu Sans Mono"/>
          <w:b w:val="0"/>
          <w:i w:val="0"/>
          <w:sz w:val="17"/>
        </w:rPr>
        <w:t>s_from</w:t>
      </w:r>
      <w:r>
        <w:rPr>
          <w:b w:val="0"/>
          <w:i w:val="0"/>
        </w:rPr>
        <w:t xml:space="preserve"> 与 </w:t>
      </w:r>
      <w:r>
        <w:rPr>
          <w:rFonts w:ascii="DejaVu Sans Mono" w:hAnsi="DejaVu Sans Mono"/>
          <w:b w:val="0"/>
          <w:i w:val="0"/>
          <w:sz w:val="17"/>
        </w:rPr>
        <w:t>s_to</w:t>
      </w:r>
      <w:r>
        <w:rPr>
          <w:b w:val="0"/>
          <w:i w:val="0"/>
        </w:rPr>
        <w:t xml:space="preserve"> 包含 MW 与 Mvar，</w:t>
      </w:r>
      <w:r>
        <w:rPr>
          <w:rFonts w:ascii="DejaVu Sans Mono" w:hAnsi="DejaVu Sans Mono"/>
          <w:b w:val="0"/>
          <w:i w:val="0"/>
          <w:sz w:val="17"/>
        </w:rPr>
        <w:t>losses</w:t>
      </w:r>
      <w:r>
        <w:rPr>
          <w:b w:val="0"/>
          <w:i w:val="0"/>
        </w:rPr>
        <w:t xml:space="preserve"> 的单位为 MW；它们采用声明的端点 </w:t>
      </w:r>
      <w:r>
        <w:drawing>
          <wp:inline xmlns:a="http://schemas.openxmlformats.org/drawingml/2006/main" xmlns:pic="http://schemas.openxmlformats.org/drawingml/2006/picture">
            <wp:extent cx="214229" cy="144920"/>
            <wp:docPr id="167" name="Picture 167"/>
            <wp:cNvGraphicFramePr>
              <a:graphicFrameLocks noChangeAspect="1"/>
            </wp:cNvGraphicFramePr>
            <a:graphic>
              <a:graphicData uri="http://schemas.openxmlformats.org/drawingml/2006/picture">
                <pic:pic>
                  <pic:nvPicPr>
                    <pic:cNvPr id="0" name="eq-167.png"/>
                    <pic:cNvPicPr/>
                  </pic:nvPicPr>
                  <pic:blipFill>
                    <a:blip r:embed="rId161"/>
                    <a:stretch>
                      <a:fillRect/>
                    </a:stretch>
                  </pic:blipFill>
                  <pic:spPr>
                    <a:xfrm>
                      <a:off x="0" y="0"/>
                      <a:ext cx="214229" cy="144920"/>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4493437" cy="761096"/>
            <wp:docPr id="168" name="Picture 168"/>
            <wp:cNvGraphicFramePr>
              <a:graphicFrameLocks noChangeAspect="1"/>
            </wp:cNvGraphicFramePr>
            <a:graphic>
              <a:graphicData uri="http://schemas.openxmlformats.org/drawingml/2006/picture">
                <pic:pic>
                  <pic:nvPicPr>
                    <pic:cNvPr id="0" name="eq-168.png"/>
                    <pic:cNvPicPr/>
                  </pic:nvPicPr>
                  <pic:blipFill>
                    <a:blip r:embed="rId162"/>
                    <a:stretch>
                      <a:fillRect/>
                    </a:stretch>
                  </pic:blipFill>
                  <pic:spPr>
                    <a:xfrm>
                      <a:off x="0" y="0"/>
                      <a:ext cx="4493437" cy="761096"/>
                    </a:xfrm>
                    <a:prstGeom prst="rect"/>
                  </pic:spPr>
                </pic:pic>
              </a:graphicData>
            </a:graphic>
          </wp:inline>
        </w:drawing>
      </w:r>
    </w:p>
    <w:p>
      <w:r>
        <w:rPr>
          <w:b w:val="0"/>
          <w:i w:val="0"/>
        </w:rPr>
        <w:t xml:space="preserve">两端视在功率均受 </w:t>
      </w:r>
      <w:r>
        <w:rPr>
          <w:rFonts w:ascii="DejaVu Sans Mono" w:hAnsi="DejaVu Sans Mono"/>
          <w:b w:val="0"/>
          <w:i w:val="0"/>
          <w:sz w:val="17"/>
        </w:rPr>
        <w:t>apparent_​power_​rating_​mva</w:t>
      </w:r>
      <w:r>
        <w:rPr>
          <w:b w:val="0"/>
          <w:i w:val="0"/>
        </w:rPr>
        <w:t xml:space="preserve"> 乘 </w:t>
      </w:r>
      <w:r>
        <w:rPr>
          <w:rFonts w:ascii="DejaVu Sans Mono" w:hAnsi="DejaVu Sans Mono"/>
          <w:b w:val="0"/>
          <w:i w:val="0"/>
          <w:sz w:val="17"/>
        </w:rPr>
        <w:t>circuits</w:t>
      </w:r>
      <w:r>
        <w:rPr>
          <w:b w:val="0"/>
          <w:i w:val="0"/>
        </w:rPr>
        <w:t xml:space="preserve"> 约束。在役支路按声明阻抗进入导纳矩阵，拓扑和设备设定保持固定。</w:t>
      </w:r>
    </w:p>
    <w:p>
      <w:r>
        <w:rPr>
          <w:b w:val="0"/>
          <w:i w:val="0"/>
        </w:rPr>
        <w:t>非线性最小二乘从多个初始电压条件求解。收敛解先核对一致性，再检查发电有功与无功边界、节点电压、支路额定值，以及供给、充电、需求和损失之间的系统平衡。</w:t>
      </w:r>
      <w:r>
        <w:rPr>
          <w:rFonts w:ascii="DejaVu Sans Mono" w:hAnsi="DejaVu Sans Mono"/>
          <w:b w:val="0"/>
          <w:i w:val="0"/>
          <w:sz w:val="17"/>
        </w:rPr>
        <w:t>ReferenceACFeasibilityPSM</w:t>
      </w:r>
      <w:r>
        <w:rPr>
          <w:b w:val="0"/>
          <w:i w:val="0"/>
        </w:rPr>
        <w:t xml:space="preserve"> 返回该计划对应的局部稳态轨迹和可行性检查。</w:t>
      </w:r>
    </w:p>
    <w:p>
      <w:pPr>
        <w:pStyle w:val="Heading2"/>
      </w:pPr>
      <w:r>
        <w:rPr>
          <w:b w:val="0"/>
          <w:i w:val="0"/>
        </w:rPr>
        <w:t>可选线路扩建</w:t>
      </w:r>
    </w:p>
    <w:p>
      <w:pPr>
        <w:keepNext/>
      </w:pPr>
      <w:r>
        <w:rPr>
          <w:b w:val="0"/>
          <w:i w:val="0"/>
        </w:rPr>
        <w:t>线路扩建根据观测拥塞和声明年度收益筛选外部候选。候选记录包含端点、回路数、支路参数及限额、建设费用、固定运维、寿命、折现率、建设期、延误、规划成功率和预算组。</w:t>
      </w:r>
      <w:r>
        <w:rPr>
          <w:rFonts w:ascii="DejaVu Sans Mono" w:hAnsi="DejaVu Sans Mono"/>
          <w:b w:val="0"/>
          <w:i w:val="0"/>
          <w:sz w:val="17"/>
        </w:rPr>
        <w:t>ReferenceTransmissionExpansion.propose</w:t>
      </w:r>
      <w:r>
        <w:rPr>
          <w:b w:val="0"/>
          <w:i w:val="0"/>
        </w:rPr>
        <w:t xml:space="preserve"> 计算峰值利用率 </w:t>
      </w:r>
      <w:r>
        <w:rPr>
          <w:rFonts w:ascii="DejaVu Sans Mono" w:hAnsi="DejaVu Sans Mono"/>
          <w:b w:val="0"/>
          <w:i w:val="0"/>
          <w:sz w:val="17"/>
        </w:rPr>
        <w:t>utilisation</w:t>
      </w:r>
      <w:r>
        <w:rPr>
          <w:b w:val="0"/>
          <w:i w:val="0"/>
        </w:rPr>
        <w:t xml:space="preserve">、年费用 </w:t>
      </w:r>
      <w:r>
        <w:rPr>
          <w:rFonts w:ascii="DejaVu Sans Mono" w:hAnsi="DejaVu Sans Mono"/>
          <w:b w:val="0"/>
          <w:i w:val="0"/>
          <w:sz w:val="17"/>
        </w:rPr>
        <w:t>annual_cost</w:t>
      </w:r>
      <w:r>
        <w:rPr>
          <w:b w:val="0"/>
          <w:i w:val="0"/>
        </w:rPr>
        <w:t xml:space="preserve"> 和效益费用比 </w:t>
      </w:r>
      <w:r>
        <w:rPr>
          <w:rFonts w:ascii="DejaVu Sans Mono" w:hAnsi="DejaVu Sans Mono"/>
          <w:b w:val="0"/>
          <w:i w:val="0"/>
          <w:sz w:val="17"/>
        </w:rPr>
        <w:t>ratio</w:t>
      </w:r>
      <w:r>
        <w:rPr>
          <w:b w:val="0"/>
          <w:i w:val="0"/>
        </w:rPr>
        <w:t>：</w:t>
      </w:r>
    </w:p>
    <w:p>
      <w:pPr>
        <w:spacing w:after="160"/>
        <w:jc w:val="center"/>
      </w:pPr>
      <w:r>
        <w:drawing>
          <wp:inline xmlns:a="http://schemas.openxmlformats.org/drawingml/2006/main" xmlns:pic="http://schemas.openxmlformats.org/drawingml/2006/picture">
            <wp:extent cx="6123812" cy="1088068"/>
            <wp:docPr id="169" name="Picture 169"/>
            <wp:cNvGraphicFramePr>
              <a:graphicFrameLocks noChangeAspect="1"/>
            </wp:cNvGraphicFramePr>
            <a:graphic>
              <a:graphicData uri="http://schemas.openxmlformats.org/drawingml/2006/picture">
                <pic:pic>
                  <pic:nvPicPr>
                    <pic:cNvPr id="0" name="eq-169.png"/>
                    <pic:cNvPicPr/>
                  </pic:nvPicPr>
                  <pic:blipFill>
                    <a:blip r:embed="rId163"/>
                    <a:stretch>
                      <a:fillRect/>
                    </a:stretch>
                  </pic:blipFill>
                  <pic:spPr>
                    <a:xfrm>
                      <a:off x="0" y="0"/>
                      <a:ext cx="6123812" cy="1088068"/>
                    </a:xfrm>
                    <a:prstGeom prst="rect"/>
                  </pic:spPr>
                </pic:pic>
              </a:graphicData>
            </a:graphic>
          </wp:inline>
        </w:drawing>
      </w:r>
    </w:p>
    <w:p>
      <w:pPr>
        <w:keepNext/>
      </w:pPr>
      <w:r>
        <w:rPr>
          <w:b w:val="0"/>
          <w:i w:val="0"/>
        </w:rPr>
        <w:t xml:space="preserve">资本回收函数 </w:t>
      </w:r>
      <w:r>
        <w:rPr>
          <w:rFonts w:ascii="DejaVu Sans Mono" w:hAnsi="DejaVu Sans Mono"/>
          <w:b w:val="0"/>
          <w:i w:val="0"/>
          <w:sz w:val="17"/>
        </w:rPr>
        <w:t>_crf</w:t>
      </w:r>
      <w:r>
        <w:rPr>
          <w:b w:val="0"/>
          <w:i w:val="0"/>
        </w:rPr>
        <w:t xml:space="preserve"> 使用参数 </w:t>
      </w:r>
      <w:r>
        <w:rPr>
          <w:rFonts w:ascii="DejaVu Sans Mono" w:hAnsi="DejaVu Sans Mono"/>
          <w:b w:val="0"/>
          <w:i w:val="0"/>
          <w:sz w:val="17"/>
        </w:rPr>
        <w:t>rate</w:t>
      </w:r>
      <w:r>
        <w:rPr>
          <w:b w:val="0"/>
          <w:i w:val="0"/>
        </w:rPr>
        <w:t xml:space="preserve"> 与 </w:t>
      </w:r>
      <w:r>
        <w:rPr>
          <w:rFonts w:ascii="DejaVu Sans Mono" w:hAnsi="DejaVu Sans Mono"/>
          <w:b w:val="0"/>
          <w:i w:val="0"/>
          <w:sz w:val="17"/>
        </w:rPr>
        <w:t>life</w:t>
      </w:r>
      <w:r>
        <w:rPr>
          <w:b w:val="0"/>
          <w:i w:val="0"/>
        </w:rPr>
        <w:t>：</w:t>
      </w:r>
    </w:p>
    <w:p>
      <w:pPr>
        <w:spacing w:after="160"/>
        <w:jc w:val="center"/>
      </w:pPr>
      <w:r>
        <w:drawing>
          <wp:inline xmlns:a="http://schemas.openxmlformats.org/drawingml/2006/main" xmlns:pic="http://schemas.openxmlformats.org/drawingml/2006/picture">
            <wp:extent cx="3721150" cy="649144"/>
            <wp:docPr id="170" name="Picture 170"/>
            <wp:cNvGraphicFramePr>
              <a:graphicFrameLocks noChangeAspect="1"/>
            </wp:cNvGraphicFramePr>
            <a:graphic>
              <a:graphicData uri="http://schemas.openxmlformats.org/drawingml/2006/picture">
                <pic:pic>
                  <pic:nvPicPr>
                    <pic:cNvPr id="0" name="eq-170.png"/>
                    <pic:cNvPicPr/>
                  </pic:nvPicPr>
                  <pic:blipFill>
                    <a:blip r:embed="rId164"/>
                    <a:stretch>
                      <a:fillRect/>
                    </a:stretch>
                  </pic:blipFill>
                  <pic:spPr>
                    <a:xfrm>
                      <a:off x="0" y="0"/>
                      <a:ext cx="3721150" cy="649144"/>
                    </a:xfrm>
                    <a:prstGeom prst="rect"/>
                  </pic:spPr>
                </pic:pic>
              </a:graphicData>
            </a:graphic>
          </wp:inline>
        </w:drawing>
      </w:r>
    </w:p>
    <w:p>
      <w:r>
        <w:rPr>
          <w:b w:val="0"/>
          <w:i w:val="0"/>
        </w:rPr>
        <w:t xml:space="preserve">候选按 </w:t>
      </w:r>
      <w:r>
        <w:rPr>
          <w:rFonts w:ascii="DejaVu Sans Mono" w:hAnsi="DejaVu Sans Mono"/>
          <w:b w:val="0"/>
          <w:i w:val="0"/>
          <w:sz w:val="17"/>
        </w:rPr>
        <w:t>ratio</w:t>
      </w:r>
      <w:r>
        <w:rPr>
          <w:b w:val="0"/>
          <w:i w:val="0"/>
        </w:rPr>
        <w:t xml:space="preserve"> 降序和标识升序排列，最早决策年、最低触发利用率、最低效益费用比、总预算与预算组额度共同决定准入。年费用为零时比率为无穷大。注册参数默认年度总资金为 0 GBP，每组额度为 </w:t>
      </w:r>
      <w:r>
        <w:drawing>
          <wp:inline xmlns:a="http://schemas.openxmlformats.org/drawingml/2006/main" xmlns:pic="http://schemas.openxmlformats.org/drawingml/2006/picture">
            <wp:extent cx="282892" cy="140398"/>
            <wp:docPr id="171" name="Picture 171"/>
            <wp:cNvGraphicFramePr>
              <a:graphicFrameLocks noChangeAspect="1"/>
            </wp:cNvGraphicFramePr>
            <a:graphic>
              <a:graphicData uri="http://schemas.openxmlformats.org/drawingml/2006/picture">
                <pic:pic>
                  <pic:nvPicPr>
                    <pic:cNvPr id="0" name="eq-171.png"/>
                    <pic:cNvPicPr/>
                  </pic:nvPicPr>
                  <pic:blipFill>
                    <a:blip r:embed="rId165"/>
                    <a:stretch>
                      <a:fillRect/>
                    </a:stretch>
                  </pic:blipFill>
                  <pic:spPr>
                    <a:xfrm>
                      <a:off x="0" y="0"/>
                      <a:ext cx="282892" cy="140398"/>
                    </a:xfrm>
                    <a:prstGeom prst="rect"/>
                  </pic:spPr>
                </pic:pic>
              </a:graphicData>
            </a:graphic>
          </wp:inline>
        </w:drawing>
      </w:r>
      <w:r>
        <w:rPr>
          <w:b w:val="0"/>
          <w:i w:val="0"/>
        </w:rPr>
        <w:t xml:space="preserve"> GBP。每个接纳提案扣除完整建设费用，预计投运年为决策年加 </w:t>
      </w:r>
      <w:r>
        <w:rPr>
          <w:rFonts w:ascii="DejaVu Sans Mono" w:hAnsi="DejaVu Sans Mono"/>
          <w:b w:val="0"/>
          <w:i w:val="0"/>
          <w:sz w:val="17"/>
        </w:rPr>
        <w:t>lead_time_years</w:t>
      </w:r>
      <w:r>
        <w:rPr>
          <w:b w:val="0"/>
          <w:i w:val="0"/>
        </w:rPr>
        <w:t xml:space="preserve"> 和 </w:t>
      </w:r>
      <w:r>
        <w:rPr>
          <w:rFonts w:ascii="DejaVu Sans Mono" w:hAnsi="DejaVu Sans Mono"/>
          <w:b w:val="0"/>
          <w:i w:val="0"/>
          <w:sz w:val="17"/>
        </w:rPr>
        <w:t>delay_years</w:t>
      </w:r>
      <w:r>
        <w:rPr>
          <w:b w:val="0"/>
          <w:i w:val="0"/>
        </w:rPr>
        <w:t>。</w:t>
      </w:r>
    </w:p>
    <w:p>
      <w:r>
        <w:rPr>
          <w:b w:val="0"/>
          <w:i w:val="0"/>
        </w:rPr>
        <w:t xml:space="preserve">规划成功由可重复的均匀抽样值与 </w:t>
      </w:r>
      <w:r>
        <w:rPr>
          <w:rFonts w:ascii="DejaVu Sans Mono" w:hAnsi="DejaVu Sans Mono"/>
          <w:b w:val="0"/>
          <w:i w:val="0"/>
          <w:sz w:val="17"/>
        </w:rPr>
        <w:t>success_probability</w:t>
      </w:r>
      <w:r>
        <w:rPr>
          <w:b w:val="0"/>
          <w:i w:val="0"/>
        </w:rPr>
        <w:t xml:space="preserve"> 比较决定。默认种子为 0，提案标识包含运行标识，两者共同确定抽样。年初将已完成项目投运；线路按投运年加 </w:t>
      </w:r>
      <w:r>
        <w:rPr>
          <w:rFonts w:ascii="DejaVu Sans Mono" w:hAnsi="DejaVu Sans Mono"/>
          <w:b w:val="0"/>
          <w:i w:val="0"/>
          <w:sz w:val="17"/>
        </w:rPr>
        <w:t>economic_life_years</w:t>
      </w:r>
      <w:r>
        <w:rPr>
          <w:b w:val="0"/>
          <w:i w:val="0"/>
        </w:rPr>
        <w:t xml:space="preserve"> 向上取整的年份退役。</w:t>
      </w:r>
      <w:r>
        <w:rPr>
          <w:rFonts w:ascii="DejaVu Sans Mono" w:hAnsi="DejaVu Sans Mono"/>
          <w:b w:val="0"/>
          <w:i w:val="0"/>
          <w:sz w:val="17"/>
        </w:rPr>
        <w:t>apply_​commissioned_​network_​assets</w:t>
      </w:r>
      <w:r>
        <w:rPr>
          <w:b w:val="0"/>
          <w:i w:val="0"/>
        </w:rPr>
        <w:t xml:space="preserve"> 将投运支路接入年度网络。23 区和 11 区案例保持固定网络，线路扩建属于单独选择的方法。</w:t>
      </w:r>
    </w:p>
    <w:p>
      <w:pPr>
        <w:pStyle w:val="Heading2"/>
      </w:pPr>
      <w:r>
        <w:rPr>
          <w:b w:val="0"/>
          <w:i w:val="0"/>
        </w:rPr>
        <w:t>数据与实现对应</w:t>
      </w:r>
    </w:p>
    <w:p>
      <w:r>
        <w:rPr>
          <w:b w:val="0"/>
          <w:i w:val="0"/>
        </w:rPr>
        <w:t xml:space="preserve">分区数据由 </w:t>
      </w:r>
      <w:r>
        <w:rPr>
          <w:rFonts w:ascii="DejaVu Sans Mono" w:hAnsi="DejaVu Sans Mono"/>
          <w:b w:val="0"/>
          <w:i w:val="0"/>
          <w:sz w:val="17"/>
        </w:rPr>
        <w:t>zones</w:t>
      </w:r>
      <w:r>
        <w:rPr>
          <w:b w:val="0"/>
          <w:i w:val="0"/>
        </w:rPr>
        <w:t>、</w:t>
      </w:r>
      <w:r>
        <w:rPr>
          <w:rFonts w:ascii="DejaVu Sans Mono" w:hAnsi="DejaVu Sans Mono"/>
          <w:b w:val="0"/>
          <w:i w:val="0"/>
          <w:sz w:val="17"/>
        </w:rPr>
        <w:t>corridors</w:t>
      </w:r>
      <w:r>
        <w:rPr>
          <w:b w:val="0"/>
          <w:i w:val="0"/>
        </w:rPr>
        <w:t>、</w:t>
      </w:r>
      <w:r>
        <w:rPr>
          <w:rFonts w:ascii="DejaVu Sans Mono" w:hAnsi="DejaVu Sans Mono"/>
          <w:b w:val="0"/>
          <w:i w:val="0"/>
          <w:sz w:val="17"/>
        </w:rPr>
        <w:t>cutsets</w:t>
      </w:r>
      <w:r>
        <w:rPr>
          <w:b w:val="0"/>
          <w:i w:val="0"/>
        </w:rPr>
        <w:t>、</w:t>
      </w:r>
      <w:r>
        <w:rPr>
          <w:rFonts w:ascii="DejaVu Sans Mono" w:hAnsi="DejaVu Sans Mono"/>
          <w:b w:val="0"/>
          <w:i w:val="0"/>
          <w:sz w:val="17"/>
        </w:rPr>
        <w:t>asset-map</w:t>
      </w:r>
      <w:r>
        <w:rPr>
          <w:b w:val="0"/>
          <w:i w:val="0"/>
        </w:rPr>
        <w:t>、</w:t>
      </w:r>
      <w:r>
        <w:rPr>
          <w:rFonts w:ascii="DejaVu Sans Mono" w:hAnsi="DejaVu Sans Mono"/>
          <w:b w:val="0"/>
          <w:i w:val="0"/>
          <w:sz w:val="17"/>
        </w:rPr>
        <w:t>demand</w:t>
      </w:r>
      <w:r>
        <w:rPr>
          <w:b w:val="0"/>
          <w:i w:val="0"/>
        </w:rPr>
        <w:t>、</w:t>
      </w:r>
      <w:r>
        <w:rPr>
          <w:rFonts w:ascii="DejaVu Sans Mono" w:hAnsi="DejaVu Sans Mono"/>
          <w:b w:val="0"/>
          <w:i w:val="0"/>
          <w:sz w:val="17"/>
        </w:rPr>
        <w:t>ratings</w:t>
      </w:r>
      <w:r>
        <w:rPr>
          <w:b w:val="0"/>
          <w:i w:val="0"/>
        </w:rPr>
        <w:t xml:space="preserve"> 和 </w:t>
      </w:r>
      <w:r>
        <w:rPr>
          <w:rFonts w:ascii="DejaVu Sans Mono" w:hAnsi="DejaVu Sans Mono"/>
          <w:b w:val="0"/>
          <w:i w:val="0"/>
          <w:sz w:val="17"/>
        </w:rPr>
        <w:t>interconnector-landings</w:t>
      </w:r>
      <w:r>
        <w:rPr>
          <w:b w:val="0"/>
          <w:i w:val="0"/>
        </w:rPr>
        <w:t xml:space="preserve"> 输入组成。</w:t>
      </w:r>
      <w:r>
        <w:rPr>
          <w:rFonts w:ascii="DejaVu Sans Mono" w:hAnsi="DejaVu Sans Mono"/>
          <w:b w:val="0"/>
          <w:i w:val="0"/>
          <w:sz w:val="17"/>
        </w:rPr>
        <w:t>align_zonal_demand</w:t>
      </w:r>
      <w:r>
        <w:rPr>
          <w:b w:val="0"/>
          <w:i w:val="0"/>
        </w:rPr>
        <w:t xml:space="preserve"> 执行两种需求规则，</w:t>
      </w:r>
      <w:r>
        <w:rPr>
          <w:rFonts w:ascii="DejaVu Sans Mono" w:hAnsi="DejaVu Sans Mono"/>
          <w:b w:val="0"/>
          <w:i w:val="0"/>
          <w:sz w:val="17"/>
        </w:rPr>
        <w:t>build_​single_​period_​problem</w:t>
      </w:r>
      <w:r>
        <w:rPr>
          <w:b w:val="0"/>
          <w:i w:val="0"/>
        </w:rPr>
        <w:t xml:space="preserve"> 建立再调度约束，</w:t>
      </w:r>
      <w:r>
        <w:rPr>
          <w:rFonts w:ascii="DejaVu Sans Mono" w:hAnsi="DejaVu Sans Mono"/>
          <w:b w:val="0"/>
          <w:i w:val="0"/>
          <w:sz w:val="17"/>
        </w:rPr>
        <w:t>solve_lexicographic</w:t>
      </w:r>
      <w:r>
        <w:rPr>
          <w:b w:val="0"/>
          <w:i w:val="0"/>
        </w:rPr>
        <w:t xml:space="preserve"> 依次求解 4 个目标，</w:t>
      </w:r>
      <w:r>
        <w:rPr>
          <w:rFonts w:ascii="DejaVu Sans Mono" w:hAnsi="DejaVu Sans Mono"/>
          <w:b w:val="0"/>
          <w:i w:val="0"/>
          <w:sz w:val="17"/>
        </w:rPr>
        <w:t>ZonalRedispatchBalancing</w:t>
      </w:r>
      <w:r>
        <w:rPr>
          <w:b w:val="0"/>
          <w:i w:val="0"/>
        </w:rPr>
        <w:t xml:space="preserve"> 返回实际注入、库存及费用。11 区研究采用外部研究脚本 </w:t>
      </w:r>
      <w:r>
        <w:rPr>
          <w:rFonts w:ascii="DejaVu Sans Mono" w:hAnsi="DejaVu Sans Mono"/>
          <w:b w:val="0"/>
          <w:i w:val="0"/>
          <w:sz w:val="17"/>
        </w:rPr>
        <w:t>build_network_data.py</w:t>
      </w:r>
      <w:r>
        <w:rPr>
          <w:b w:val="0"/>
          <w:i w:val="0"/>
        </w:rPr>
        <w:t xml:space="preserve"> 和 </w:t>
      </w:r>
      <w:r>
        <w:rPr>
          <w:rFonts w:ascii="DejaVu Sans Mono" w:hAnsi="DejaVu Sans Mono"/>
          <w:b w:val="0"/>
          <w:i w:val="0"/>
          <w:sz w:val="17"/>
        </w:rPr>
        <w:t>fixed_fleet_runner.py</w:t>
      </w:r>
      <w:r>
        <w:rPr>
          <w:b w:val="0"/>
          <w:i w:val="0"/>
        </w:rPr>
        <w:t xml:space="preserve">，容量情景由 </w:t>
      </w:r>
      <w:r>
        <w:rPr>
          <w:rFonts w:ascii="DejaVu Sans Mono" w:hAnsi="DejaVu Sans Mono"/>
          <w:b w:val="0"/>
          <w:i w:val="0"/>
          <w:sz w:val="17"/>
        </w:rPr>
        <w:t>cutsets_2025.json</w:t>
      </w:r>
      <w:r>
        <w:rPr>
          <w:b w:val="0"/>
          <w:i w:val="0"/>
        </w:rPr>
        <w:t>、</w:t>
      </w:r>
      <w:r>
        <w:rPr>
          <w:rFonts w:ascii="DejaVu Sans Mono" w:hAnsi="DejaVu Sans Mono"/>
          <w:b w:val="0"/>
          <w:i w:val="0"/>
          <w:sz w:val="17"/>
        </w:rPr>
        <w:t>cutsets_2029.json</w:t>
      </w:r>
      <w:r>
        <w:rPr>
          <w:b w:val="0"/>
          <w:i w:val="0"/>
        </w:rPr>
        <w:t xml:space="preserve"> 及夏冬热容量文件定义。这些脚本属于上文的独立固定资产实验，随模型提供的英国网络研究采用 23 区套件。</w:t>
      </w:r>
    </w:p>
    <w:p>
      <w:r>
        <w:rPr>
          <w:rFonts w:ascii="DejaVu Sans Mono" w:hAnsi="DejaVu Sans Mono"/>
          <w:b w:val="0"/>
          <w:i w:val="0"/>
          <w:sz w:val="17"/>
        </w:rPr>
        <w:t>network_method_rules.py</w:t>
      </w:r>
      <w:r>
        <w:rPr>
          <w:b w:val="0"/>
          <w:i w:val="0"/>
        </w:rPr>
        <w:t xml:space="preserve"> 定义 </w:t>
      </w:r>
      <w:r>
        <w:rPr>
          <w:rFonts w:ascii="DejaVu Sans Mono" w:hAnsi="DejaVu Sans Mono"/>
          <w:b w:val="0"/>
          <w:i w:val="0"/>
          <w:sz w:val="17"/>
        </w:rPr>
        <w:t>network-economic-v2</w:t>
      </w:r>
      <w:r>
        <w:rPr>
          <w:b w:val="0"/>
          <w:i w:val="0"/>
        </w:rPr>
        <w:t xml:space="preserve">。无网络参照使用 </w:t>
      </w:r>
      <w:r>
        <w:rPr>
          <w:rFonts w:ascii="DejaVu Sans Mono" w:hAnsi="DejaVu Sans Mono"/>
          <w:b w:val="0"/>
          <w:i w:val="0"/>
          <w:sz w:val="17"/>
        </w:rPr>
        <w:t>value.network-free-lp/​v1</w:t>
      </w:r>
      <w:r>
        <w:rPr>
          <w:b w:val="0"/>
          <w:i w:val="0"/>
        </w:rPr>
        <w:t xml:space="preserve"> 标识，</w:t>
      </w:r>
      <w:r>
        <w:rPr>
          <w:rFonts w:ascii="DejaVu Sans Mono" w:hAnsi="DejaVu Sans Mono"/>
          <w:b w:val="0"/>
          <w:i w:val="0"/>
          <w:sz w:val="17"/>
        </w:rPr>
        <w:t>zonal_results.py</w:t>
      </w:r>
      <w:r>
        <w:rPr>
          <w:b w:val="0"/>
          <w:i w:val="0"/>
        </w:rPr>
        <w:t xml:space="preserve"> 汇总分区结果。各年度在 </w:t>
      </w:r>
      <w:r>
        <w:rPr>
          <w:rFonts w:ascii="DejaVu Sans Mono" w:hAnsi="DejaVu Sans Mono"/>
          <w:b w:val="0"/>
          <w:i w:val="0"/>
          <w:sz w:val="17"/>
        </w:rPr>
        <w:t>extensions.downward_​restart_​economics</w:t>
      </w:r>
      <w:r>
        <w:rPr>
          <w:b w:val="0"/>
          <w:i w:val="0"/>
        </w:rPr>
        <w:t xml:space="preserve"> 中记录下调报价假设，采用 </w:t>
      </w:r>
      <w:r>
        <w:rPr>
          <w:rFonts w:ascii="DejaVu Sans Mono" w:hAnsi="DejaVu Sans Mono"/>
          <w:b w:val="0"/>
          <w:i w:val="0"/>
          <w:sz w:val="17"/>
        </w:rPr>
        <w:t>value.network-downward-restart-economics/​v1</w:t>
      </w:r>
      <w:r>
        <w:rPr>
          <w:b w:val="0"/>
          <w:i w:val="0"/>
        </w:rPr>
        <w:t xml:space="preserve"> 结构；缺失输入及回退依据记入计算记录。</w:t>
      </w:r>
    </w:p>
    <w:p>
      <w:r>
        <w:rPr>
          <w:b w:val="0"/>
          <w:i w:val="0"/>
        </w:rPr>
        <w:t>独立电网模块使用节点、支路、资产到节点映射及逐期需求。</w:t>
      </w:r>
      <w:r>
        <w:rPr>
          <w:rFonts w:ascii="DejaVu Sans Mono" w:hAnsi="DejaVu Sans Mono"/>
          <w:b w:val="0"/>
          <w:i w:val="0"/>
          <w:sz w:val="17"/>
        </w:rPr>
        <w:t>ReferenceDCNetworkPSM</w:t>
      </w:r>
      <w:r>
        <w:rPr>
          <w:b w:val="0"/>
          <w:i w:val="0"/>
        </w:rPr>
        <w:t xml:space="preserve"> 和 </w:t>
      </w:r>
      <w:r>
        <w:rPr>
          <w:rFonts w:ascii="DejaVu Sans Mono" w:hAnsi="DejaVu Sans Mono"/>
          <w:b w:val="0"/>
          <w:i w:val="0"/>
          <w:sz w:val="17"/>
        </w:rPr>
        <w:t>validate_dc_solution</w:t>
      </w:r>
      <w:r>
        <w:rPr>
          <w:b w:val="0"/>
          <w:i w:val="0"/>
        </w:rPr>
        <w:t xml:space="preserve"> 对应线性调度及其物理检查；</w:t>
      </w:r>
      <w:r>
        <w:rPr>
          <w:rFonts w:ascii="DejaVu Sans Mono" w:hAnsi="DejaVu Sans Mono"/>
          <w:b w:val="0"/>
          <w:i w:val="0"/>
          <w:sz w:val="17"/>
        </w:rPr>
        <w:t>load_ac_data_from_pack</w:t>
      </w:r>
      <w:r>
        <w:rPr>
          <w:b w:val="0"/>
          <w:i w:val="0"/>
        </w:rPr>
        <w:t>、</w:t>
      </w:r>
      <w:r>
        <w:rPr>
          <w:rFonts w:ascii="DejaVu Sans Mono" w:hAnsi="DejaVu Sans Mono"/>
          <w:b w:val="0"/>
          <w:i w:val="0"/>
          <w:sz w:val="17"/>
        </w:rPr>
        <w:t>ReferenceACFeasibilityPSM</w:t>
      </w:r>
      <w:r>
        <w:rPr>
          <w:b w:val="0"/>
          <w:i w:val="0"/>
        </w:rPr>
        <w:t xml:space="preserve"> 和 </w:t>
      </w:r>
      <w:r>
        <w:rPr>
          <w:rFonts w:ascii="DejaVu Sans Mono" w:hAnsi="DejaVu Sans Mono"/>
          <w:b w:val="0"/>
          <w:i w:val="0"/>
          <w:sz w:val="17"/>
        </w:rPr>
        <w:t>validate_ac_result</w:t>
      </w:r>
      <w:r>
        <w:rPr>
          <w:b w:val="0"/>
          <w:i w:val="0"/>
        </w:rPr>
        <w:t xml:space="preserve"> 对应交流输入、潮流及可行性检查。</w:t>
      </w:r>
      <w:r>
        <w:rPr>
          <w:rFonts w:ascii="DejaVu Sans Mono" w:hAnsi="DejaVu Sans Mono"/>
          <w:b w:val="0"/>
          <w:i w:val="0"/>
          <w:sz w:val="17"/>
        </w:rPr>
        <w:t>ReferenceTransmissionExpansion</w:t>
      </w:r>
      <w:r>
        <w:rPr>
          <w:b w:val="0"/>
          <w:i w:val="0"/>
        </w:rPr>
        <w:t xml:space="preserve"> 读取候选与预算并更新建设状态，</w:t>
      </w:r>
      <w:r>
        <w:rPr>
          <w:rFonts w:ascii="DejaVu Sans Mono" w:hAnsi="DejaVu Sans Mono"/>
          <w:b w:val="0"/>
          <w:i w:val="0"/>
          <w:sz w:val="17"/>
        </w:rPr>
        <w:t>apply_​commissioned_​network_​assets</w:t>
      </w:r>
      <w:r>
        <w:rPr>
          <w:b w:val="0"/>
          <w:i w:val="0"/>
        </w:rPr>
        <w:t xml:space="preserve"> 将在役新增线路接入网络。</w:t>
      </w:r>
    </w:p>
    <w:p>
      <w:pPr>
        <w:pStyle w:val="Heading1"/>
      </w:pPr>
      <w:r>
        <w:rPr>
          <w:b w:val="0"/>
          <w:i w:val="0"/>
        </w:rPr>
        <w:t>8 完全预见调度与天然水文</w:t>
      </w:r>
    </w:p>
    <w:p>
      <w:pPr>
        <w:pStyle w:val="Heading2"/>
      </w:pPr>
      <w:r>
        <w:rPr>
          <w:b w:val="0"/>
          <w:i w:val="0"/>
        </w:rPr>
        <w:t>完全预见单节点调度</w:t>
      </w:r>
    </w:p>
    <w:p>
      <w:r>
        <w:rPr>
          <w:b w:val="0"/>
          <w:i w:val="0"/>
        </w:rPr>
        <w:t>完全预见模块在固定装机下，联合安排完整输入时序中的发电、进口和储能。</w:t>
      </w:r>
      <w:r>
        <w:rPr>
          <w:rFonts w:ascii="DejaVu Sans Mono" w:hAnsi="DejaVu Sans Mono"/>
          <w:b w:val="0"/>
          <w:i w:val="0"/>
          <w:sz w:val="17"/>
        </w:rPr>
        <w:t>PerfectForesightPSM.run</w:t>
      </w:r>
      <w:r>
        <w:rPr>
          <w:b w:val="0"/>
          <w:i w:val="0"/>
        </w:rPr>
        <w:t xml:space="preserve"> 读取 </w:t>
      </w:r>
      <w:r>
        <w:rPr>
          <w:rFonts w:ascii="DejaVu Sans Mono" w:hAnsi="DejaVu Sans Mono"/>
          <w:b w:val="0"/>
          <w:i w:val="0"/>
          <w:sz w:val="17"/>
        </w:rPr>
        <w:t>PSMInput.chronology</w:t>
      </w:r>
      <w:r>
        <w:rPr>
          <w:b w:val="0"/>
          <w:i w:val="0"/>
        </w:rPr>
        <w:t>，年度外层模型提供投资及其形成的装机。各期输入包括需求、资源可用率和边际费用；储能输入包括功率、电量容量、效率和期初库存。</w:t>
      </w:r>
    </w:p>
    <w:p>
      <w:pPr>
        <w:keepNext/>
      </w:pPr>
      <w:r>
        <w:rPr>
          <w:b w:val="0"/>
          <w:i w:val="0"/>
        </w:rPr>
        <w:t>目标函数最小化资源运行支出、储能衰减费用和缺电费用。公式保留实现名称：</w:t>
      </w:r>
      <w:r>
        <w:rPr>
          <w:rFonts w:ascii="DejaVu Sans Mono" w:hAnsi="DejaVu Sans Mono"/>
          <w:b w:val="0"/>
          <w:i w:val="0"/>
          <w:sz w:val="17"/>
        </w:rPr>
        <w:t>resource_period</w:t>
      </w:r>
      <w:r>
        <w:rPr>
          <w:b w:val="0"/>
          <w:i w:val="0"/>
        </w:rPr>
        <w:t>、</w:t>
      </w:r>
      <w:r>
        <w:rPr>
          <w:rFonts w:ascii="DejaVu Sans Mono" w:hAnsi="DejaVu Sans Mono"/>
          <w:b w:val="0"/>
          <w:i w:val="0"/>
          <w:sz w:val="17"/>
        </w:rPr>
        <w:t>charge_period</w:t>
      </w:r>
      <w:r>
        <w:rPr>
          <w:b w:val="0"/>
          <w:i w:val="0"/>
        </w:rPr>
        <w:t>、</w:t>
      </w:r>
      <w:r>
        <w:rPr>
          <w:rFonts w:ascii="DejaVu Sans Mono" w:hAnsi="DejaVu Sans Mono"/>
          <w:b w:val="0"/>
          <w:i w:val="0"/>
          <w:sz w:val="17"/>
        </w:rPr>
        <w:t>discharge_period</w:t>
      </w:r>
      <w:r>
        <w:rPr>
          <w:b w:val="0"/>
          <w:i w:val="0"/>
        </w:rPr>
        <w:t>、</w:t>
      </w:r>
      <w:r>
        <w:rPr>
          <w:rFonts w:ascii="DejaVu Sans Mono" w:hAnsi="DejaVu Sans Mono"/>
          <w:b w:val="0"/>
          <w:i w:val="0"/>
          <w:sz w:val="17"/>
        </w:rPr>
        <w:t>soc_period</w:t>
      </w:r>
      <w:r>
        <w:rPr>
          <w:b w:val="0"/>
          <w:i w:val="0"/>
        </w:rPr>
        <w:t xml:space="preserve"> 和 </w:t>
      </w:r>
      <w:r>
        <w:rPr>
          <w:rFonts w:ascii="DejaVu Sans Mono" w:hAnsi="DejaVu Sans Mono"/>
          <w:b w:val="0"/>
          <w:i w:val="0"/>
          <w:sz w:val="17"/>
        </w:rPr>
        <w:t>blackout</w:t>
      </w:r>
      <w:r>
        <w:rPr>
          <w:b w:val="0"/>
          <w:i w:val="0"/>
        </w:rPr>
        <w:t xml:space="preserve"> 均为 MWh 数组，下标 </w:t>
      </w:r>
      <w:r>
        <w:drawing>
          <wp:inline xmlns:a="http://schemas.openxmlformats.org/drawingml/2006/main" xmlns:pic="http://schemas.openxmlformats.org/drawingml/2006/picture">
            <wp:extent cx="54552" cy="107006"/>
            <wp:docPr id="172" name="Picture 172"/>
            <wp:cNvGraphicFramePr>
              <a:graphicFrameLocks noChangeAspect="1"/>
            </wp:cNvGraphicFramePr>
            <a:graphic>
              <a:graphicData uri="http://schemas.openxmlformats.org/drawingml/2006/picture">
                <pic:pic>
                  <pic:nvPicPr>
                    <pic:cNvPr id="0" name="eq-172.png"/>
                    <pic:cNvPicPr/>
                  </pic:nvPicPr>
                  <pic:blipFill>
                    <a:blip r:embed="rId166"/>
                    <a:stretch>
                      <a:fillRect/>
                    </a:stretch>
                  </pic:blipFill>
                  <pic:spPr>
                    <a:xfrm>
                      <a:off x="0" y="0"/>
                      <a:ext cx="54552" cy="107006"/>
                    </a:xfrm>
                    <a:prstGeom prst="rect"/>
                  </pic:spPr>
                </pic:pic>
              </a:graphicData>
            </a:graphic>
          </wp:inline>
        </w:drawing>
      </w:r>
      <w:r>
        <w:rPr>
          <w:b w:val="0"/>
          <w:i w:val="0"/>
        </w:rPr>
        <w:t>⁠、</w:t>
      </w:r>
      <w:r>
        <w:drawing>
          <wp:inline xmlns:a="http://schemas.openxmlformats.org/drawingml/2006/main" xmlns:pic="http://schemas.openxmlformats.org/drawingml/2006/picture">
            <wp:extent cx="74110" cy="71993"/>
            <wp:docPr id="173" name="Picture 173"/>
            <wp:cNvGraphicFramePr>
              <a:graphicFrameLocks noChangeAspect="1"/>
            </wp:cNvGraphicFramePr>
            <a:graphic>
              <a:graphicData uri="http://schemas.openxmlformats.org/drawingml/2006/picture">
                <pic:pic>
                  <pic:nvPicPr>
                    <pic:cNvPr id="0" name="eq-173.png"/>
                    <pic:cNvPicPr/>
                  </pic:nvPicPr>
                  <pic:blipFill>
                    <a:blip r:embed="rId167"/>
                    <a:stretch>
                      <a:fillRect/>
                    </a:stretch>
                  </pic:blipFill>
                  <pic:spPr>
                    <a:xfrm>
                      <a:off x="0" y="0"/>
                      <a:ext cx="74110" cy="71993"/>
                    </a:xfrm>
                    <a:prstGeom prst="rect"/>
                  </pic:spPr>
                </pic:pic>
              </a:graphicData>
            </a:graphic>
          </wp:inline>
        </w:drawing>
      </w:r>
      <w:r>
        <w:rPr>
          <w:b w:val="0"/>
          <w:i w:val="0"/>
        </w:rPr>
        <w:t>⁠、</w:t>
      </w:r>
      <w:r>
        <w:drawing>
          <wp:inline xmlns:a="http://schemas.openxmlformats.org/drawingml/2006/main" xmlns:pic="http://schemas.openxmlformats.org/drawingml/2006/picture">
            <wp:extent cx="57067" cy="101452"/>
            <wp:docPr id="174" name="Picture 174"/>
            <wp:cNvGraphicFramePr>
              <a:graphicFrameLocks noChangeAspect="1"/>
            </wp:cNvGraphicFramePr>
            <a:graphic>
              <a:graphicData uri="http://schemas.openxmlformats.org/drawingml/2006/picture">
                <pic:pic>
                  <pic:nvPicPr>
                    <pic:cNvPr id="0" name="eq-174.png"/>
                    <pic:cNvPicPr/>
                  </pic:nvPicPr>
                  <pic:blipFill>
                    <a:blip r:embed="rId168"/>
                    <a:stretch>
                      <a:fillRect/>
                    </a:stretch>
                  </pic:blipFill>
                  <pic:spPr>
                    <a:xfrm>
                      <a:off x="0" y="0"/>
                      <a:ext cx="57067" cy="101452"/>
                    </a:xfrm>
                    <a:prstGeom prst="rect"/>
                  </pic:spPr>
                </pic:pic>
              </a:graphicData>
            </a:graphic>
          </wp:inline>
        </w:drawing>
      </w:r>
      <w:r>
        <w:rPr>
          <w:b w:val="0"/>
          <w:i w:val="0"/>
        </w:rPr>
        <w:t xml:space="preserve"> 分别对应资源、储能和时段。</w:t>
      </w:r>
      <w:r>
        <w:rPr>
          <w:rFonts w:ascii="DejaVu Sans Mono" w:hAnsi="DejaVu Sans Mono"/>
          <w:b w:val="0"/>
          <w:i w:val="0"/>
          <w:sz w:val="17"/>
        </w:rPr>
        <w:t>resource_marginal_costs</w:t>
      </w:r>
      <w:r>
        <w:rPr>
          <w:b w:val="0"/>
          <w:i w:val="0"/>
        </w:rPr>
        <w:t xml:space="preserve"> 与 </w:t>
      </w:r>
      <w:r>
        <w:rPr>
          <w:rFonts w:ascii="DejaVu Sans Mono" w:hAnsi="DejaVu Sans Mono"/>
          <w:b w:val="0"/>
          <w:i w:val="0"/>
          <w:sz w:val="17"/>
        </w:rPr>
        <w:t>variable_​degradation_​gbp_​per_​mwh_​discharged</w:t>
      </w:r>
      <w:r>
        <w:rPr>
          <w:b w:val="0"/>
          <w:i w:val="0"/>
        </w:rPr>
        <w:t xml:space="preserve"> 的单位为 GBP/MWh，</w:t>
      </w:r>
      <w:r>
        <w:rPr>
          <w:rFonts w:ascii="DejaVu Sans Mono" w:hAnsi="DejaVu Sans Mono"/>
          <w:b w:val="0"/>
          <w:i w:val="0"/>
          <w:sz w:val="17"/>
        </w:rPr>
        <w:t>voll_gbp_per_mwh</w:t>
      </w:r>
      <w:r>
        <w:rPr>
          <w:b w:val="0"/>
          <w:i w:val="0"/>
        </w:rPr>
        <w:t xml:space="preserve"> 为缺电估值。目标为</w:t>
      </w:r>
    </w:p>
    <w:p>
      <w:pPr>
        <w:spacing w:after="160"/>
        <w:jc w:val="center"/>
      </w:pPr>
      <w:r>
        <w:drawing>
          <wp:inline xmlns:a="http://schemas.openxmlformats.org/drawingml/2006/main" xmlns:pic="http://schemas.openxmlformats.org/drawingml/2006/picture">
            <wp:extent cx="6150406" cy="1248372"/>
            <wp:docPr id="175" name="Picture 175"/>
            <wp:cNvGraphicFramePr>
              <a:graphicFrameLocks noChangeAspect="1"/>
            </wp:cNvGraphicFramePr>
            <a:graphic>
              <a:graphicData uri="http://schemas.openxmlformats.org/drawingml/2006/picture">
                <pic:pic>
                  <pic:nvPicPr>
                    <pic:cNvPr id="0" name="eq-175.png"/>
                    <pic:cNvPicPr/>
                  </pic:nvPicPr>
                  <pic:blipFill>
                    <a:blip r:embed="rId169"/>
                    <a:stretch>
                      <a:fillRect/>
                    </a:stretch>
                  </pic:blipFill>
                  <pic:spPr>
                    <a:xfrm>
                      <a:off x="0" y="0"/>
                      <a:ext cx="6150406" cy="1248372"/>
                    </a:xfrm>
                    <a:prstGeom prst="rect"/>
                  </pic:spPr>
                </pic:pic>
              </a:graphicData>
            </a:graphic>
          </wp:inline>
        </w:drawing>
      </w:r>
    </w:p>
    <w:p>
      <w:pPr>
        <w:keepNext/>
      </w:pPr>
      <w:r>
        <w:rPr>
          <w:b w:val="0"/>
          <w:i w:val="0"/>
        </w:rPr>
        <w:t>单节点平衡以资源供给、储能放电和记录缺电满足需求及充电：</w:t>
      </w:r>
    </w:p>
    <w:p>
      <w:pPr>
        <w:spacing w:after="160"/>
        <w:jc w:val="center"/>
      </w:pPr>
      <w:r>
        <w:drawing>
          <wp:inline xmlns:a="http://schemas.openxmlformats.org/drawingml/2006/main" xmlns:pic="http://schemas.openxmlformats.org/drawingml/2006/picture">
            <wp:extent cx="4421886" cy="784233"/>
            <wp:docPr id="176" name="Picture 176"/>
            <wp:cNvGraphicFramePr>
              <a:graphicFrameLocks noChangeAspect="1"/>
            </wp:cNvGraphicFramePr>
            <a:graphic>
              <a:graphicData uri="http://schemas.openxmlformats.org/drawingml/2006/picture">
                <pic:pic>
                  <pic:nvPicPr>
                    <pic:cNvPr id="0" name="eq-176.png"/>
                    <pic:cNvPicPr/>
                  </pic:nvPicPr>
                  <pic:blipFill>
                    <a:blip r:embed="rId170"/>
                    <a:stretch>
                      <a:fillRect/>
                    </a:stretch>
                  </pic:blipFill>
                  <pic:spPr>
                    <a:xfrm>
                      <a:off x="0" y="0"/>
                      <a:ext cx="4421886" cy="784233"/>
                    </a:xfrm>
                    <a:prstGeom prst="rect"/>
                  </pic:spPr>
                </pic:pic>
              </a:graphicData>
            </a:graphic>
          </wp:inline>
        </w:drawing>
      </w:r>
    </w:p>
    <w:p>
      <w:pPr>
        <w:keepNext/>
      </w:pPr>
      <w:r>
        <w:rPr>
          <w:b w:val="0"/>
          <w:i w:val="0"/>
        </w:rPr>
        <w:t xml:space="preserve">储能库存表示内部电量。电网侧充电量乘 </w:t>
      </w:r>
      <w:r>
        <w:rPr>
          <w:rFonts w:ascii="DejaVu Sans Mono" w:hAnsi="DejaVu Sans Mono"/>
          <w:b w:val="0"/>
          <w:i w:val="0"/>
          <w:sz w:val="17"/>
        </w:rPr>
        <w:t>charge_efficiency</w:t>
      </w:r>
      <w:r>
        <w:rPr>
          <w:b w:val="0"/>
          <w:i w:val="0"/>
        </w:rPr>
        <w:t xml:space="preserve"> 后进入库存，送出电量除以 </w:t>
      </w:r>
      <w:r>
        <w:rPr>
          <w:rFonts w:ascii="DejaVu Sans Mono" w:hAnsi="DejaVu Sans Mono"/>
          <w:b w:val="0"/>
          <w:i w:val="0"/>
          <w:sz w:val="17"/>
        </w:rPr>
        <w:t>discharge_efficiency</w:t>
      </w:r>
      <w:r>
        <w:rPr>
          <w:b w:val="0"/>
          <w:i w:val="0"/>
        </w:rPr>
        <w:t xml:space="preserve"> 后从库存扣除：</w:t>
      </w:r>
    </w:p>
    <w:p>
      <w:pPr>
        <w:spacing w:after="160"/>
        <w:jc w:val="center"/>
      </w:pPr>
      <w:r>
        <w:drawing>
          <wp:inline xmlns:a="http://schemas.openxmlformats.org/drawingml/2006/main" xmlns:pic="http://schemas.openxmlformats.org/drawingml/2006/picture">
            <wp:extent cx="5128869" cy="441119"/>
            <wp:docPr id="177" name="Picture 177"/>
            <wp:cNvGraphicFramePr>
              <a:graphicFrameLocks noChangeAspect="1"/>
            </wp:cNvGraphicFramePr>
            <a:graphic>
              <a:graphicData uri="http://schemas.openxmlformats.org/drawingml/2006/picture">
                <pic:pic>
                  <pic:nvPicPr>
                    <pic:cNvPr id="0" name="eq-177.png"/>
                    <pic:cNvPicPr/>
                  </pic:nvPicPr>
                  <pic:blipFill>
                    <a:blip r:embed="rId171"/>
                    <a:stretch>
                      <a:fillRect/>
                    </a:stretch>
                  </pic:blipFill>
                  <pic:spPr>
                    <a:xfrm>
                      <a:off x="0" y="0"/>
                      <a:ext cx="5128869" cy="441119"/>
                    </a:xfrm>
                    <a:prstGeom prst="rect"/>
                  </pic:spPr>
                </pic:pic>
              </a:graphicData>
            </a:graphic>
          </wp:inline>
        </w:drawing>
      </w:r>
    </w:p>
    <w:p>
      <w:pPr>
        <w:keepNext/>
      </w:pPr>
      <w:r>
        <w:rPr>
          <w:b w:val="0"/>
          <w:i w:val="0"/>
        </w:rPr>
        <w:t xml:space="preserve">容量约束通过 </w:t>
      </w:r>
      <w:r>
        <w:rPr>
          <w:rFonts w:ascii="DejaVu Sans Mono" w:hAnsi="DejaVu Sans Mono"/>
          <w:b w:val="0"/>
          <w:i w:val="0"/>
          <w:sz w:val="17"/>
        </w:rPr>
        <w:t>period_hours</w:t>
      </w:r>
      <w:r>
        <w:rPr>
          <w:b w:val="0"/>
          <w:i w:val="0"/>
        </w:rPr>
        <w:t xml:space="preserve"> 将 MW 换为期间 MWh：</w:t>
      </w:r>
    </w:p>
    <w:p>
      <w:pPr>
        <w:spacing w:after="160"/>
        <w:jc w:val="center"/>
      </w:pPr>
      <w:r>
        <w:drawing>
          <wp:inline xmlns:a="http://schemas.openxmlformats.org/drawingml/2006/main" xmlns:pic="http://schemas.openxmlformats.org/drawingml/2006/picture">
            <wp:extent cx="5133213" cy="930609"/>
            <wp:docPr id="178" name="Picture 178"/>
            <wp:cNvGraphicFramePr>
              <a:graphicFrameLocks noChangeAspect="1"/>
            </wp:cNvGraphicFramePr>
            <a:graphic>
              <a:graphicData uri="http://schemas.openxmlformats.org/drawingml/2006/picture">
                <pic:pic>
                  <pic:nvPicPr>
                    <pic:cNvPr id="0" name="eq-178.png"/>
                    <pic:cNvPicPr/>
                  </pic:nvPicPr>
                  <pic:blipFill>
                    <a:blip r:embed="rId172"/>
                    <a:stretch>
                      <a:fillRect/>
                    </a:stretch>
                  </pic:blipFill>
                  <pic:spPr>
                    <a:xfrm>
                      <a:off x="0" y="0"/>
                      <a:ext cx="5133213" cy="930609"/>
                    </a:xfrm>
                    <a:prstGeom prst="rect"/>
                  </pic:spPr>
                </pic:pic>
              </a:graphicData>
            </a:graphic>
          </wp:inline>
        </w:drawing>
      </w:r>
    </w:p>
    <w:p>
      <w:r>
        <w:rPr>
          <w:b w:val="0"/>
          <w:i w:val="0"/>
        </w:rPr>
        <w:t xml:space="preserve">期初与期末库存决定储能在整个时域内的净电量交换。第一期从 </w:t>
      </w:r>
      <w:r>
        <w:rPr>
          <w:rFonts w:ascii="DejaVu Sans Mono" w:hAnsi="DejaVu Sans Mono"/>
          <w:b w:val="0"/>
          <w:i w:val="0"/>
          <w:sz w:val="17"/>
        </w:rPr>
        <w:t>initial_soc_mwh</w:t>
      </w:r>
      <w:r>
        <w:rPr>
          <w:b w:val="0"/>
          <w:i w:val="0"/>
        </w:rPr>
        <w:t xml:space="preserve"> 开始；默认 </w:t>
      </w:r>
      <w:r>
        <w:rPr>
          <w:rFonts w:ascii="DejaVu Sans Mono" w:hAnsi="DejaVu Sans Mono"/>
          <w:b w:val="0"/>
          <w:i w:val="0"/>
          <w:sz w:val="17"/>
        </w:rPr>
        <w:t>terminal_soc_rule = cyclic</w:t>
      </w:r>
      <w:r>
        <w:rPr>
          <w:b w:val="0"/>
          <w:i w:val="0"/>
        </w:rPr>
        <w:t xml:space="preserve"> 要求期末等于期初，</w:t>
      </w:r>
      <w:r>
        <w:rPr>
          <w:rFonts w:ascii="DejaVu Sans Mono" w:hAnsi="DejaVu Sans Mono"/>
          <w:b w:val="0"/>
          <w:i w:val="0"/>
          <w:sz w:val="17"/>
        </w:rPr>
        <w:t>fixed</w:t>
      </w:r>
      <w:r>
        <w:rPr>
          <w:b w:val="0"/>
          <w:i w:val="0"/>
        </w:rPr>
        <w:t xml:space="preserve"> 采用 </w:t>
      </w:r>
      <w:r>
        <w:rPr>
          <w:rFonts w:ascii="DejaVu Sans Mono" w:hAnsi="DejaVu Sans Mono"/>
          <w:b w:val="0"/>
          <w:i w:val="0"/>
          <w:sz w:val="17"/>
        </w:rPr>
        <w:t>terminal_​soc_​mwh_​by_​asset</w:t>
      </w:r>
      <w:r>
        <w:rPr>
          <w:b w:val="0"/>
          <w:i w:val="0"/>
        </w:rPr>
        <w:t>，</w:t>
      </w:r>
      <w:r>
        <w:rPr>
          <w:rFonts w:ascii="DejaVu Sans Mono" w:hAnsi="DejaVu Sans Mono"/>
          <w:b w:val="0"/>
          <w:i w:val="0"/>
          <w:sz w:val="17"/>
        </w:rPr>
        <w:t>free</w:t>
      </w:r>
      <w:r>
        <w:rPr>
          <w:b w:val="0"/>
          <w:i w:val="0"/>
        </w:rPr>
        <w:t xml:space="preserve"> 允许期末库存位于容量界内。启用 </w:t>
      </w:r>
      <w:r>
        <w:rPr>
          <w:rFonts w:ascii="DejaVu Sans Mono" w:hAnsi="DejaVu Sans Mono"/>
          <w:b w:val="0"/>
          <w:i w:val="0"/>
          <w:sz w:val="17"/>
        </w:rPr>
        <w:t>allow_blackout</w:t>
      </w:r>
      <w:r>
        <w:rPr>
          <w:b w:val="0"/>
          <w:i w:val="0"/>
        </w:rPr>
        <w:t xml:space="preserve"> 时，缺电量介于零与 </w:t>
      </w:r>
      <w:r>
        <w:rPr>
          <w:rFonts w:ascii="DejaVu Sans Mono" w:hAnsi="DejaVu Sans Mono"/>
          <w:b w:val="0"/>
          <w:i w:val="0"/>
          <w:sz w:val="17"/>
        </w:rPr>
        <w:t>demand_mwh</w:t>
      </w:r>
      <w:r>
        <w:rPr>
          <w:b w:val="0"/>
          <w:i w:val="0"/>
        </w:rPr>
        <w:t xml:space="preserve"> 之间，其余情况的上界为零。默认 </w:t>
      </w:r>
      <w:r>
        <w:rPr>
          <w:rFonts w:ascii="DejaVu Sans Mono" w:hAnsi="DejaVu Sans Mono"/>
          <w:b w:val="0"/>
          <w:i w:val="0"/>
          <w:sz w:val="17"/>
        </w:rPr>
        <w:t>period_hours = 0.5</w:t>
      </w:r>
      <w:r>
        <w:rPr>
          <w:b w:val="0"/>
          <w:i w:val="0"/>
        </w:rPr>
        <w:t>、</w:t>
      </w:r>
      <w:r>
        <w:rPr>
          <w:rFonts w:ascii="DejaVu Sans Mono" w:hAnsi="DejaVu Sans Mono"/>
          <w:b w:val="0"/>
          <w:i w:val="0"/>
          <w:sz w:val="17"/>
        </w:rPr>
        <w:t>voll_gbp_per_mwh = 17000</w:t>
      </w:r>
      <w:r>
        <w:rPr>
          <w:b w:val="0"/>
          <w:i w:val="0"/>
        </w:rPr>
        <w:t xml:space="preserve">，衰减费用为零。Study 参数 </w:t>
      </w:r>
      <w:r>
        <w:rPr>
          <w:rFonts w:ascii="DejaVu Sans Mono" w:hAnsi="DejaVu Sans Mono"/>
          <w:b w:val="0"/>
          <w:i w:val="0"/>
          <w:sz w:val="17"/>
        </w:rPr>
        <w:t>market.voll_gbp_per_mwh</w:t>
      </w:r>
      <w:r>
        <w:rPr>
          <w:b w:val="0"/>
          <w:i w:val="0"/>
        </w:rPr>
        <w:t xml:space="preserve"> 接受 0–1,000,000 GBP/MWh，并进入调度目标。</w:t>
      </w:r>
    </w:p>
    <w:p>
      <w:pPr>
        <w:keepNext/>
      </w:pPr>
      <w:r>
        <w:rPr>
          <w:b w:val="0"/>
          <w:i w:val="0"/>
        </w:rPr>
        <w:t>第二次线性规划在第一次解的费用容差内最小化储能吞吐。</w:t>
      </w:r>
      <w:r>
        <w:rPr>
          <w:rFonts w:ascii="DejaVu Sans Mono" w:hAnsi="DejaVu Sans Mono"/>
          <w:b w:val="0"/>
          <w:i w:val="0"/>
          <w:sz w:val="17"/>
        </w:rPr>
        <w:t>primary.fun</w:t>
      </w:r>
      <w:r>
        <w:rPr>
          <w:b w:val="0"/>
          <w:i w:val="0"/>
        </w:rPr>
        <w:t xml:space="preserve"> 为第一次求解的最小费用，单位 GBP；第二次保留全部物理约束，并增加</w:t>
      </w:r>
    </w:p>
    <w:p>
      <w:pPr>
        <w:spacing w:after="160"/>
        <w:jc w:val="center"/>
      </w:pPr>
      <w:r>
        <w:drawing>
          <wp:inline xmlns:a="http://schemas.openxmlformats.org/drawingml/2006/main" xmlns:pic="http://schemas.openxmlformats.org/drawingml/2006/picture">
            <wp:extent cx="4758385" cy="886769"/>
            <wp:docPr id="179" name="Picture 179"/>
            <wp:cNvGraphicFramePr>
              <a:graphicFrameLocks noChangeAspect="1"/>
            </wp:cNvGraphicFramePr>
            <a:graphic>
              <a:graphicData uri="http://schemas.openxmlformats.org/drawingml/2006/picture">
                <pic:pic>
                  <pic:nvPicPr>
                    <pic:cNvPr id="0" name="eq-179.png"/>
                    <pic:cNvPicPr/>
                  </pic:nvPicPr>
                  <pic:blipFill>
                    <a:blip r:embed="rId173"/>
                    <a:stretch>
                      <a:fillRect/>
                    </a:stretch>
                  </pic:blipFill>
                  <pic:spPr>
                    <a:xfrm>
                      <a:off x="0" y="0"/>
                      <a:ext cx="4758385" cy="886769"/>
                    </a:xfrm>
                    <a:prstGeom prst="rect"/>
                  </pic:spPr>
                </pic:pic>
              </a:graphicData>
            </a:graphic>
          </wp:inline>
        </w:drawing>
      </w:r>
    </w:p>
    <w:p>
      <w:r>
        <w:rPr>
          <w:b w:val="0"/>
          <w:i w:val="0"/>
        </w:rPr>
        <w:t xml:space="preserve">两次求解均采用 HiGHS，原始与对偶可行性容差为 </w:t>
      </w:r>
      <w:r>
        <w:drawing>
          <wp:inline xmlns:a="http://schemas.openxmlformats.org/drawingml/2006/main" xmlns:pic="http://schemas.openxmlformats.org/drawingml/2006/picture">
            <wp:extent cx="313975" cy="140242"/>
            <wp:docPr id="180" name="Picture 180"/>
            <wp:cNvGraphicFramePr>
              <a:graphicFrameLocks noChangeAspect="1"/>
            </wp:cNvGraphicFramePr>
            <a:graphic>
              <a:graphicData uri="http://schemas.openxmlformats.org/drawingml/2006/picture">
                <pic:pic>
                  <pic:nvPicPr>
                    <pic:cNvPr id="0" name="eq-142.png"/>
                    <pic:cNvPicPr/>
                  </pic:nvPicPr>
                  <pic:blipFill>
                    <a:blip r:embed="rId144"/>
                    <a:stretch>
                      <a:fillRect/>
                    </a:stretch>
                  </pic:blipFill>
                  <pic:spPr>
                    <a:xfrm>
                      <a:off x="0" y="0"/>
                      <a:ext cx="313975" cy="140242"/>
                    </a:xfrm>
                    <a:prstGeom prst="rect"/>
                  </pic:spPr>
                </pic:pic>
              </a:graphicData>
            </a:graphic>
          </wp:inline>
        </w:drawing>
      </w:r>
      <w:r>
        <w:rPr>
          <w:b w:val="0"/>
          <w:i w:val="0"/>
        </w:rPr>
        <w:t xml:space="preserve">⁠。返回的物理轨迹为 </w:t>
      </w:r>
      <w:r>
        <w:rPr>
          <w:rFonts w:ascii="DejaVu Sans Mono" w:hAnsi="DejaVu Sans Mono"/>
          <w:b w:val="0"/>
          <w:i w:val="0"/>
          <w:sz w:val="17"/>
        </w:rPr>
        <w:t>secondary.x</w:t>
      </w:r>
      <w:r>
        <w:rPr>
          <w:b w:val="0"/>
          <w:i w:val="0"/>
        </w:rPr>
        <w:t xml:space="preserve">，最大同时充放电量 </w:t>
      </w:r>
      <w:r>
        <w:rPr>
          <w:rFonts w:ascii="DejaVu Sans Mono" w:hAnsi="DejaVu Sans Mono"/>
          <w:b w:val="0"/>
          <w:i w:val="0"/>
          <w:sz w:val="17"/>
        </w:rPr>
        <w:t>simultaneous</w:t>
      </w:r>
      <w:r>
        <w:rPr>
          <w:b w:val="0"/>
          <w:i w:val="0"/>
        </w:rPr>
        <w:t xml:space="preserve"> 须小于等于 </w:t>
      </w:r>
      <w:r>
        <w:drawing>
          <wp:inline xmlns:a="http://schemas.openxmlformats.org/drawingml/2006/main" xmlns:pic="http://schemas.openxmlformats.org/drawingml/2006/picture">
            <wp:extent cx="313975" cy="140242"/>
            <wp:docPr id="181" name="Picture 181"/>
            <wp:cNvGraphicFramePr>
              <a:graphicFrameLocks noChangeAspect="1"/>
            </wp:cNvGraphicFramePr>
            <a:graphic>
              <a:graphicData uri="http://schemas.openxmlformats.org/drawingml/2006/picture">
                <pic:pic>
                  <pic:nvPicPr>
                    <pic:cNvPr id="0" name="eq-181.png"/>
                    <pic:cNvPicPr/>
                  </pic:nvPicPr>
                  <pic:blipFill>
                    <a:blip r:embed="rId174"/>
                    <a:stretch>
                      <a:fillRect/>
                    </a:stretch>
                  </pic:blipFill>
                  <pic:spPr>
                    <a:xfrm>
                      <a:off x="0" y="0"/>
                      <a:ext cx="313975" cy="140242"/>
                    </a:xfrm>
                    <a:prstGeom prst="rect"/>
                  </pic:spPr>
                </pic:pic>
              </a:graphicData>
            </a:graphic>
          </wp:inline>
        </w:drawing>
      </w:r>
      <w:r>
        <w:rPr>
          <w:b w:val="0"/>
          <w:i w:val="0"/>
        </w:rPr>
        <w:t xml:space="preserve"> MWh。未使用的风光电量为可用量减已接纳资源供给。</w:t>
      </w:r>
    </w:p>
    <w:p>
      <w:r>
        <w:rPr>
          <w:b w:val="0"/>
          <w:i w:val="0"/>
        </w:rPr>
        <w:t xml:space="preserve">页面显示的“Balance shadow price”为第一阶段需求的边际运行费用。资源收入为需求平衡对偶值与接纳 MWh 的乘积，储能收入为该对偶值乘放电减充电，消费者支付采用已供应需求。系统费用在变量支出、衰减和缺电费用上，加年化资本及非风、非光、非储能资产的固定运维。固定费用输入为 </w:t>
      </w:r>
      <w:r>
        <w:rPr>
          <w:rFonts w:ascii="DejaVu Sans Mono" w:hAnsi="DejaVu Sans Mono"/>
          <w:b w:val="0"/>
          <w:i w:val="0"/>
          <w:sz w:val="17"/>
        </w:rPr>
        <w:t>annual_fixed_opex_gbp</w:t>
      </w:r>
      <w:r>
        <w:rPr>
          <w:b w:val="0"/>
          <w:i w:val="0"/>
        </w:rPr>
        <w:t>；风、光和储能的固定运维按第 4 章作为备查分项。</w:t>
      </w:r>
    </w:p>
    <w:p>
      <w:pPr>
        <w:keepLines/>
        <w:spacing w:line="276" w:lineRule="auto" w:after="160"/>
      </w:pPr>
      <w:r>
        <w:rPr>
          <w:rFonts w:ascii="DejaVu Sans Mono" w:hAnsi="DejaVu Sans Mono"/>
          <w:b w:val="0"/>
          <w:i w:val="0"/>
          <w:sz w:val="17"/>
        </w:rPr>
        <w:t>PerfectForesightPSM.run(model_​input):</w:t>
        <w:br/>
        <w:t xml:space="preserve">    data = model_input.chronology</w:t>
        <w:br/>
        <w:t xml:space="preserve">    validate_​chronology(data, model_​input.period_​hours)</w:t>
        <w:br/>
        <w:t xml:space="preserve">    _availability(...) and _marginal_costs(...): expand inputs to every period</w:t>
        <w:br/>
        <w:t xml:space="preserve">    _layout(data): allocate resource, charge, discharge, soc and blackout</w:t>
        <w:br/>
        <w:t xml:space="preserve">    assemble objective, throughput_objective, equality, rhs and bounds</w:t>
        <w:br/>
        <w:t xml:space="preserve">    primary = linprog(objective, A_eq=equality, b_eq=rhs,</w:t>
        <w:br/>
        <w:t xml:space="preserve">                      bounds=bounds, method="highs")</w:t>
        <w:br/>
        <w:t xml:space="preserve">    primary_tolerance = max(1e-7, abs(primary.fun) * 1e-10)</w:t>
        <w:br/>
        <w:t xml:space="preserve">    secondary = linprog(</w:t>
        <w:br/>
        <w:t xml:space="preserve">        throughput_objective, A_​ub=objective.reshape(1, -1),</w:t>
        <w:br/>
        <w:t xml:space="preserve">        b_ub=[primary.fun + primary_tolerance], A_eq=equality, b_eq=rhs,</w:t>
        <w:br/>
        <w:t xml:space="preserve">        bounds=bounds, method="highs")</w:t>
        <w:br/>
        <w:t xml:space="preserve">    extract resource_period, charge_period and discharge_period</w:t>
        <w:br/>
        <w:t xml:space="preserve">    extract soc_period and blackout</w:t>
        <w:br/>
        <w:t xml:space="preserve">    check balance and simultaneous storage operation</w:t>
        <w:br/>
        <w:t xml:space="preserve">    return costs and demand duals</w:t>
        <w:br/>
      </w:r>
    </w:p>
    <w:p>
      <w:r>
        <w:rPr>
          <w:b w:val="0"/>
          <w:i w:val="0"/>
        </w:rPr>
        <w:t xml:space="preserve">资源可用率接受单元素序列或完整时序，数值须有限且位于 </w:t>
      </w:r>
      <w:r>
        <w:drawing>
          <wp:inline xmlns:a="http://schemas.openxmlformats.org/drawingml/2006/main" xmlns:pic="http://schemas.openxmlformats.org/drawingml/2006/picture">
            <wp:extent cx="316141" cy="157024"/>
            <wp:docPr id="182" name="Picture 182"/>
            <wp:cNvGraphicFramePr>
              <a:graphicFrameLocks noChangeAspect="1"/>
            </wp:cNvGraphicFramePr>
            <a:graphic>
              <a:graphicData uri="http://schemas.openxmlformats.org/drawingml/2006/picture">
                <pic:pic>
                  <pic:nvPicPr>
                    <pic:cNvPr id="0" name="eq-158.png"/>
                    <pic:cNvPicPr/>
                  </pic:nvPicPr>
                  <pic:blipFill>
                    <a:blip r:embed="rId154"/>
                    <a:stretch>
                      <a:fillRect/>
                    </a:stretch>
                  </pic:blipFill>
                  <pic:spPr>
                    <a:xfrm>
                      <a:off x="0" y="0"/>
                      <a:ext cx="316141" cy="157024"/>
                    </a:xfrm>
                    <a:prstGeom prst="rect"/>
                  </pic:spPr>
                </pic:pic>
              </a:graphicData>
            </a:graphic>
          </wp:inline>
        </w:drawing>
      </w:r>
      <w:r>
        <w:rPr>
          <w:b w:val="0"/>
          <w:i w:val="0"/>
        </w:rPr>
        <w:t xml:space="preserve">⁠。边际费用接受标量、单元素序列或完整时序，数值须有限且非负。适配器核对时序长度，并要求充电、放电效率位于 </w:t>
      </w:r>
      <w:r>
        <w:drawing>
          <wp:inline xmlns:a="http://schemas.openxmlformats.org/drawingml/2006/main" xmlns:pic="http://schemas.openxmlformats.org/drawingml/2006/picture">
            <wp:extent cx="333743" cy="157426"/>
            <wp:docPr id="183" name="Picture 183"/>
            <wp:cNvGraphicFramePr>
              <a:graphicFrameLocks noChangeAspect="1"/>
            </wp:cNvGraphicFramePr>
            <a:graphic>
              <a:graphicData uri="http://schemas.openxmlformats.org/drawingml/2006/picture">
                <pic:pic>
                  <pic:nvPicPr>
                    <pic:cNvPr id="0" name="eq-183.png"/>
                    <pic:cNvPicPr/>
                  </pic:nvPicPr>
                  <pic:blipFill>
                    <a:blip r:embed="rId175"/>
                    <a:stretch>
                      <a:fillRect/>
                    </a:stretch>
                  </pic:blipFill>
                  <pic:spPr>
                    <a:xfrm>
                      <a:off x="0" y="0"/>
                      <a:ext cx="333743" cy="157426"/>
                    </a:xfrm>
                    <a:prstGeom prst="rect"/>
                  </pic:spPr>
                </pic:pic>
              </a:graphicData>
            </a:graphic>
          </wp:inline>
        </w:drawing>
      </w:r>
      <w:r>
        <w:rPr>
          <w:b w:val="0"/>
          <w:i w:val="0"/>
        </w:rPr>
        <w:t>⁠。该输入中的水电作为具有给定电力可用率的资源。下述水文函数从来水构造可用电量，或优化常规水库运行。</w:t>
      </w:r>
    </w:p>
    <w:p>
      <w:pPr>
        <w:pStyle w:val="Heading2"/>
      </w:pPr>
      <w:r>
        <w:rPr>
          <w:b w:val="0"/>
          <w:i w:val="0"/>
        </w:rPr>
        <w:t>径流式水电可用电量</w:t>
      </w:r>
    </w:p>
    <w:p>
      <w:r>
        <w:rPr>
          <w:b w:val="0"/>
          <w:i w:val="0"/>
        </w:rPr>
        <w:t>天然水文方法根据来水时序和站点参数计算可用电量。</w:t>
      </w:r>
      <w:r>
        <w:rPr>
          <w:rFonts w:ascii="DejaVu Sans Mono" w:hAnsi="DejaVu Sans Mono"/>
          <w:b w:val="0"/>
          <w:i w:val="0"/>
          <w:sz w:val="17"/>
        </w:rPr>
        <w:t>run_of_river_dispatch</w:t>
      </w:r>
      <w:r>
        <w:rPr>
          <w:b w:val="0"/>
          <w:i w:val="0"/>
        </w:rPr>
        <w:t xml:space="preserve"> 读取 </w:t>
      </w:r>
      <w:r>
        <w:rPr>
          <w:rFonts w:ascii="DejaVu Sans Mono" w:hAnsi="DejaVu Sans Mono"/>
          <w:b w:val="0"/>
          <w:i w:val="0"/>
          <w:sz w:val="17"/>
        </w:rPr>
        <w:t>HydroSite</w:t>
      </w:r>
      <w:r>
        <w:rPr>
          <w:b w:val="0"/>
          <w:i w:val="0"/>
        </w:rPr>
        <w:t xml:space="preserve"> 与 </w:t>
      </w:r>
      <w:r>
        <w:rPr>
          <w:rFonts w:ascii="DejaVu Sans Mono" w:hAnsi="DejaVu Sans Mono"/>
          <w:b w:val="0"/>
          <w:i w:val="0"/>
          <w:sz w:val="17"/>
        </w:rPr>
        <w:t>CanonicalInflow</w:t>
      </w:r>
      <w:r>
        <w:rPr>
          <w:b w:val="0"/>
          <w:i w:val="0"/>
        </w:rPr>
        <w:t>；默认全国 PSM 采用第 5 章的统计负荷率和季节曲线。</w:t>
      </w:r>
    </w:p>
    <w:p>
      <w:pPr>
        <w:keepNext/>
      </w:pPr>
      <w:r>
        <w:rPr>
          <w:b w:val="0"/>
          <w:i w:val="0"/>
        </w:rPr>
        <w:t xml:space="preserve">归一化电力可用率按时段长度缩放装机功率。输入为 </w:t>
      </w:r>
      <w:r>
        <w:rPr>
          <w:rFonts w:ascii="DejaVu Sans Mono" w:hAnsi="DejaVu Sans Mono"/>
          <w:b w:val="0"/>
          <w:i w:val="0"/>
          <w:sz w:val="17"/>
        </w:rPr>
        <w:t>inflow.unit = p.u.</w:t>
      </w:r>
      <w:r>
        <w:rPr>
          <w:b w:val="0"/>
          <w:i w:val="0"/>
        </w:rPr>
        <w:t xml:space="preserve"> 时，</w:t>
      </w:r>
      <w:r>
        <w:rPr>
          <w:rFonts w:ascii="DejaVu Sans Mono" w:hAnsi="DejaVu Sans Mono"/>
          <w:b w:val="0"/>
          <w:i w:val="0"/>
          <w:sz w:val="17"/>
        </w:rPr>
        <w:t>inflow.values</w:t>
      </w:r>
      <w:r>
        <w:rPr>
          <w:b w:val="0"/>
          <w:i w:val="0"/>
        </w:rPr>
        <w:t xml:space="preserve"> 位于 </w:t>
      </w:r>
      <w:r>
        <w:drawing>
          <wp:inline xmlns:a="http://schemas.openxmlformats.org/drawingml/2006/main" xmlns:pic="http://schemas.openxmlformats.org/drawingml/2006/picture">
            <wp:extent cx="316141" cy="157024"/>
            <wp:docPr id="184" name="Picture 184"/>
            <wp:cNvGraphicFramePr>
              <a:graphicFrameLocks noChangeAspect="1"/>
            </wp:cNvGraphicFramePr>
            <a:graphic>
              <a:graphicData uri="http://schemas.openxmlformats.org/drawingml/2006/picture">
                <pic:pic>
                  <pic:nvPicPr>
                    <pic:cNvPr id="0" name="eq-158.png"/>
                    <pic:cNvPicPr/>
                  </pic:nvPicPr>
                  <pic:blipFill>
                    <a:blip r:embed="rId154"/>
                    <a:stretch>
                      <a:fillRect/>
                    </a:stretch>
                  </pic:blipFill>
                  <pic:spPr>
                    <a:xfrm>
                      <a:off x="0" y="0"/>
                      <a:ext cx="316141" cy="157024"/>
                    </a:xfrm>
                    <a:prstGeom prst="rect"/>
                  </pic:spPr>
                </pic:pic>
              </a:graphicData>
            </a:graphic>
          </wp:inline>
        </w:drawing>
      </w:r>
      <w:r>
        <w:rPr>
          <w:b w:val="0"/>
          <w:i w:val="0"/>
        </w:rPr>
        <w:t>⁠，</w:t>
      </w:r>
      <w:r>
        <w:rPr>
          <w:rFonts w:ascii="DejaVu Sans Mono" w:hAnsi="DejaVu Sans Mono"/>
          <w:b w:val="0"/>
          <w:i w:val="0"/>
          <w:sz w:val="17"/>
        </w:rPr>
        <w:t>capacity_mw</w:t>
      </w:r>
      <w:r>
        <w:rPr>
          <w:b w:val="0"/>
          <w:i w:val="0"/>
        </w:rPr>
        <w:t xml:space="preserve"> 单位为 MW，</w:t>
      </w:r>
      <w:r>
        <w:rPr>
          <w:rFonts w:ascii="DejaVu Sans Mono" w:hAnsi="DejaVu Sans Mono"/>
          <w:b w:val="0"/>
          <w:i w:val="0"/>
          <w:sz w:val="17"/>
        </w:rPr>
        <w:t>interval_hours</w:t>
      </w:r>
      <w:r>
        <w:rPr>
          <w:b w:val="0"/>
          <w:i w:val="0"/>
        </w:rPr>
        <w:t xml:space="preserve"> 单位为小时：</w:t>
      </w:r>
    </w:p>
    <w:p>
      <w:pPr>
        <w:spacing w:after="160"/>
        <w:jc w:val="center"/>
      </w:pPr>
      <w:r>
        <w:drawing>
          <wp:inline xmlns:a="http://schemas.openxmlformats.org/drawingml/2006/main" xmlns:pic="http://schemas.openxmlformats.org/drawingml/2006/picture">
            <wp:extent cx="3215563" cy="395375"/>
            <wp:docPr id="185" name="Picture 185"/>
            <wp:cNvGraphicFramePr>
              <a:graphicFrameLocks noChangeAspect="1"/>
            </wp:cNvGraphicFramePr>
            <a:graphic>
              <a:graphicData uri="http://schemas.openxmlformats.org/drawingml/2006/picture">
                <pic:pic>
                  <pic:nvPicPr>
                    <pic:cNvPr id="0" name="eq-185.png"/>
                    <pic:cNvPicPr/>
                  </pic:nvPicPr>
                  <pic:blipFill>
                    <a:blip r:embed="rId176"/>
                    <a:stretch>
                      <a:fillRect/>
                    </a:stretch>
                  </pic:blipFill>
                  <pic:spPr>
                    <a:xfrm>
                      <a:off x="0" y="0"/>
                      <a:ext cx="3215563" cy="395375"/>
                    </a:xfrm>
                    <a:prstGeom prst="rect"/>
                  </pic:spPr>
                </pic:pic>
              </a:graphicData>
            </a:graphic>
          </wp:inline>
        </w:drawing>
      </w:r>
    </w:p>
    <w:p>
      <w:pPr>
        <w:keepNext/>
      </w:pPr>
      <w:r>
        <w:rPr>
          <w:b w:val="0"/>
          <w:i w:val="0"/>
        </w:rPr>
        <w:t>水量输入乘站点水电转换系数和涡轮效率，再受发电功率约束：</w:t>
      </w:r>
    </w:p>
    <w:p>
      <w:pPr>
        <w:spacing w:after="160"/>
        <w:jc w:val="center"/>
      </w:pPr>
      <w:r>
        <w:drawing>
          <wp:inline xmlns:a="http://schemas.openxmlformats.org/drawingml/2006/main" xmlns:pic="http://schemas.openxmlformats.org/drawingml/2006/picture">
            <wp:extent cx="6217920" cy="440725"/>
            <wp:docPr id="186" name="Picture 186"/>
            <wp:cNvGraphicFramePr>
              <a:graphicFrameLocks noChangeAspect="1"/>
            </wp:cNvGraphicFramePr>
            <a:graphic>
              <a:graphicData uri="http://schemas.openxmlformats.org/drawingml/2006/picture">
                <pic:pic>
                  <pic:nvPicPr>
                    <pic:cNvPr id="0" name="eq-186.png"/>
                    <pic:cNvPicPr/>
                  </pic:nvPicPr>
                  <pic:blipFill>
                    <a:blip r:embed="rId177"/>
                    <a:stretch>
                      <a:fillRect/>
                    </a:stretch>
                  </pic:blipFill>
                  <pic:spPr>
                    <a:xfrm>
                      <a:off x="0" y="0"/>
                      <a:ext cx="6217920" cy="440725"/>
                    </a:xfrm>
                    <a:prstGeom prst="rect"/>
                  </pic:spPr>
                </pic:pic>
              </a:graphicData>
            </a:graphic>
          </wp:inline>
        </w:drawing>
      </w:r>
    </w:p>
    <w:p>
      <w:r>
        <w:rPr>
          <w:b w:val="0"/>
          <w:i w:val="0"/>
        </w:rPr>
        <w:t xml:space="preserve">接纳发电量介于零与 </w:t>
      </w:r>
      <w:r>
        <w:rPr>
          <w:rFonts w:ascii="DejaVu Sans Mono" w:hAnsi="DejaVu Sans Mono"/>
          <w:b w:val="0"/>
          <w:i w:val="0"/>
          <w:sz w:val="17"/>
        </w:rPr>
        <w:t>available</w:t>
      </w:r>
      <w:r>
        <w:rPr>
          <w:b w:val="0"/>
          <w:i w:val="0"/>
        </w:rPr>
        <w:t xml:space="preserve"> 之间，默认接纳全部可用电量，</w:t>
      </w:r>
      <w:r>
        <w:rPr>
          <w:rFonts w:ascii="DejaVu Sans Mono" w:hAnsi="DejaVu Sans Mono"/>
          <w:b w:val="0"/>
          <w:i w:val="0"/>
          <w:sz w:val="17"/>
        </w:rPr>
        <w:t>curtailed</w:t>
      </w:r>
      <w:r>
        <w:rPr>
          <w:b w:val="0"/>
          <w:i w:val="0"/>
        </w:rPr>
        <w:t xml:space="preserve"> 记录剩余电力潜力。返回结果中，三个数组分别记为 </w:t>
      </w:r>
      <w:r>
        <w:rPr>
          <w:rFonts w:ascii="DejaVu Sans Mono" w:hAnsi="DejaVu Sans Mono"/>
          <w:b w:val="0"/>
          <w:i w:val="0"/>
          <w:sz w:val="17"/>
        </w:rPr>
        <w:t>available_energy_mwh</w:t>
      </w:r>
      <w:r>
        <w:rPr>
          <w:b w:val="0"/>
          <w:i w:val="0"/>
        </w:rPr>
        <w:t>、</w:t>
      </w:r>
      <w:r>
        <w:rPr>
          <w:rFonts w:ascii="DejaVu Sans Mono" w:hAnsi="DejaVu Sans Mono"/>
          <w:b w:val="0"/>
          <w:i w:val="0"/>
          <w:sz w:val="17"/>
        </w:rPr>
        <w:t>accepted_generation_mwh</w:t>
      </w:r>
      <w:r>
        <w:rPr>
          <w:b w:val="0"/>
          <w:i w:val="0"/>
        </w:rPr>
        <w:t xml:space="preserve"> 和 </w:t>
      </w:r>
      <w:r>
        <w:rPr>
          <w:rFonts w:ascii="DejaVu Sans Mono" w:hAnsi="DejaVu Sans Mono"/>
          <w:b w:val="0"/>
          <w:i w:val="0"/>
          <w:sz w:val="17"/>
        </w:rPr>
        <w:t>curtailed_energy_mwh</w:t>
      </w:r>
      <w:r>
        <w:rPr>
          <w:b w:val="0"/>
          <w:i w:val="0"/>
        </w:rPr>
        <w:t xml:space="preserve">。10 MW 电站在 0.5 h 时段内采用可用率 </w:t>
      </w:r>
      <w:r>
        <w:drawing>
          <wp:inline xmlns:a="http://schemas.openxmlformats.org/drawingml/2006/main" xmlns:pic="http://schemas.openxmlformats.org/drawingml/2006/picture">
            <wp:extent cx="588416" cy="157051"/>
            <wp:docPr id="187" name="Picture 187"/>
            <wp:cNvGraphicFramePr>
              <a:graphicFrameLocks noChangeAspect="1"/>
            </wp:cNvGraphicFramePr>
            <a:graphic>
              <a:graphicData uri="http://schemas.openxmlformats.org/drawingml/2006/picture">
                <pic:pic>
                  <pic:nvPicPr>
                    <pic:cNvPr id="0" name="eq-187.png"/>
                    <pic:cNvPicPr/>
                  </pic:nvPicPr>
                  <pic:blipFill>
                    <a:blip r:embed="rId178"/>
                    <a:stretch>
                      <a:fillRect/>
                    </a:stretch>
                  </pic:blipFill>
                  <pic:spPr>
                    <a:xfrm>
                      <a:off x="0" y="0"/>
                      <a:ext cx="588416" cy="157051"/>
                    </a:xfrm>
                    <a:prstGeom prst="rect"/>
                  </pic:spPr>
                </pic:pic>
              </a:graphicData>
            </a:graphic>
          </wp:inline>
        </w:drawing>
      </w:r>
      <w:r>
        <w:rPr>
          <w:b w:val="0"/>
          <w:i w:val="0"/>
        </w:rPr>
        <w:t xml:space="preserve">⁠，得到 </w:t>
      </w:r>
      <w:r>
        <w:drawing>
          <wp:inline xmlns:a="http://schemas.openxmlformats.org/drawingml/2006/main" xmlns:pic="http://schemas.openxmlformats.org/drawingml/2006/picture">
            <wp:extent cx="588416" cy="157051"/>
            <wp:docPr id="188" name="Picture 188"/>
            <wp:cNvGraphicFramePr>
              <a:graphicFrameLocks noChangeAspect="1"/>
            </wp:cNvGraphicFramePr>
            <a:graphic>
              <a:graphicData uri="http://schemas.openxmlformats.org/drawingml/2006/picture">
                <pic:pic>
                  <pic:nvPicPr>
                    <pic:cNvPr id="0" name="eq-188.png"/>
                    <pic:cNvPicPr/>
                  </pic:nvPicPr>
                  <pic:blipFill>
                    <a:blip r:embed="rId179"/>
                    <a:stretch>
                      <a:fillRect/>
                    </a:stretch>
                  </pic:blipFill>
                  <pic:spPr>
                    <a:xfrm>
                      <a:off x="0" y="0"/>
                      <a:ext cx="588416" cy="157051"/>
                    </a:xfrm>
                    <a:prstGeom prst="rect"/>
                  </pic:spPr>
                </pic:pic>
              </a:graphicData>
            </a:graphic>
          </wp:inline>
        </w:drawing>
      </w:r>
      <w:r>
        <w:rPr>
          <w:b w:val="0"/>
          <w:i w:val="0"/>
        </w:rPr>
        <w:t xml:space="preserve"> MWh。各期独立计算。</w:t>
      </w:r>
    </w:p>
    <w:p>
      <w:pPr>
        <w:pStyle w:val="Heading2"/>
      </w:pPr>
      <w:r>
        <w:rPr>
          <w:b w:val="0"/>
          <w:i w:val="0"/>
        </w:rPr>
        <w:t>常规水库调度</w:t>
      </w:r>
    </w:p>
    <w:p>
      <w:pPr>
        <w:keepNext/>
      </w:pPr>
      <w:r>
        <w:rPr>
          <w:b w:val="0"/>
          <w:i w:val="0"/>
        </w:rPr>
        <w:t>常规水库在完整来水与电力价值时序上分配水量，以最大化发电价值。</w:t>
      </w:r>
      <w:r>
        <w:rPr>
          <w:rFonts w:ascii="DejaVu Sans Mono" w:hAnsi="DejaVu Sans Mono"/>
          <w:b w:val="0"/>
          <w:i w:val="0"/>
          <w:sz w:val="17"/>
        </w:rPr>
        <w:t>reservoir_dispatch</w:t>
      </w:r>
      <w:r>
        <w:rPr>
          <w:b w:val="0"/>
          <w:i w:val="0"/>
        </w:rPr>
        <w:t xml:space="preserve"> 的四类期间变量为涡轮放水 </w:t>
      </w:r>
      <w:r>
        <w:rPr>
          <w:rFonts w:ascii="DejaVu Sans Mono" w:hAnsi="DejaVu Sans Mono"/>
          <w:b w:val="0"/>
          <w:i w:val="0"/>
          <w:sz w:val="17"/>
        </w:rPr>
        <w:t>q</w:t>
      </w:r>
      <w:r>
        <w:rPr>
          <w:b w:val="0"/>
          <w:i w:val="0"/>
        </w:rPr>
        <w:t xml:space="preserve">、生态旁路 </w:t>
      </w:r>
      <w:r>
        <w:rPr>
          <w:rFonts w:ascii="DejaVu Sans Mono" w:hAnsi="DejaVu Sans Mono"/>
          <w:b w:val="0"/>
          <w:i w:val="0"/>
          <w:sz w:val="17"/>
        </w:rPr>
        <w:t>bypass</w:t>
      </w:r>
      <w:r>
        <w:rPr>
          <w:b w:val="0"/>
          <w:i w:val="0"/>
        </w:rPr>
        <w:t xml:space="preserve">、弃水 </w:t>
      </w:r>
      <w:r>
        <w:rPr>
          <w:rFonts w:ascii="DejaVu Sans Mono" w:hAnsi="DejaVu Sans Mono"/>
          <w:b w:val="0"/>
          <w:i w:val="0"/>
          <w:sz w:val="17"/>
        </w:rPr>
        <w:t>spill</w:t>
      </w:r>
      <w:r>
        <w:rPr>
          <w:b w:val="0"/>
          <w:i w:val="0"/>
        </w:rPr>
        <w:t xml:space="preserve"> 和期末库存 </w:t>
      </w:r>
      <w:r>
        <w:rPr>
          <w:rFonts w:ascii="DejaVu Sans Mono" w:hAnsi="DejaVu Sans Mono"/>
          <w:b w:val="0"/>
          <w:i w:val="0"/>
          <w:sz w:val="17"/>
        </w:rPr>
        <w:t>storage</w:t>
      </w:r>
      <w:r>
        <w:rPr>
          <w:b w:val="0"/>
          <w:i w:val="0"/>
        </w:rPr>
        <w:t>，均采用声明的水量单位，前三项表示期间水量。电量转换为</w:t>
      </w:r>
    </w:p>
    <w:p>
      <w:pPr>
        <w:spacing w:after="160"/>
        <w:jc w:val="center"/>
      </w:pPr>
      <w:r>
        <w:drawing>
          <wp:inline xmlns:a="http://schemas.openxmlformats.org/drawingml/2006/main" xmlns:pic="http://schemas.openxmlformats.org/drawingml/2006/picture">
            <wp:extent cx="6217920" cy="135540"/>
            <wp:docPr id="189" name="Picture 189"/>
            <wp:cNvGraphicFramePr>
              <a:graphicFrameLocks noChangeAspect="1"/>
            </wp:cNvGraphicFramePr>
            <a:graphic>
              <a:graphicData uri="http://schemas.openxmlformats.org/drawingml/2006/picture">
                <pic:pic>
                  <pic:nvPicPr>
                    <pic:cNvPr id="0" name="eq-189.png"/>
                    <pic:cNvPicPr/>
                  </pic:nvPicPr>
                  <pic:blipFill>
                    <a:blip r:embed="rId180"/>
                    <a:stretch>
                      <a:fillRect/>
                    </a:stretch>
                  </pic:blipFill>
                  <pic:spPr>
                    <a:xfrm>
                      <a:off x="0" y="0"/>
                      <a:ext cx="6217920" cy="135540"/>
                    </a:xfrm>
                    <a:prstGeom prst="rect"/>
                  </pic:spPr>
                </pic:pic>
              </a:graphicData>
            </a:graphic>
          </wp:inline>
        </w:drawing>
      </w:r>
    </w:p>
    <w:p>
      <w:pPr>
        <w:keepNext/>
      </w:pPr>
      <w:r>
        <w:rPr>
          <w:b w:val="0"/>
          <w:i w:val="0"/>
        </w:rPr>
        <w:t>线性规划最小化发电价值的相反数与小额弃水惩罚之和。</w:t>
      </w:r>
      <w:r>
        <w:rPr>
          <w:rFonts w:ascii="DejaVu Sans Mono" w:hAnsi="DejaVu Sans Mono"/>
          <w:b w:val="0"/>
          <w:i w:val="0"/>
          <w:sz w:val="17"/>
        </w:rPr>
        <w:t>energy_​value_​gbp_​per_​mwh</w:t>
      </w:r>
      <w:r>
        <w:rPr>
          <w:b w:val="0"/>
          <w:i w:val="0"/>
        </w:rPr>
        <w:t xml:space="preserve"> 为外部给定的电力价值时序：</w:t>
      </w:r>
    </w:p>
    <w:p>
      <w:pPr>
        <w:spacing w:after="160"/>
        <w:jc w:val="center"/>
      </w:pPr>
      <w:r>
        <w:drawing>
          <wp:inline xmlns:a="http://schemas.openxmlformats.org/drawingml/2006/main" xmlns:pic="http://schemas.openxmlformats.org/drawingml/2006/picture">
            <wp:extent cx="5587974" cy="365825"/>
            <wp:docPr id="190" name="Picture 190"/>
            <wp:cNvGraphicFramePr>
              <a:graphicFrameLocks noChangeAspect="1"/>
            </wp:cNvGraphicFramePr>
            <a:graphic>
              <a:graphicData uri="http://schemas.openxmlformats.org/drawingml/2006/picture">
                <pic:pic>
                  <pic:nvPicPr>
                    <pic:cNvPr id="0" name="eq-190.png"/>
                    <pic:cNvPicPr/>
                  </pic:nvPicPr>
                  <pic:blipFill>
                    <a:blip r:embed="rId181"/>
                    <a:stretch>
                      <a:fillRect/>
                    </a:stretch>
                  </pic:blipFill>
                  <pic:spPr>
                    <a:xfrm>
                      <a:off x="0" y="0"/>
                      <a:ext cx="5587974" cy="365825"/>
                    </a:xfrm>
                    <a:prstGeom prst="rect"/>
                  </pic:spPr>
                </pic:pic>
              </a:graphicData>
            </a:graphic>
          </wp:inline>
        </w:drawing>
      </w:r>
    </w:p>
    <w:p>
      <w:pPr>
        <w:keepNext/>
      </w:pPr>
      <w:r>
        <w:rPr>
          <w:b w:val="0"/>
          <w:i w:val="0"/>
        </w:rPr>
        <w:t xml:space="preserve">水量连续性连接相邻库存与来水，第一期从 </w:t>
      </w:r>
      <w:r>
        <w:rPr>
          <w:rFonts w:ascii="DejaVu Sans Mono" w:hAnsi="DejaVu Sans Mono"/>
          <w:b w:val="0"/>
          <w:i w:val="0"/>
          <w:sz w:val="17"/>
        </w:rPr>
        <w:t>initial_volume</w:t>
      </w:r>
      <w:r>
        <w:rPr>
          <w:b w:val="0"/>
          <w:i w:val="0"/>
        </w:rPr>
        <w:t xml:space="preserve"> 开始：</w:t>
      </w:r>
    </w:p>
    <w:p>
      <w:pPr>
        <w:spacing w:after="160"/>
        <w:jc w:val="center"/>
      </w:pPr>
      <w:r>
        <w:drawing>
          <wp:inline xmlns:a="http://schemas.openxmlformats.org/drawingml/2006/main" xmlns:pic="http://schemas.openxmlformats.org/drawingml/2006/picture">
            <wp:extent cx="4691405" cy="404668"/>
            <wp:docPr id="191" name="Picture 191"/>
            <wp:cNvGraphicFramePr>
              <a:graphicFrameLocks noChangeAspect="1"/>
            </wp:cNvGraphicFramePr>
            <a:graphic>
              <a:graphicData uri="http://schemas.openxmlformats.org/drawingml/2006/picture">
                <pic:pic>
                  <pic:nvPicPr>
                    <pic:cNvPr id="0" name="eq-191.png"/>
                    <pic:cNvPicPr/>
                  </pic:nvPicPr>
                  <pic:blipFill>
                    <a:blip r:embed="rId182"/>
                    <a:stretch>
                      <a:fillRect/>
                    </a:stretch>
                  </pic:blipFill>
                  <pic:spPr>
                    <a:xfrm>
                      <a:off x="0" y="0"/>
                      <a:ext cx="4691405" cy="404668"/>
                    </a:xfrm>
                    <a:prstGeom prst="rect"/>
                  </pic:spPr>
                </pic:pic>
              </a:graphicData>
            </a:graphic>
          </wp:inline>
        </w:drawing>
      </w:r>
    </w:p>
    <w:p>
      <w:pPr>
        <w:keepNext/>
      </w:pPr>
      <w:r>
        <w:rPr>
          <w:b w:val="0"/>
          <w:i w:val="0"/>
        </w:rPr>
        <w:t>涡轮、普通放水及生态要求共同限制水量分配：</w:t>
      </w:r>
    </w:p>
    <w:p>
      <w:pPr>
        <w:spacing w:after="160"/>
        <w:jc w:val="center"/>
      </w:pPr>
      <w:r>
        <w:drawing>
          <wp:inline xmlns:a="http://schemas.openxmlformats.org/drawingml/2006/main" xmlns:pic="http://schemas.openxmlformats.org/drawingml/2006/picture">
            <wp:extent cx="6217920" cy="498607"/>
            <wp:docPr id="192" name="Picture 192"/>
            <wp:cNvGraphicFramePr>
              <a:graphicFrameLocks noChangeAspect="1"/>
            </wp:cNvGraphicFramePr>
            <a:graphic>
              <a:graphicData uri="http://schemas.openxmlformats.org/drawingml/2006/picture">
                <pic:pic>
                  <pic:nvPicPr>
                    <pic:cNvPr id="0" name="eq-192.png"/>
                    <pic:cNvPicPr/>
                  </pic:nvPicPr>
                  <pic:blipFill>
                    <a:blip r:embed="rId183"/>
                    <a:stretch>
                      <a:fillRect/>
                    </a:stretch>
                  </pic:blipFill>
                  <pic:spPr>
                    <a:xfrm>
                      <a:off x="0" y="0"/>
                      <a:ext cx="6217920" cy="498607"/>
                    </a:xfrm>
                    <a:prstGeom prst="rect"/>
                  </pic:spPr>
                </pic:pic>
              </a:graphicData>
            </a:graphic>
          </wp:inline>
        </w:drawing>
      </w:r>
    </w:p>
    <w:p>
      <w:r>
        <w:rPr>
          <w:b w:val="0"/>
          <w:i w:val="0"/>
        </w:rPr>
        <w:t xml:space="preserve">普通放水上限和生态下限同时约束涡轮放水加旁路，弃水单独进入水量平衡。给定 </w:t>
      </w:r>
      <w:r>
        <w:rPr>
          <w:rFonts w:ascii="DejaVu Sans Mono" w:hAnsi="DejaVu Sans Mono"/>
          <w:b w:val="0"/>
          <w:i w:val="0"/>
          <w:sz w:val="17"/>
        </w:rPr>
        <w:t>terminal_volume</w:t>
      </w:r>
      <w:r>
        <w:rPr>
          <w:b w:val="0"/>
          <w:i w:val="0"/>
        </w:rPr>
        <w:t xml:space="preserve"> 时，期末库存固定为该值。参数检查要求普通放水上限至少等于涡轮放水上限，最大涡轮放水转换的电量至多为 </w:t>
      </w:r>
      <w:r>
        <w:rPr>
          <w:rFonts w:ascii="DejaVu Sans Mono" w:hAnsi="DejaVu Sans Mono"/>
          <w:b w:val="0"/>
          <w:i w:val="0"/>
          <w:sz w:val="17"/>
        </w:rPr>
        <w:t>turbine_capacity_mw</w:t>
      </w:r>
      <w:r>
        <w:rPr>
          <w:b w:val="0"/>
          <w:i w:val="0"/>
        </w:rPr>
        <w:t xml:space="preserve"> 乘 </w:t>
      </w:r>
      <w:r>
        <w:rPr>
          <w:rFonts w:ascii="DejaVu Sans Mono" w:hAnsi="DejaVu Sans Mono"/>
          <w:b w:val="0"/>
          <w:i w:val="0"/>
          <w:sz w:val="17"/>
        </w:rPr>
        <w:t>interval_hours</w:t>
      </w:r>
      <w:r>
        <w:rPr>
          <w:b w:val="0"/>
          <w:i w:val="0"/>
        </w:rPr>
        <w:t xml:space="preserve">，容差为 </w:t>
      </w:r>
      <w:r>
        <w:drawing>
          <wp:inline xmlns:a="http://schemas.openxmlformats.org/drawingml/2006/main" xmlns:pic="http://schemas.openxmlformats.org/drawingml/2006/picture">
            <wp:extent cx="313975" cy="140242"/>
            <wp:docPr id="193" name="Picture 193"/>
            <wp:cNvGraphicFramePr>
              <a:graphicFrameLocks noChangeAspect="1"/>
            </wp:cNvGraphicFramePr>
            <a:graphic>
              <a:graphicData uri="http://schemas.openxmlformats.org/drawingml/2006/picture">
                <pic:pic>
                  <pic:nvPicPr>
                    <pic:cNvPr id="0" name="eq-147.png"/>
                    <pic:cNvPicPr/>
                  </pic:nvPicPr>
                  <pic:blipFill>
                    <a:blip r:embed="rId147"/>
                    <a:stretch>
                      <a:fillRect/>
                    </a:stretch>
                  </pic:blipFill>
                  <pic:spPr>
                    <a:xfrm>
                      <a:off x="0" y="0"/>
                      <a:ext cx="313975" cy="140242"/>
                    </a:xfrm>
                    <a:prstGeom prst="rect"/>
                  </pic:spPr>
                </pic:pic>
              </a:graphicData>
            </a:graphic>
          </wp:inline>
        </w:drawing>
      </w:r>
      <w:r>
        <w:rPr>
          <w:b w:val="0"/>
          <w:i w:val="0"/>
        </w:rPr>
        <w:t xml:space="preserve"> MWh。</w:t>
      </w:r>
    </w:p>
    <w:p>
      <w:r>
        <w:rPr>
          <w:b w:val="0"/>
          <w:i w:val="0"/>
        </w:rPr>
        <w:t>求解器读取完整来水与价值序列，调用一次 SciPy/HiGHS 线性规划，返回水量轨迹、发电量和守恒残差。</w:t>
      </w:r>
      <w:r>
        <w:rPr>
          <w:rFonts w:ascii="DejaVu Sans Mono" w:hAnsi="DejaVu Sans Mono"/>
          <w:b w:val="0"/>
          <w:i w:val="0"/>
          <w:sz w:val="17"/>
        </w:rPr>
        <w:t>objective_gbp</w:t>
      </w:r>
      <w:r>
        <w:rPr>
          <w:b w:val="0"/>
          <w:i w:val="0"/>
        </w:rPr>
        <w:t xml:space="preserve"> 包含小额弃水惩罚。输入标签 </w:t>
      </w:r>
      <w:r>
        <w:rPr>
          <w:rFonts w:ascii="DejaVu Sans Mono" w:hAnsi="DejaVu Sans Mono"/>
          <w:b w:val="0"/>
          <w:i w:val="0"/>
          <w:sz w:val="17"/>
        </w:rPr>
        <w:t>myopic</w:t>
      </w:r>
      <w:r>
        <w:rPr>
          <w:b w:val="0"/>
          <w:i w:val="0"/>
        </w:rPr>
        <w:t>、</w:t>
      </w:r>
      <w:r>
        <w:rPr>
          <w:rFonts w:ascii="DejaVu Sans Mono" w:hAnsi="DejaVu Sans Mono"/>
          <w:b w:val="0"/>
          <w:i w:val="0"/>
          <w:sz w:val="17"/>
        </w:rPr>
        <w:t>rolling_horizon</w:t>
      </w:r>
      <w:r>
        <w:rPr>
          <w:b w:val="0"/>
          <w:i w:val="0"/>
        </w:rPr>
        <w:t xml:space="preserve"> 和 </w:t>
      </w:r>
      <w:r>
        <w:rPr>
          <w:rFonts w:ascii="DejaVu Sans Mono" w:hAnsi="DejaVu Sans Mono"/>
          <w:b w:val="0"/>
          <w:i w:val="0"/>
          <w:sz w:val="17"/>
        </w:rPr>
        <w:t>perfect_foresight</w:t>
      </w:r>
      <w:r>
        <w:rPr>
          <w:b w:val="0"/>
          <w:i w:val="0"/>
        </w:rPr>
        <w:t xml:space="preserve"> 均调用这一完整时域算法，并作为元数据返回。</w:t>
      </w:r>
    </w:p>
    <w:p>
      <w:pPr>
        <w:keepLines/>
        <w:spacing w:line="276" w:lineRule="auto" w:after="160"/>
      </w:pPr>
      <w:r>
        <w:rPr>
          <w:rFonts w:ascii="DejaVu Sans Mono" w:hAnsi="DejaVu Sans Mono"/>
          <w:b w:val="0"/>
          <w:i w:val="0"/>
          <w:sz w:val="17"/>
        </w:rPr>
        <w:t>reservoir_​dispatch(parameters, inflow, energy_​value_​gbp_​per_​mwh):</w:t>
        <w:br/>
        <w:t xml:space="preserve">    inflow.validate(); parameters.validate(inflow.interval_​hours)</w:t>
        <w:br/>
        <w:t xml:space="preserve">    conversion = (parameters.conversion_​mwh_​per_​water_​unit</w:t>
        <w:br/>
        <w:t xml:space="preserve">                  * parameters.turbine_​efficiency)</w:t>
        <w:br/>
        <w:t xml:space="preserve">    allocate q, bypass, spill and storage for every period</w:t>
        <w:br/>
        <w:t xml:space="preserve">    assemble objective, water equalities, release inequalities and bounds</w:t>
        <w:br/>
        <w:t xml:space="preserve">    use parameters.terminal_​volume as the final storage bound when supplied</w:t>
        <w:br/>
        <w:t xml:space="preserve">    solved = linprog(objective, A_ub=inequalities, b_ub=upper,</w:t>
        <w:br/>
        <w:t xml:space="preserve">                     A_eq=equalities, b_eq=rhs, bounds=bounds, method="highs")</w:t>
        <w:br/>
        <w:t xml:space="preserve">    generation = q * conversion</w:t>
        <w:br/>
        <w:t xml:space="preserve">    check previous + inflow.values[period] - q - bypass - spill - storage</w:t>
        <w:br/>
        <w:t xml:space="preserve">    return generation, water trajectories and residuals</w:t>
        <w:br/>
      </w:r>
    </w:p>
    <w:p>
      <w:pPr>
        <w:pStyle w:val="Heading2"/>
      </w:pPr>
      <w:r>
        <w:rPr>
          <w:b w:val="0"/>
          <w:i w:val="0"/>
        </w:rPr>
        <w:t>水文输入与模块连接</w:t>
      </w:r>
    </w:p>
    <w:p>
      <w:r>
        <w:rPr>
          <w:b w:val="0"/>
          <w:i w:val="0"/>
        </w:rPr>
        <w:t xml:space="preserve">天然水文输入包括站点表、资产到站点映射、径流式水电来水、水库来水和水库参数。站点声明技术、装机、涡轮效率、节点、来源及许可；抽蓄采用电储能模型。每项资产分配至一个站点，映射份额位于 </w:t>
      </w:r>
      <w:r>
        <w:drawing>
          <wp:inline xmlns:a="http://schemas.openxmlformats.org/drawingml/2006/main" xmlns:pic="http://schemas.openxmlformats.org/drawingml/2006/picture">
            <wp:extent cx="333743" cy="157426"/>
            <wp:docPr id="194" name="Picture 194"/>
            <wp:cNvGraphicFramePr>
              <a:graphicFrameLocks noChangeAspect="1"/>
            </wp:cNvGraphicFramePr>
            <a:graphic>
              <a:graphicData uri="http://schemas.openxmlformats.org/drawingml/2006/picture">
                <pic:pic>
                  <pic:nvPicPr>
                    <pic:cNvPr id="0" name="eq-183.png"/>
                    <pic:cNvPicPr/>
                  </pic:nvPicPr>
                  <pic:blipFill>
                    <a:blip r:embed="rId175"/>
                    <a:stretch>
                      <a:fillRect/>
                    </a:stretch>
                  </pic:blipFill>
                  <pic:spPr>
                    <a:xfrm>
                      <a:off x="0" y="0"/>
                      <a:ext cx="333743" cy="157426"/>
                    </a:xfrm>
                    <a:prstGeom prst="rect"/>
                  </pic:spPr>
                </pic:pic>
              </a:graphicData>
            </a:graphic>
          </wp:inline>
        </w:drawing>
      </w:r>
      <w:r>
        <w:rPr>
          <w:b w:val="0"/>
          <w:i w:val="0"/>
        </w:rPr>
        <w:t>⁠，同一资产份额合计至多为 1。</w:t>
      </w:r>
    </w:p>
    <w:p>
      <w:r>
        <w:rPr>
          <w:b w:val="0"/>
          <w:i w:val="0"/>
        </w:rPr>
        <w:t xml:space="preserve">来水 CSV 提供带时区的时间戳、时段长度、站点标识、数值及水量或电力可用率单位。适配器要求数值有限且非负、时间戳唯一、单位一致；给定预期时序时逐期核对。站点、映射及参数表接受 JSON 或 CSV，缺失值处理声明为 </w:t>
      </w:r>
      <w:r>
        <w:rPr>
          <w:rFonts w:ascii="DejaVu Sans Mono" w:hAnsi="DejaVu Sans Mono"/>
          <w:b w:val="0"/>
          <w:i w:val="0"/>
          <w:sz w:val="17"/>
        </w:rPr>
        <w:t>none</w:t>
      </w:r>
      <w:r>
        <w:rPr>
          <w:b w:val="0"/>
          <w:i w:val="0"/>
        </w:rPr>
        <w:t>。</w:t>
      </w:r>
    </w:p>
    <w:p>
      <w:r>
        <w:rPr>
          <w:b w:val="0"/>
          <w:i w:val="0"/>
        </w:rPr>
        <w:t>输入与运行函数可独立调用。</w:t>
      </w:r>
      <w:r>
        <w:rPr>
          <w:rFonts w:ascii="DejaVu Sans Mono" w:hAnsi="DejaVu Sans Mono"/>
          <w:b w:val="0"/>
          <w:i w:val="0"/>
          <w:sz w:val="17"/>
        </w:rPr>
        <w:t>load_​hydrology_​inputs_​from_​pack</w:t>
      </w:r>
      <w:r>
        <w:rPr>
          <w:b w:val="0"/>
          <w:i w:val="0"/>
        </w:rPr>
        <w:t xml:space="preserve"> 汇集输入，</w:t>
      </w:r>
      <w:r>
        <w:rPr>
          <w:rFonts w:ascii="DejaVu Sans Mono" w:hAnsi="DejaVu Sans Mono"/>
          <w:b w:val="0"/>
          <w:i w:val="0"/>
          <w:sz w:val="17"/>
        </w:rPr>
        <w:t>adapt_hydrology_csv</w:t>
      </w:r>
      <w:r>
        <w:rPr>
          <w:b w:val="0"/>
          <w:i w:val="0"/>
        </w:rPr>
        <w:t xml:space="preserve"> 读取来水，</w:t>
      </w:r>
      <w:r>
        <w:rPr>
          <w:rFonts w:ascii="DejaVu Sans Mono" w:hAnsi="DejaVu Sans Mono"/>
          <w:b w:val="0"/>
          <w:i w:val="0"/>
          <w:sz w:val="17"/>
        </w:rPr>
        <w:t>validate_site_mapping</w:t>
      </w:r>
      <w:r>
        <w:rPr>
          <w:b w:val="0"/>
          <w:i w:val="0"/>
        </w:rPr>
        <w:t xml:space="preserve"> 核对映射，</w:t>
      </w:r>
      <w:r>
        <w:rPr>
          <w:rFonts w:ascii="DejaVu Sans Mono" w:hAnsi="DejaVu Sans Mono"/>
          <w:b w:val="0"/>
          <w:i w:val="0"/>
          <w:sz w:val="17"/>
        </w:rPr>
        <w:t>run_of_river_dispatch</w:t>
      </w:r>
      <w:r>
        <w:rPr>
          <w:b w:val="0"/>
          <w:i w:val="0"/>
        </w:rPr>
        <w:t xml:space="preserve"> 计算径流式水电，</w:t>
      </w:r>
      <w:r>
        <w:rPr>
          <w:rFonts w:ascii="DejaVu Sans Mono" w:hAnsi="DejaVu Sans Mono"/>
          <w:b w:val="0"/>
          <w:i w:val="0"/>
          <w:sz w:val="17"/>
        </w:rPr>
        <w:t>reservoir_dispatch</w:t>
      </w:r>
      <w:r>
        <w:rPr>
          <w:b w:val="0"/>
          <w:i w:val="0"/>
        </w:rPr>
        <w:t xml:space="preserve"> 优化水库放水。年度市场应用需要适配器连接这些输入、输出与调度流程，并提供相应站点、来水、取水、转换、库存及期末参数。</w:t>
      </w:r>
    </w:p>
    <w:p>
      <w:pPr>
        <w:pStyle w:val="Heading1"/>
      </w:pPr>
      <w:r>
        <w:rPr>
          <w:b w:val="0"/>
          <w:i w:val="0"/>
        </w:rPr>
        <w:t>9 碳排放核算参数</w:t>
      </w:r>
    </w:p>
    <w:p>
      <w:r>
        <w:rPr>
          <w:b w:val="0"/>
          <w:i w:val="0"/>
        </w:rPr>
        <w:t xml:space="preserve">VALUE 将运行排放和设备建设排放分别计算，再按所选核算情景汇总。运行排放随实际发电量和进口电量变化，建设排放随在役设备容量及年化规则变化。当前物理核算使用 </w:t>
      </w:r>
      <w:r>
        <w:rPr>
          <w:rFonts w:ascii="DejaVu Sans Mono" w:hAnsi="DejaVu Sans Mono"/>
          <w:b w:val="0"/>
          <w:i w:val="0"/>
          <w:sz w:val="17"/>
        </w:rPr>
        <w:t>value_​current_​authoritative_​v1</w:t>
      </w:r>
      <w:r>
        <w:rPr>
          <w:b w:val="0"/>
          <w:i w:val="0"/>
        </w:rPr>
        <w:t xml:space="preserve"> 因子集；论文复现口径的参考配置选择 </w:t>
      </w:r>
      <w:r>
        <w:rPr>
          <w:rFonts w:ascii="DejaVu Sans Mono" w:hAnsi="DejaVu Sans Mono"/>
          <w:b w:val="0"/>
          <w:i w:val="0"/>
          <w:sz w:val="17"/>
        </w:rPr>
        <w:t>doctoral_​reproduction_​2026_​07_​18</w:t>
      </w:r>
      <w:r>
        <w:rPr>
          <w:b w:val="0"/>
          <w:i w:val="0"/>
        </w:rPr>
        <w:t xml:space="preserve">，其中历史储能标量按原始单位保留，碳结果记录为 </w:t>
      </w:r>
      <w:r>
        <w:rPr>
          <w:rFonts w:ascii="DejaVu Sans Mono" w:hAnsi="DejaVu Sans Mono"/>
          <w:b w:val="0"/>
          <w:i w:val="0"/>
          <w:sz w:val="17"/>
        </w:rPr>
        <w:t>not_​physically_​interpretable</w:t>
      </w:r>
      <w:r>
        <w:rPr>
          <w:b w:val="0"/>
          <w:i w:val="0"/>
        </w:rPr>
        <w:t>。</w:t>
      </w:r>
    </w:p>
    <w:p>
      <w:pPr>
        <w:pStyle w:val="Heading2"/>
      </w:pPr>
      <w:r>
        <w:rPr>
          <w:b w:val="0"/>
          <w:i w:val="0"/>
        </w:rPr>
        <w:t>发电与进口电力</w:t>
      </w:r>
    </w:p>
    <w:p>
      <w:pPr>
        <w:keepNext/>
      </w:pPr>
      <w:r>
        <w:rPr>
          <w:b w:val="0"/>
          <w:i w:val="0"/>
        </w:rPr>
        <w:t xml:space="preserve">运行排放按发电或进口电量乘以所选因子计算。在 </w:t>
      </w:r>
      <w:r>
        <w:rPr>
          <w:rFonts w:ascii="DejaVu Sans Mono" w:hAnsi="DejaVu Sans Mono"/>
          <w:b w:val="0"/>
          <w:i w:val="0"/>
          <w:sz w:val="17"/>
        </w:rPr>
        <w:t>build_​operational_​carbon_​ledger</w:t>
      </w:r>
      <w:r>
        <w:rPr>
          <w:b w:val="0"/>
          <w:i w:val="0"/>
        </w:rPr>
        <w:t xml:space="preserve"> 中，</w:t>
      </w:r>
      <w:r>
        <w:rPr>
          <w:rFonts w:ascii="DejaVu Sans Mono" w:hAnsi="DejaVu Sans Mono"/>
          <w:b w:val="0"/>
          <w:i w:val="0"/>
          <w:sz w:val="17"/>
        </w:rPr>
        <w:t>activity</w:t>
      </w:r>
      <w:r>
        <w:rPr>
          <w:b w:val="0"/>
          <w:i w:val="0"/>
        </w:rPr>
        <w:t xml:space="preserve"> 是从 </w:t>
      </w:r>
      <w:r>
        <w:rPr>
          <w:rFonts w:ascii="DejaVu Sans Mono" w:hAnsi="DejaVu Sans Mono"/>
          <w:b w:val="0"/>
          <w:i w:val="0"/>
          <w:sz w:val="17"/>
        </w:rPr>
        <w:t>generation_mwh_by_asset</w:t>
      </w:r>
      <w:r>
        <w:rPr>
          <w:b w:val="0"/>
          <w:i w:val="0"/>
        </w:rPr>
        <w:t xml:space="preserve"> 读取的各 </w:t>
      </w:r>
      <w:r>
        <w:rPr>
          <w:rFonts w:ascii="DejaVu Sans Mono" w:hAnsi="DejaVu Sans Mono"/>
          <w:b w:val="0"/>
          <w:i w:val="0"/>
          <w:sz w:val="17"/>
        </w:rPr>
        <w:t>asset_id</w:t>
      </w:r>
      <w:r>
        <w:rPr>
          <w:b w:val="0"/>
          <w:i w:val="0"/>
        </w:rPr>
        <w:t xml:space="preserve"> 电量，单位为 MWh；</w:t>
      </w:r>
      <w:r>
        <w:rPr>
          <w:rFonts w:ascii="DejaVu Sans Mono" w:hAnsi="DejaVu Sans Mono"/>
          <w:b w:val="0"/>
          <w:i w:val="0"/>
          <w:sz w:val="17"/>
        </w:rPr>
        <w:t>kg</w:t>
      </w:r>
      <w:r>
        <w:rPr>
          <w:b w:val="0"/>
          <w:i w:val="0"/>
        </w:rPr>
        <w:t xml:space="preserve"> 是换算为 kg/MWh 的因子。各条 </w:t>
      </w:r>
      <w:r>
        <w:rPr>
          <w:rFonts w:ascii="DejaVu Sans Mono" w:hAnsi="DejaVu Sans Mono"/>
          <w:b w:val="0"/>
          <w:i w:val="0"/>
          <w:sz w:val="17"/>
        </w:rPr>
        <w:t>emissions_tco2e</w:t>
      </w:r>
      <w:r>
        <w:rPr>
          <w:b w:val="0"/>
          <w:i w:val="0"/>
        </w:rPr>
        <w:t xml:space="preserve"> 记录排放吨数，</w:t>
      </w:r>
      <w:r>
        <w:rPr>
          <w:rFonts w:ascii="DejaVu Sans Mono" w:hAnsi="DejaVu Sans Mono"/>
          <w:b w:val="0"/>
          <w:i w:val="0"/>
          <w:sz w:val="17"/>
        </w:rPr>
        <w:t>operational</w:t>
      </w:r>
      <w:r>
        <w:rPr>
          <w:b w:val="0"/>
          <w:i w:val="0"/>
        </w:rPr>
        <w:t xml:space="preserve"> 汇总这些记录：</w:t>
      </w:r>
    </w:p>
    <w:p>
      <w:pPr>
        <w:spacing w:after="160"/>
        <w:jc w:val="center"/>
      </w:pPr>
      <w:r>
        <w:drawing>
          <wp:inline xmlns:a="http://schemas.openxmlformats.org/drawingml/2006/main" xmlns:pic="http://schemas.openxmlformats.org/drawingml/2006/picture">
            <wp:extent cx="4586478" cy="788801"/>
            <wp:docPr id="195" name="Picture 195"/>
            <wp:cNvGraphicFramePr>
              <a:graphicFrameLocks noChangeAspect="1"/>
            </wp:cNvGraphicFramePr>
            <a:graphic>
              <a:graphicData uri="http://schemas.openxmlformats.org/drawingml/2006/picture">
                <pic:pic>
                  <pic:nvPicPr>
                    <pic:cNvPr id="0" name="eq-195.png"/>
                    <pic:cNvPicPr/>
                  </pic:nvPicPr>
                  <pic:blipFill>
                    <a:blip r:embed="rId184"/>
                    <a:stretch>
                      <a:fillRect/>
                    </a:stretch>
                  </pic:blipFill>
                  <pic:spPr>
                    <a:xfrm>
                      <a:off x="0" y="0"/>
                      <a:ext cx="4586478" cy="788801"/>
                    </a:xfrm>
                    <a:prstGeom prst="rect"/>
                  </pic:spPr>
                </pic:pic>
              </a:graphicData>
            </a:graphic>
          </wp:inline>
        </w:drawing>
      </w:r>
    </w:p>
    <w:p>
      <w:r>
        <w:rPr>
          <w:b w:val="0"/>
          <w:i w:val="0"/>
        </w:rPr>
        <w:t>结果单位为吨，气体范围随所用因子的 CO₂ 或 CO₂e 定义保留。表中的零值对应发电环节的直接运行边界，设备建设排放通过下一节按容量计量的排放因子计算。进口因子采用固定的国家均值或备用值。</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56"/>
        <w:gridCol w:w="2006"/>
        <w:gridCol w:w="1742"/>
        <w:gridCol w:w="2888"/>
      </w:tblGrid>
      <w:tr>
        <w:trPr>
          <w:cantSplit/>
          <w:tblHeader w:val="true"/>
        </w:trPr>
        <w:tc>
          <w:tcPr>
            <w:tcW w:type="dxa" w:w="3156"/>
            <w:vAlign w:val="center"/>
            <w:tcMar>
              <w:top w:w="60" w:type="dxa"/>
              <w:left w:w="90" w:type="dxa"/>
              <w:bottom w:w="60" w:type="dxa"/>
              <w:right w:w="90" w:type="dxa"/>
            </w:tcMar>
            <w:shd w:fill="EEEEEE"/>
          </w:tcPr>
          <w:p>
            <w:pPr>
              <w:spacing w:after="40" w:line="276" w:lineRule="auto"/>
            </w:pPr>
            <w:r>
              <w:rPr>
                <w:b/>
                <w:i w:val="0"/>
                <w:sz w:val="18"/>
              </w:rPr>
              <w:t>发电技术或进口来源</w:t>
            </w:r>
          </w:p>
        </w:tc>
        <w:tc>
          <w:tcPr>
            <w:tcW w:type="dxa" w:w="2006"/>
            <w:vAlign w:val="center"/>
            <w:tcMar>
              <w:top w:w="60" w:type="dxa"/>
              <w:left w:w="90" w:type="dxa"/>
              <w:bottom w:w="60" w:type="dxa"/>
              <w:right w:w="90" w:type="dxa"/>
            </w:tcMar>
            <w:shd w:fill="EEEEEE"/>
          </w:tcPr>
          <w:p>
            <w:pPr>
              <w:spacing w:after="40" w:line="276" w:lineRule="auto"/>
            </w:pPr>
            <w:r>
              <w:rPr>
                <w:b/>
                <w:i w:val="0"/>
                <w:sz w:val="18"/>
              </w:rPr>
              <w:t>因子 kg/MWh</w:t>
            </w:r>
          </w:p>
        </w:tc>
        <w:tc>
          <w:tcPr>
            <w:tcW w:type="dxa" w:w="1742"/>
            <w:vAlign w:val="center"/>
            <w:tcMar>
              <w:top w:w="60" w:type="dxa"/>
              <w:left w:w="90" w:type="dxa"/>
              <w:bottom w:w="60" w:type="dxa"/>
              <w:right w:w="90" w:type="dxa"/>
            </w:tcMar>
            <w:shd w:fill="EEEEEE"/>
          </w:tcPr>
          <w:p>
            <w:pPr>
              <w:spacing w:after="40" w:line="276" w:lineRule="auto"/>
            </w:pPr>
            <w:r>
              <w:rPr>
                <w:b/>
                <w:i w:val="0"/>
                <w:sz w:val="18"/>
              </w:rPr>
              <w:t>气体口径</w:t>
            </w:r>
          </w:p>
        </w:tc>
        <w:tc>
          <w:tcPr>
            <w:tcW w:type="dxa" w:w="2888"/>
            <w:vAlign w:val="center"/>
            <w:tcMar>
              <w:top w:w="60" w:type="dxa"/>
              <w:left w:w="90" w:type="dxa"/>
              <w:bottom w:w="60" w:type="dxa"/>
              <w:right w:w="90" w:type="dxa"/>
            </w:tcMar>
            <w:shd w:fill="EEEEEE"/>
          </w:tcPr>
          <w:p>
            <w:pPr>
              <w:spacing w:after="40" w:line="276" w:lineRule="auto"/>
            </w:pPr>
            <w:r>
              <w:rPr>
                <w:b/>
                <w:i w:val="0"/>
                <w:sz w:val="18"/>
              </w:rPr>
              <w:t>数据依据</w:t>
            </w:r>
          </w:p>
        </w:tc>
      </w:tr>
      <w:tr>
        <w:trPr>
          <w:cantSplit/>
        </w:trPr>
        <w:tc>
          <w:tcPr>
            <w:tcW w:type="dxa" w:w="3156"/>
            <w:vAlign w:val="center"/>
            <w:tcMar>
              <w:top w:w="60" w:type="dxa"/>
              <w:left w:w="90" w:type="dxa"/>
              <w:bottom w:w="60" w:type="dxa"/>
              <w:right w:w="90" w:type="dxa"/>
            </w:tcMar>
          </w:tcPr>
          <w:p>
            <w:pPr>
              <w:spacing w:after="40" w:line="276" w:lineRule="auto"/>
            </w:pPr>
            <w:r>
              <w:rPr>
                <w:b w:val="0"/>
                <w:i w:val="0"/>
                <w:sz w:val="18"/>
              </w:rPr>
              <w:t>联合循环燃气</w:t>
            </w:r>
          </w:p>
        </w:tc>
        <w:tc>
          <w:tcPr>
            <w:tcW w:type="dxa" w:w="2006"/>
            <w:vAlign w:val="center"/>
            <w:tcMar>
              <w:top w:w="60" w:type="dxa"/>
              <w:left w:w="90" w:type="dxa"/>
              <w:bottom w:w="60" w:type="dxa"/>
              <w:right w:w="90" w:type="dxa"/>
            </w:tcMar>
          </w:tcPr>
          <w:p>
            <w:pPr>
              <w:spacing w:after="40" w:line="276" w:lineRule="auto"/>
            </w:pPr>
            <w:r>
              <w:rPr>
                <w:b w:val="0"/>
                <w:i w:val="0"/>
                <w:sz w:val="18"/>
              </w:rPr>
              <w:t>394</w:t>
            </w:r>
          </w:p>
        </w:tc>
        <w:tc>
          <w:tcPr>
            <w:tcW w:type="dxa" w:w="1742"/>
            <w:vAlign w:val="center"/>
            <w:tcMar>
              <w:top w:w="60" w:type="dxa"/>
              <w:left w:w="90" w:type="dxa"/>
              <w:bottom w:w="60" w:type="dxa"/>
              <w:right w:w="90" w:type="dxa"/>
            </w:tcMar>
          </w:tcPr>
          <w:p>
            <w:pPr>
              <w:spacing w:after="40" w:line="276" w:lineRule="auto"/>
            </w:pPr>
            <w:r>
              <w:rPr>
                <w:b w:val="0"/>
                <w:i w:val="0"/>
                <w:sz w:val="18"/>
              </w:rPr>
              <w:t>CO₂</w:t>
            </w:r>
          </w:p>
        </w:tc>
        <w:tc>
          <w:tcPr>
            <w:tcW w:type="dxa" w:w="2888"/>
            <w:vAlign w:val="center"/>
            <w:tcMar>
              <w:top w:w="60" w:type="dxa"/>
              <w:left w:w="90" w:type="dxa"/>
              <w:bottom w:w="60" w:type="dxa"/>
              <w:right w:w="90" w:type="dxa"/>
            </w:tcMar>
          </w:tcPr>
          <w:p>
            <w:pPr>
              <w:spacing w:after="40" w:line="276" w:lineRule="auto"/>
            </w:pPr>
            <w:r>
              <w:rPr>
                <w:b w:val="0"/>
                <w:i w:val="0"/>
                <w:sz w:val="18"/>
              </w:rPr>
              <w:t>NESO 2024 年区域碳强度方法</w:t>
            </w:r>
          </w:p>
        </w:tc>
      </w:tr>
      <w:tr>
        <w:trPr>
          <w:cantSplit/>
        </w:trPr>
        <w:tc>
          <w:tcPr>
            <w:tcW w:type="dxa" w:w="3156"/>
            <w:vAlign w:val="center"/>
            <w:tcMar>
              <w:top w:w="60" w:type="dxa"/>
              <w:left w:w="90" w:type="dxa"/>
              <w:bottom w:w="60" w:type="dxa"/>
              <w:right w:w="90" w:type="dxa"/>
            </w:tcMar>
          </w:tcPr>
          <w:p>
            <w:pPr>
              <w:spacing w:after="40" w:line="276" w:lineRule="auto"/>
            </w:pPr>
            <w:r>
              <w:rPr>
                <w:b w:val="0"/>
                <w:i w:val="0"/>
                <w:sz w:val="18"/>
              </w:rPr>
              <w:t>开式循环燃气</w:t>
            </w:r>
          </w:p>
        </w:tc>
        <w:tc>
          <w:tcPr>
            <w:tcW w:type="dxa" w:w="2006"/>
            <w:vAlign w:val="center"/>
            <w:tcMar>
              <w:top w:w="60" w:type="dxa"/>
              <w:left w:w="90" w:type="dxa"/>
              <w:bottom w:w="60" w:type="dxa"/>
              <w:right w:w="90" w:type="dxa"/>
            </w:tcMar>
          </w:tcPr>
          <w:p>
            <w:pPr>
              <w:spacing w:after="40" w:line="276" w:lineRule="auto"/>
            </w:pPr>
            <w:r>
              <w:rPr>
                <w:b w:val="0"/>
                <w:i w:val="0"/>
                <w:sz w:val="18"/>
              </w:rPr>
              <w:t>651</w:t>
            </w:r>
          </w:p>
        </w:tc>
        <w:tc>
          <w:tcPr>
            <w:tcW w:type="dxa" w:w="1742"/>
            <w:vAlign w:val="center"/>
            <w:tcMar>
              <w:top w:w="60" w:type="dxa"/>
              <w:left w:w="90" w:type="dxa"/>
              <w:bottom w:w="60" w:type="dxa"/>
              <w:right w:w="90" w:type="dxa"/>
            </w:tcMar>
          </w:tcPr>
          <w:p>
            <w:pPr>
              <w:spacing w:after="40" w:line="276" w:lineRule="auto"/>
            </w:pPr>
            <w:r>
              <w:rPr>
                <w:b w:val="0"/>
                <w:i w:val="0"/>
                <w:sz w:val="18"/>
              </w:rPr>
              <w:t>CO₂</w:t>
            </w:r>
          </w:p>
        </w:tc>
        <w:tc>
          <w:tcPr>
            <w:tcW w:type="dxa" w:w="2888"/>
            <w:vAlign w:val="center"/>
            <w:tcMar>
              <w:top w:w="60" w:type="dxa"/>
              <w:left w:w="90" w:type="dxa"/>
              <w:bottom w:w="60" w:type="dxa"/>
              <w:right w:w="90" w:type="dxa"/>
            </w:tcMar>
          </w:tcPr>
          <w:p>
            <w:pPr>
              <w:spacing w:after="40" w:line="276" w:lineRule="auto"/>
            </w:pPr>
            <w:r>
              <w:rPr>
                <w:b w:val="0"/>
                <w:i w:val="0"/>
                <w:sz w:val="18"/>
              </w:rPr>
              <w:t>NESO 2024 年区域碳强度方法</w:t>
            </w:r>
          </w:p>
        </w:tc>
      </w:tr>
      <w:tr>
        <w:trPr>
          <w:cantSplit/>
        </w:trPr>
        <w:tc>
          <w:tcPr>
            <w:tcW w:type="dxa" w:w="3156"/>
            <w:vAlign w:val="center"/>
            <w:tcMar>
              <w:top w:w="60" w:type="dxa"/>
              <w:left w:w="90" w:type="dxa"/>
              <w:bottom w:w="60" w:type="dxa"/>
              <w:right w:w="90" w:type="dxa"/>
            </w:tcMar>
          </w:tcPr>
          <w:p>
            <w:pPr>
              <w:spacing w:after="40" w:line="276" w:lineRule="auto"/>
            </w:pPr>
            <w:r>
              <w:rPr>
                <w:b w:val="0"/>
                <w:i w:val="0"/>
                <w:sz w:val="18"/>
              </w:rPr>
              <w:t>生物质</w:t>
            </w:r>
          </w:p>
        </w:tc>
        <w:tc>
          <w:tcPr>
            <w:tcW w:type="dxa" w:w="2006"/>
            <w:vAlign w:val="center"/>
            <w:tcMar>
              <w:top w:w="60" w:type="dxa"/>
              <w:left w:w="90" w:type="dxa"/>
              <w:bottom w:w="60" w:type="dxa"/>
              <w:right w:w="90" w:type="dxa"/>
            </w:tcMar>
          </w:tcPr>
          <w:p>
            <w:pPr>
              <w:spacing w:after="40" w:line="276" w:lineRule="auto"/>
            </w:pPr>
            <w:r>
              <w:rPr>
                <w:b w:val="0"/>
                <w:i w:val="0"/>
                <w:sz w:val="18"/>
              </w:rPr>
              <w:t>120</w:t>
            </w:r>
          </w:p>
        </w:tc>
        <w:tc>
          <w:tcPr>
            <w:tcW w:type="dxa" w:w="1742"/>
            <w:vAlign w:val="center"/>
            <w:tcMar>
              <w:top w:w="60" w:type="dxa"/>
              <w:left w:w="90" w:type="dxa"/>
              <w:bottom w:w="60" w:type="dxa"/>
              <w:right w:w="90" w:type="dxa"/>
            </w:tcMar>
          </w:tcPr>
          <w:p>
            <w:pPr>
              <w:spacing w:after="40" w:line="276" w:lineRule="auto"/>
            </w:pPr>
            <w:r>
              <w:rPr>
                <w:b w:val="0"/>
                <w:i w:val="0"/>
                <w:sz w:val="18"/>
              </w:rPr>
              <w:t>CO₂e</w:t>
            </w:r>
          </w:p>
        </w:tc>
        <w:tc>
          <w:tcPr>
            <w:tcW w:type="dxa" w:w="2888"/>
            <w:vAlign w:val="center"/>
            <w:tcMar>
              <w:top w:w="60" w:type="dxa"/>
              <w:left w:w="90" w:type="dxa"/>
              <w:bottom w:w="60" w:type="dxa"/>
              <w:right w:w="90" w:type="dxa"/>
            </w:tcMar>
          </w:tcPr>
          <w:p>
            <w:pPr>
              <w:spacing w:after="40" w:line="276" w:lineRule="auto"/>
            </w:pPr>
            <w:r>
              <w:rPr>
                <w:b w:val="0"/>
                <w:i w:val="0"/>
                <w:sz w:val="18"/>
              </w:rPr>
              <w:t>NESO 2024 年区域碳强度方法</w:t>
            </w:r>
          </w:p>
        </w:tc>
      </w:tr>
      <w:tr>
        <w:trPr>
          <w:cantSplit/>
        </w:trPr>
        <w:tc>
          <w:tcPr>
            <w:tcW w:type="dxa" w:w="3156"/>
            <w:vAlign w:val="center"/>
            <w:tcMar>
              <w:top w:w="60" w:type="dxa"/>
              <w:left w:w="90" w:type="dxa"/>
              <w:bottom w:w="60" w:type="dxa"/>
              <w:right w:w="90" w:type="dxa"/>
            </w:tcMar>
          </w:tcPr>
          <w:p>
            <w:pPr>
              <w:spacing w:after="40" w:line="276" w:lineRule="auto"/>
            </w:pPr>
            <w:r>
              <w:rPr>
                <w:b w:val="0"/>
                <w:i w:val="0"/>
                <w:sz w:val="18"/>
              </w:rPr>
              <w:t>风电 光伏 核电 天然水电 抽水蓄能</w:t>
            </w:r>
          </w:p>
        </w:tc>
        <w:tc>
          <w:tcPr>
            <w:tcW w:type="dxa" w:w="2006"/>
            <w:vAlign w:val="center"/>
            <w:tcMar>
              <w:top w:w="60" w:type="dxa"/>
              <w:left w:w="90" w:type="dxa"/>
              <w:bottom w:w="60" w:type="dxa"/>
              <w:right w:w="90" w:type="dxa"/>
            </w:tcMar>
          </w:tcPr>
          <w:p>
            <w:pPr>
              <w:spacing w:after="40" w:line="276" w:lineRule="auto"/>
            </w:pPr>
            <w:r>
              <w:rPr>
                <w:b w:val="0"/>
                <w:i w:val="0"/>
                <w:sz w:val="18"/>
              </w:rPr>
              <w:t>0</w:t>
            </w:r>
          </w:p>
        </w:tc>
        <w:tc>
          <w:tcPr>
            <w:tcW w:type="dxa" w:w="1742"/>
            <w:vAlign w:val="center"/>
            <w:tcMar>
              <w:top w:w="60" w:type="dxa"/>
              <w:left w:w="90" w:type="dxa"/>
              <w:bottom w:w="60" w:type="dxa"/>
              <w:right w:w="90" w:type="dxa"/>
            </w:tcMar>
          </w:tcPr>
          <w:p>
            <w:pPr>
              <w:spacing w:after="40" w:line="276" w:lineRule="auto"/>
            </w:pPr>
            <w:r>
              <w:rPr>
                <w:b w:val="0"/>
                <w:i w:val="0"/>
                <w:sz w:val="18"/>
              </w:rPr>
              <w:t>CO₂</w:t>
            </w:r>
          </w:p>
        </w:tc>
        <w:tc>
          <w:tcPr>
            <w:tcW w:type="dxa" w:w="2888"/>
            <w:vAlign w:val="center"/>
            <w:tcMar>
              <w:top w:w="60" w:type="dxa"/>
              <w:left w:w="90" w:type="dxa"/>
              <w:bottom w:w="60" w:type="dxa"/>
              <w:right w:w="90" w:type="dxa"/>
            </w:tcMar>
          </w:tcPr>
          <w:p>
            <w:pPr>
              <w:spacing w:after="40" w:line="276" w:lineRule="auto"/>
            </w:pPr>
            <w:r>
              <w:rPr>
                <w:b w:val="0"/>
                <w:i w:val="0"/>
                <w:sz w:val="18"/>
              </w:rPr>
              <w:t>NESO 发电环节边界</w:t>
            </w:r>
          </w:p>
        </w:tc>
      </w:tr>
      <w:tr>
        <w:trPr>
          <w:cantSplit/>
        </w:trPr>
        <w:tc>
          <w:tcPr>
            <w:tcW w:type="dxa" w:w="3156"/>
            <w:vAlign w:val="center"/>
            <w:tcMar>
              <w:top w:w="60" w:type="dxa"/>
              <w:left w:w="90" w:type="dxa"/>
              <w:bottom w:w="60" w:type="dxa"/>
              <w:right w:w="90" w:type="dxa"/>
            </w:tcMar>
          </w:tcPr>
          <w:p>
            <w:pPr>
              <w:spacing w:after="40" w:line="276" w:lineRule="auto"/>
            </w:pPr>
            <w:r>
              <w:rPr>
                <w:b w:val="0"/>
                <w:i w:val="0"/>
                <w:sz w:val="18"/>
              </w:rPr>
              <w:t>法国进口</w:t>
            </w:r>
          </w:p>
        </w:tc>
        <w:tc>
          <w:tcPr>
            <w:tcW w:type="dxa" w:w="2006"/>
            <w:vAlign w:val="center"/>
            <w:tcMar>
              <w:top w:w="60" w:type="dxa"/>
              <w:left w:w="90" w:type="dxa"/>
              <w:bottom w:w="60" w:type="dxa"/>
              <w:right w:w="90" w:type="dxa"/>
            </w:tcMar>
          </w:tcPr>
          <w:p>
            <w:pPr>
              <w:spacing w:after="40" w:line="276" w:lineRule="auto"/>
            </w:pPr>
            <w:r>
              <w:rPr>
                <w:b w:val="0"/>
                <w:i w:val="0"/>
                <w:sz w:val="18"/>
              </w:rPr>
              <w:t>53</w:t>
            </w:r>
          </w:p>
        </w:tc>
        <w:tc>
          <w:tcPr>
            <w:tcW w:type="dxa" w:w="1742"/>
            <w:vAlign w:val="center"/>
            <w:tcMar>
              <w:top w:w="60" w:type="dxa"/>
              <w:left w:w="90" w:type="dxa"/>
              <w:bottom w:w="60" w:type="dxa"/>
              <w:right w:w="90" w:type="dxa"/>
            </w:tcMar>
          </w:tcPr>
          <w:p>
            <w:pPr>
              <w:spacing w:after="40" w:line="276" w:lineRule="auto"/>
            </w:pPr>
            <w:r>
              <w:rPr>
                <w:b w:val="0"/>
                <w:i w:val="0"/>
                <w:sz w:val="18"/>
              </w:rPr>
              <w:t>CO₂</w:t>
            </w:r>
          </w:p>
        </w:tc>
        <w:tc>
          <w:tcPr>
            <w:tcW w:type="dxa" w:w="2888"/>
            <w:vAlign w:val="center"/>
            <w:tcMar>
              <w:top w:w="60" w:type="dxa"/>
              <w:left w:w="90" w:type="dxa"/>
              <w:bottom w:w="60" w:type="dxa"/>
              <w:right w:w="90" w:type="dxa"/>
            </w:tcMar>
          </w:tcPr>
          <w:p>
            <w:pPr>
              <w:spacing w:after="40" w:line="276" w:lineRule="auto"/>
            </w:pPr>
            <w:r>
              <w:rPr>
                <w:b w:val="0"/>
                <w:i w:val="0"/>
                <w:sz w:val="18"/>
              </w:rPr>
              <w:t>NESO 固定备用因子</w:t>
            </w:r>
          </w:p>
        </w:tc>
      </w:tr>
      <w:tr>
        <w:trPr>
          <w:cantSplit/>
        </w:trPr>
        <w:tc>
          <w:tcPr>
            <w:tcW w:type="dxa" w:w="3156"/>
            <w:vAlign w:val="center"/>
            <w:tcMar>
              <w:top w:w="60" w:type="dxa"/>
              <w:left w:w="90" w:type="dxa"/>
              <w:bottom w:w="60" w:type="dxa"/>
              <w:right w:w="90" w:type="dxa"/>
            </w:tcMar>
          </w:tcPr>
          <w:p>
            <w:pPr>
              <w:spacing w:after="40" w:line="276" w:lineRule="auto"/>
            </w:pPr>
            <w:r>
              <w:rPr>
                <w:b w:val="0"/>
                <w:i w:val="0"/>
                <w:sz w:val="18"/>
              </w:rPr>
              <w:t>荷兰进口</w:t>
            </w:r>
          </w:p>
        </w:tc>
        <w:tc>
          <w:tcPr>
            <w:tcW w:type="dxa" w:w="2006"/>
            <w:vAlign w:val="center"/>
            <w:tcMar>
              <w:top w:w="60" w:type="dxa"/>
              <w:left w:w="90" w:type="dxa"/>
              <w:bottom w:w="60" w:type="dxa"/>
              <w:right w:w="90" w:type="dxa"/>
            </w:tcMar>
          </w:tcPr>
          <w:p>
            <w:pPr>
              <w:spacing w:after="40" w:line="276" w:lineRule="auto"/>
            </w:pPr>
            <w:r>
              <w:rPr>
                <w:b w:val="0"/>
                <w:i w:val="0"/>
                <w:sz w:val="18"/>
              </w:rPr>
              <w:t>474</w:t>
            </w:r>
          </w:p>
        </w:tc>
        <w:tc>
          <w:tcPr>
            <w:tcW w:type="dxa" w:w="1742"/>
            <w:vAlign w:val="center"/>
            <w:tcMar>
              <w:top w:w="60" w:type="dxa"/>
              <w:left w:w="90" w:type="dxa"/>
              <w:bottom w:w="60" w:type="dxa"/>
              <w:right w:w="90" w:type="dxa"/>
            </w:tcMar>
          </w:tcPr>
          <w:p>
            <w:pPr>
              <w:spacing w:after="40" w:line="276" w:lineRule="auto"/>
            </w:pPr>
            <w:r>
              <w:rPr>
                <w:b w:val="0"/>
                <w:i w:val="0"/>
                <w:sz w:val="18"/>
              </w:rPr>
              <w:t>CO₂</w:t>
            </w:r>
          </w:p>
        </w:tc>
        <w:tc>
          <w:tcPr>
            <w:tcW w:type="dxa" w:w="2888"/>
            <w:vAlign w:val="center"/>
            <w:tcMar>
              <w:top w:w="60" w:type="dxa"/>
              <w:left w:w="90" w:type="dxa"/>
              <w:bottom w:w="60" w:type="dxa"/>
              <w:right w:w="90" w:type="dxa"/>
            </w:tcMar>
          </w:tcPr>
          <w:p>
            <w:pPr>
              <w:spacing w:after="40" w:line="276" w:lineRule="auto"/>
            </w:pPr>
            <w:r>
              <w:rPr>
                <w:b w:val="0"/>
                <w:i w:val="0"/>
                <w:sz w:val="18"/>
              </w:rPr>
              <w:t>NESO 固定备用因子</w:t>
            </w:r>
          </w:p>
        </w:tc>
      </w:tr>
      <w:tr>
        <w:trPr>
          <w:cantSplit/>
        </w:trPr>
        <w:tc>
          <w:tcPr>
            <w:tcW w:type="dxa" w:w="3156"/>
            <w:vAlign w:val="center"/>
            <w:tcMar>
              <w:top w:w="60" w:type="dxa"/>
              <w:left w:w="90" w:type="dxa"/>
              <w:bottom w:w="60" w:type="dxa"/>
              <w:right w:w="90" w:type="dxa"/>
            </w:tcMar>
          </w:tcPr>
          <w:p>
            <w:pPr>
              <w:spacing w:after="40" w:line="276" w:lineRule="auto"/>
            </w:pPr>
            <w:r>
              <w:rPr>
                <w:b w:val="0"/>
                <w:i w:val="0"/>
                <w:sz w:val="18"/>
              </w:rPr>
              <w:t>比利时进口</w:t>
            </w:r>
          </w:p>
        </w:tc>
        <w:tc>
          <w:tcPr>
            <w:tcW w:type="dxa" w:w="2006"/>
            <w:vAlign w:val="center"/>
            <w:tcMar>
              <w:top w:w="60" w:type="dxa"/>
              <w:left w:w="90" w:type="dxa"/>
              <w:bottom w:w="60" w:type="dxa"/>
              <w:right w:w="90" w:type="dxa"/>
            </w:tcMar>
          </w:tcPr>
          <w:p>
            <w:pPr>
              <w:spacing w:after="40" w:line="276" w:lineRule="auto"/>
            </w:pPr>
            <w:r>
              <w:rPr>
                <w:b w:val="0"/>
                <w:i w:val="0"/>
                <w:sz w:val="18"/>
              </w:rPr>
              <w:t>179</w:t>
            </w:r>
          </w:p>
        </w:tc>
        <w:tc>
          <w:tcPr>
            <w:tcW w:type="dxa" w:w="1742"/>
            <w:vAlign w:val="center"/>
            <w:tcMar>
              <w:top w:w="60" w:type="dxa"/>
              <w:left w:w="90" w:type="dxa"/>
              <w:bottom w:w="60" w:type="dxa"/>
              <w:right w:w="90" w:type="dxa"/>
            </w:tcMar>
          </w:tcPr>
          <w:p>
            <w:pPr>
              <w:spacing w:after="40" w:line="276" w:lineRule="auto"/>
            </w:pPr>
            <w:r>
              <w:rPr>
                <w:b w:val="0"/>
                <w:i w:val="0"/>
                <w:sz w:val="18"/>
              </w:rPr>
              <w:t>CO₂</w:t>
            </w:r>
          </w:p>
        </w:tc>
        <w:tc>
          <w:tcPr>
            <w:tcW w:type="dxa" w:w="2888"/>
            <w:vAlign w:val="center"/>
            <w:tcMar>
              <w:top w:w="60" w:type="dxa"/>
              <w:left w:w="90" w:type="dxa"/>
              <w:bottom w:w="60" w:type="dxa"/>
              <w:right w:w="90" w:type="dxa"/>
            </w:tcMar>
          </w:tcPr>
          <w:p>
            <w:pPr>
              <w:spacing w:after="40" w:line="276" w:lineRule="auto"/>
            </w:pPr>
            <w:r>
              <w:rPr>
                <w:b w:val="0"/>
                <w:i w:val="0"/>
                <w:sz w:val="18"/>
              </w:rPr>
              <w:t>NESO 固定备用因子</w:t>
            </w:r>
          </w:p>
        </w:tc>
      </w:tr>
      <w:tr>
        <w:trPr>
          <w:cantSplit/>
        </w:trPr>
        <w:tc>
          <w:tcPr>
            <w:tcW w:type="dxa" w:w="3156"/>
            <w:vAlign w:val="center"/>
            <w:tcMar>
              <w:top w:w="60" w:type="dxa"/>
              <w:left w:w="90" w:type="dxa"/>
              <w:bottom w:w="60" w:type="dxa"/>
              <w:right w:w="90" w:type="dxa"/>
            </w:tcMar>
          </w:tcPr>
          <w:p>
            <w:pPr>
              <w:spacing w:after="40" w:line="276" w:lineRule="auto"/>
            </w:pPr>
            <w:r>
              <w:rPr>
                <w:b w:val="0"/>
                <w:i w:val="0"/>
                <w:sz w:val="18"/>
              </w:rPr>
              <w:t>爱尔兰进口</w:t>
            </w:r>
          </w:p>
        </w:tc>
        <w:tc>
          <w:tcPr>
            <w:tcW w:type="dxa" w:w="2006"/>
            <w:vAlign w:val="center"/>
            <w:tcMar>
              <w:top w:w="60" w:type="dxa"/>
              <w:left w:w="90" w:type="dxa"/>
              <w:bottom w:w="60" w:type="dxa"/>
              <w:right w:w="90" w:type="dxa"/>
            </w:tcMar>
          </w:tcPr>
          <w:p>
            <w:pPr>
              <w:spacing w:after="40" w:line="276" w:lineRule="auto"/>
            </w:pPr>
            <w:r>
              <w:rPr>
                <w:b w:val="0"/>
                <w:i w:val="0"/>
                <w:sz w:val="18"/>
              </w:rPr>
              <w:t>458</w:t>
            </w:r>
          </w:p>
        </w:tc>
        <w:tc>
          <w:tcPr>
            <w:tcW w:type="dxa" w:w="1742"/>
            <w:vAlign w:val="center"/>
            <w:tcMar>
              <w:top w:w="60" w:type="dxa"/>
              <w:left w:w="90" w:type="dxa"/>
              <w:bottom w:w="60" w:type="dxa"/>
              <w:right w:w="90" w:type="dxa"/>
            </w:tcMar>
          </w:tcPr>
          <w:p>
            <w:pPr>
              <w:spacing w:after="40" w:line="276" w:lineRule="auto"/>
            </w:pPr>
            <w:r>
              <w:rPr>
                <w:b w:val="0"/>
                <w:i w:val="0"/>
                <w:sz w:val="18"/>
              </w:rPr>
              <w:t>CO₂</w:t>
            </w:r>
          </w:p>
        </w:tc>
        <w:tc>
          <w:tcPr>
            <w:tcW w:type="dxa" w:w="2888"/>
            <w:vAlign w:val="center"/>
            <w:tcMar>
              <w:top w:w="60" w:type="dxa"/>
              <w:left w:w="90" w:type="dxa"/>
              <w:bottom w:w="60" w:type="dxa"/>
              <w:right w:w="90" w:type="dxa"/>
            </w:tcMar>
          </w:tcPr>
          <w:p>
            <w:pPr>
              <w:spacing w:after="40" w:line="276" w:lineRule="auto"/>
            </w:pPr>
            <w:r>
              <w:rPr>
                <w:b w:val="0"/>
                <w:i w:val="0"/>
                <w:sz w:val="18"/>
              </w:rPr>
              <w:t>NESO 固定备用因子</w:t>
            </w:r>
          </w:p>
        </w:tc>
      </w:tr>
      <w:tr>
        <w:trPr>
          <w:cantSplit/>
        </w:trPr>
        <w:tc>
          <w:tcPr>
            <w:tcW w:type="dxa" w:w="3156"/>
            <w:vAlign w:val="center"/>
            <w:tcMar>
              <w:top w:w="60" w:type="dxa"/>
              <w:left w:w="90" w:type="dxa"/>
              <w:bottom w:w="60" w:type="dxa"/>
              <w:right w:w="90" w:type="dxa"/>
            </w:tcMar>
          </w:tcPr>
          <w:p>
            <w:pPr>
              <w:spacing w:after="40" w:line="276" w:lineRule="auto"/>
            </w:pPr>
            <w:r>
              <w:rPr>
                <w:b w:val="0"/>
                <w:i w:val="0"/>
                <w:sz w:val="18"/>
              </w:rPr>
              <w:t>挪威进口</w:t>
            </w:r>
          </w:p>
        </w:tc>
        <w:tc>
          <w:tcPr>
            <w:tcW w:type="dxa" w:w="2006"/>
            <w:vAlign w:val="center"/>
            <w:tcMar>
              <w:top w:w="60" w:type="dxa"/>
              <w:left w:w="90" w:type="dxa"/>
              <w:bottom w:w="60" w:type="dxa"/>
              <w:right w:w="90" w:type="dxa"/>
            </w:tcMar>
          </w:tcPr>
          <w:p>
            <w:pPr>
              <w:spacing w:after="40" w:line="276" w:lineRule="auto"/>
            </w:pPr>
            <w:r>
              <w:rPr>
                <w:b w:val="0"/>
                <w:i w:val="0"/>
                <w:sz w:val="18"/>
              </w:rPr>
              <w:t>11.9</w:t>
            </w:r>
          </w:p>
        </w:tc>
        <w:tc>
          <w:tcPr>
            <w:tcW w:type="dxa" w:w="1742"/>
            <w:vAlign w:val="center"/>
            <w:tcMar>
              <w:top w:w="60" w:type="dxa"/>
              <w:left w:w="90" w:type="dxa"/>
              <w:bottom w:w="60" w:type="dxa"/>
              <w:right w:w="90" w:type="dxa"/>
            </w:tcMar>
          </w:tcPr>
          <w:p>
            <w:pPr>
              <w:spacing w:after="40" w:line="276" w:lineRule="auto"/>
            </w:pPr>
            <w:r>
              <w:rPr>
                <w:b w:val="0"/>
                <w:i w:val="0"/>
                <w:sz w:val="18"/>
              </w:rPr>
              <w:t>CO₂e</w:t>
            </w:r>
          </w:p>
        </w:tc>
        <w:tc>
          <w:tcPr>
            <w:tcW w:type="dxa" w:w="2888"/>
            <w:vAlign w:val="center"/>
            <w:tcMar>
              <w:top w:w="60" w:type="dxa"/>
              <w:left w:w="90" w:type="dxa"/>
              <w:bottom w:w="60" w:type="dxa"/>
              <w:right w:w="90" w:type="dxa"/>
            </w:tcMar>
          </w:tcPr>
          <w:p>
            <w:pPr>
              <w:spacing w:after="40" w:line="276" w:lineRule="auto"/>
            </w:pPr>
            <w:r>
              <w:rPr>
                <w:b w:val="0"/>
                <w:i w:val="0"/>
                <w:sz w:val="18"/>
              </w:rPr>
              <w:t>NVE 2024 年实物供电年均值</w:t>
            </w:r>
          </w:p>
        </w:tc>
      </w:tr>
    </w:tbl>
    <w:p>
      <w:pPr>
        <w:spacing w:after="20"/>
      </w:pPr>
    </w:p>
    <w:p>
      <w:r>
        <w:rPr>
          <w:b w:val="0"/>
          <w:i w:val="0"/>
        </w:rPr>
        <w:t>各因子统一为 kg/MWh，1 g/kWh 与 1 kg/MWh 数值相同。挪威原单位为 gCO₂e/kWh。</w:t>
      </w:r>
    </w:p>
    <w:p>
      <w:r>
        <w:rPr>
          <w:b w:val="0"/>
          <w:i w:val="0"/>
        </w:rPr>
        <w:t>生物质计算采用表中固定因子 120 kgCO₂e/MWh，其原来源给出 ±120 gCO₂/kWh 的不确定范围。</w:t>
      </w:r>
    </w:p>
    <w:p>
      <w:pPr>
        <w:pStyle w:val="Heading2"/>
      </w:pPr>
      <w:r>
        <w:rPr>
          <w:b w:val="0"/>
          <w:i w:val="0"/>
        </w:rPr>
        <w:t>按功率容量年化的建设排放</w:t>
      </w:r>
    </w:p>
    <w:p>
      <w:pPr>
        <w:keepNext/>
      </w:pPr>
      <w:r>
        <w:rPr>
          <w:b w:val="0"/>
          <w:i w:val="0"/>
        </w:rPr>
        <w:t xml:space="preserve">设备建造排放按各在役资产进行年度分摊。在 </w:t>
      </w:r>
      <w:r>
        <w:rPr>
          <w:rFonts w:ascii="DejaVu Sans Mono" w:hAnsi="DejaVu Sans Mono"/>
          <w:b w:val="0"/>
          <w:i w:val="0"/>
          <w:sz w:val="17"/>
        </w:rPr>
        <w:t>_asset_embodied_lines</w:t>
      </w:r>
      <w:r>
        <w:rPr>
          <w:b w:val="0"/>
          <w:i w:val="0"/>
        </w:rPr>
        <w:t xml:space="preserve"> 中，</w:t>
      </w:r>
      <w:r>
        <w:rPr>
          <w:rFonts w:ascii="DejaVu Sans Mono" w:hAnsi="DejaVu Sans Mono"/>
          <w:b w:val="0"/>
          <w:i w:val="0"/>
          <w:sz w:val="17"/>
        </w:rPr>
        <w:t>capacity_mw</w:t>
      </w:r>
      <w:r>
        <w:rPr>
          <w:b w:val="0"/>
          <w:i w:val="0"/>
        </w:rPr>
        <w:t xml:space="preserve"> 为在役功率，单位为 MW；</w:t>
      </w:r>
      <w:r>
        <w:rPr>
          <w:rFonts w:ascii="DejaVu Sans Mono" w:hAnsi="DejaVu Sans Mono"/>
          <w:b w:val="0"/>
          <w:i w:val="0"/>
          <w:sz w:val="17"/>
        </w:rPr>
        <w:t>factor.value</w:t>
      </w:r>
      <w:r>
        <w:rPr>
          <w:b w:val="0"/>
          <w:i w:val="0"/>
        </w:rPr>
        <w:t xml:space="preserve"> 为所选年度因子，单位为 tCO₂e/(MW·年)。单项结果 </w:t>
      </w:r>
      <w:r>
        <w:rPr>
          <w:rFonts w:ascii="DejaVu Sans Mono" w:hAnsi="DejaVu Sans Mono"/>
          <w:b w:val="0"/>
          <w:i w:val="0"/>
          <w:sz w:val="17"/>
        </w:rPr>
        <w:t>emissions</w:t>
      </w:r>
      <w:r>
        <w:rPr>
          <w:b w:val="0"/>
          <w:i w:val="0"/>
        </w:rPr>
        <w:t xml:space="preserve"> 写入 </w:t>
      </w:r>
      <w:r>
        <w:rPr>
          <w:rFonts w:ascii="DejaVu Sans Mono" w:hAnsi="DejaVu Sans Mono"/>
          <w:b w:val="0"/>
          <w:i w:val="0"/>
          <w:sz w:val="17"/>
        </w:rPr>
        <w:t>line.emissions_tco2e</w:t>
      </w:r>
      <w:r>
        <w:rPr>
          <w:b w:val="0"/>
          <w:i w:val="0"/>
        </w:rPr>
        <w:t>，</w:t>
      </w:r>
      <w:r>
        <w:rPr>
          <w:rFonts w:ascii="DejaVu Sans Mono" w:hAnsi="DejaVu Sans Mono"/>
          <w:b w:val="0"/>
          <w:i w:val="0"/>
          <w:sz w:val="17"/>
        </w:rPr>
        <w:t>embodied</w:t>
      </w:r>
      <w:r>
        <w:rPr>
          <w:b w:val="0"/>
          <w:i w:val="0"/>
        </w:rPr>
        <w:t xml:space="preserve"> 汇总这些建造排放记录：</w:t>
      </w:r>
    </w:p>
    <w:p>
      <w:pPr>
        <w:spacing w:after="160"/>
        <w:jc w:val="center"/>
      </w:pPr>
      <w:r>
        <w:drawing>
          <wp:inline xmlns:a="http://schemas.openxmlformats.org/drawingml/2006/main" xmlns:pic="http://schemas.openxmlformats.org/drawingml/2006/picture">
            <wp:extent cx="3413607" cy="466427"/>
            <wp:docPr id="196" name="Picture 196"/>
            <wp:cNvGraphicFramePr>
              <a:graphicFrameLocks noChangeAspect="1"/>
            </wp:cNvGraphicFramePr>
            <a:graphic>
              <a:graphicData uri="http://schemas.openxmlformats.org/drawingml/2006/picture">
                <pic:pic>
                  <pic:nvPicPr>
                    <pic:cNvPr id="0" name="eq-196.png"/>
                    <pic:cNvPicPr/>
                  </pic:nvPicPr>
                  <pic:blipFill>
                    <a:blip r:embed="rId185"/>
                    <a:stretch>
                      <a:fillRect/>
                    </a:stretch>
                  </pic:blipFill>
                  <pic:spPr>
                    <a:xfrm>
                      <a:off x="0" y="0"/>
                      <a:ext cx="3413607" cy="466427"/>
                    </a:xfrm>
                    <a:prstGeom prst="rect"/>
                  </pic:spPr>
                </pic:pic>
              </a:graphicData>
            </a:graphic>
          </wp:inline>
        </w:drawing>
      </w:r>
    </w:p>
    <w:p>
      <w:r>
        <w:rPr>
          <w:b w:val="0"/>
          <w:i w:val="0"/>
        </w:rPr>
        <w:t xml:space="preserve">下表采用研究后处理输入 </w:t>
      </w:r>
      <w:r>
        <w:rPr>
          <w:rFonts w:ascii="DejaVu Sans Mono" w:hAnsi="DejaVu Sans Mono"/>
          <w:b w:val="0"/>
          <w:i w:val="0"/>
          <w:sz w:val="17"/>
        </w:rPr>
        <w:t>embodied_​factors_​desnz_​unece.csv</w:t>
      </w:r>
      <w:r>
        <w:rPr>
          <w:b w:val="0"/>
          <w:i w:val="0"/>
        </w:rPr>
        <w:t xml:space="preserve"> 中使用的年度因子。因子选择随研究配置固定，其中开式循环燃气沿用联合循环燃气的建设因子，电解槽使用该输入表的文献代理值。</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1"/>
        <w:gridCol w:w="5861"/>
      </w:tblGrid>
      <w:tr>
        <w:trPr>
          <w:cantSplit/>
          <w:tblHeader w:val="true"/>
        </w:trPr>
        <w:tc>
          <w:tcPr>
            <w:tcW w:type="dxa" w:w="3931"/>
            <w:vAlign w:val="center"/>
            <w:tcMar>
              <w:top w:w="60" w:type="dxa"/>
              <w:left w:w="90" w:type="dxa"/>
              <w:bottom w:w="60" w:type="dxa"/>
              <w:right w:w="90" w:type="dxa"/>
            </w:tcMar>
            <w:shd w:fill="EEEEEE"/>
          </w:tcPr>
          <w:p>
            <w:pPr>
              <w:spacing w:after="40" w:line="276" w:lineRule="auto"/>
            </w:pPr>
            <w:r>
              <w:rPr>
                <w:b/>
                <w:i w:val="0"/>
                <w:sz w:val="18"/>
              </w:rPr>
              <w:t>技术</w:t>
            </w:r>
          </w:p>
        </w:tc>
        <w:tc>
          <w:tcPr>
            <w:tcW w:type="dxa" w:w="5861"/>
            <w:vAlign w:val="center"/>
            <w:tcMar>
              <w:top w:w="60" w:type="dxa"/>
              <w:left w:w="90" w:type="dxa"/>
              <w:bottom w:w="60" w:type="dxa"/>
              <w:right w:w="90" w:type="dxa"/>
            </w:tcMar>
            <w:shd w:fill="EEEEEE"/>
          </w:tcPr>
          <w:p>
            <w:pPr>
              <w:spacing w:after="40" w:line="276" w:lineRule="auto"/>
            </w:pPr>
            <w:r>
              <w:rPr>
                <w:b/>
                <w:i w:val="0"/>
                <w:sz w:val="18"/>
              </w:rPr>
              <w:t>年度因子 tCO₂e/(MW·年)</w:t>
            </w:r>
          </w:p>
        </w:tc>
      </w:tr>
      <w:tr>
        <w:trPr>
          <w:cantSplit/>
        </w:trPr>
        <w:tc>
          <w:tcPr>
            <w:tcW w:type="dxa" w:w="3931"/>
            <w:vAlign w:val="center"/>
            <w:tcMar>
              <w:top w:w="60" w:type="dxa"/>
              <w:left w:w="90" w:type="dxa"/>
              <w:bottom w:w="60" w:type="dxa"/>
              <w:right w:w="90" w:type="dxa"/>
            </w:tcMar>
          </w:tcPr>
          <w:p>
            <w:pPr>
              <w:spacing w:after="40" w:line="276" w:lineRule="auto"/>
            </w:pPr>
            <w:r>
              <w:rPr>
                <w:b w:val="0"/>
                <w:i w:val="0"/>
                <w:sz w:val="18"/>
              </w:rPr>
              <w:t>光伏</w:t>
            </w:r>
          </w:p>
        </w:tc>
        <w:tc>
          <w:tcPr>
            <w:tcW w:type="dxa" w:w="5861"/>
            <w:vAlign w:val="center"/>
            <w:tcMar>
              <w:top w:w="60" w:type="dxa"/>
              <w:left w:w="90" w:type="dxa"/>
              <w:bottom w:w="60" w:type="dxa"/>
              <w:right w:w="90" w:type="dxa"/>
            </w:tcMar>
          </w:tcPr>
          <w:p>
            <w:pPr>
              <w:spacing w:after="40" w:line="276" w:lineRule="auto"/>
            </w:pPr>
            <w:r>
              <w:rPr>
                <w:b w:val="0"/>
                <w:i w:val="0"/>
                <w:sz w:val="18"/>
              </w:rPr>
              <w:t>38.544</w:t>
            </w:r>
          </w:p>
        </w:tc>
      </w:tr>
      <w:tr>
        <w:trPr>
          <w:cantSplit/>
        </w:trPr>
        <w:tc>
          <w:tcPr>
            <w:tcW w:type="dxa" w:w="3931"/>
            <w:vAlign w:val="center"/>
            <w:tcMar>
              <w:top w:w="60" w:type="dxa"/>
              <w:left w:w="90" w:type="dxa"/>
              <w:bottom w:w="60" w:type="dxa"/>
              <w:right w:w="90" w:type="dxa"/>
            </w:tcMar>
          </w:tcPr>
          <w:p>
            <w:pPr>
              <w:spacing w:after="40" w:line="276" w:lineRule="auto"/>
            </w:pPr>
            <w:r>
              <w:rPr>
                <w:b w:val="0"/>
                <w:i w:val="0"/>
                <w:sz w:val="18"/>
              </w:rPr>
              <w:t>陆上风电</w:t>
            </w:r>
          </w:p>
        </w:tc>
        <w:tc>
          <w:tcPr>
            <w:tcW w:type="dxa" w:w="5861"/>
            <w:vAlign w:val="center"/>
            <w:tcMar>
              <w:top w:w="60" w:type="dxa"/>
              <w:left w:w="90" w:type="dxa"/>
              <w:bottom w:w="60" w:type="dxa"/>
              <w:right w:w="90" w:type="dxa"/>
            </w:tcMar>
          </w:tcPr>
          <w:p>
            <w:pPr>
              <w:spacing w:after="40" w:line="276" w:lineRule="auto"/>
            </w:pPr>
            <w:r>
              <w:rPr>
                <w:b w:val="0"/>
                <w:i w:val="0"/>
                <w:sz w:val="18"/>
              </w:rPr>
              <w:t>47.304</w:t>
            </w:r>
          </w:p>
        </w:tc>
      </w:tr>
      <w:tr>
        <w:trPr>
          <w:cantSplit/>
        </w:trPr>
        <w:tc>
          <w:tcPr>
            <w:tcW w:type="dxa" w:w="3931"/>
            <w:vAlign w:val="center"/>
            <w:tcMar>
              <w:top w:w="60" w:type="dxa"/>
              <w:left w:w="90" w:type="dxa"/>
              <w:bottom w:w="60" w:type="dxa"/>
              <w:right w:w="90" w:type="dxa"/>
            </w:tcMar>
          </w:tcPr>
          <w:p>
            <w:pPr>
              <w:spacing w:after="40" w:line="276" w:lineRule="auto"/>
            </w:pPr>
            <w:r>
              <w:rPr>
                <w:b w:val="0"/>
                <w:i w:val="0"/>
                <w:sz w:val="18"/>
              </w:rPr>
              <w:t>海上风电</w:t>
            </w:r>
          </w:p>
        </w:tc>
        <w:tc>
          <w:tcPr>
            <w:tcW w:type="dxa" w:w="5861"/>
            <w:vAlign w:val="center"/>
            <w:tcMar>
              <w:top w:w="60" w:type="dxa"/>
              <w:left w:w="90" w:type="dxa"/>
              <w:bottom w:w="60" w:type="dxa"/>
              <w:right w:w="90" w:type="dxa"/>
            </w:tcMar>
          </w:tcPr>
          <w:p>
            <w:pPr>
              <w:spacing w:after="40" w:line="276" w:lineRule="auto"/>
            </w:pPr>
            <w:r>
              <w:rPr>
                <w:b w:val="0"/>
                <w:i w:val="0"/>
                <w:sz w:val="18"/>
              </w:rPr>
              <w:t>96.1848</w:t>
            </w:r>
          </w:p>
        </w:tc>
      </w:tr>
      <w:tr>
        <w:trPr>
          <w:cantSplit/>
        </w:trPr>
        <w:tc>
          <w:tcPr>
            <w:tcW w:type="dxa" w:w="3931"/>
            <w:vAlign w:val="center"/>
            <w:tcMar>
              <w:top w:w="60" w:type="dxa"/>
              <w:left w:w="90" w:type="dxa"/>
              <w:bottom w:w="60" w:type="dxa"/>
              <w:right w:w="90" w:type="dxa"/>
            </w:tcMar>
          </w:tcPr>
          <w:p>
            <w:pPr>
              <w:spacing w:after="40" w:line="276" w:lineRule="auto"/>
            </w:pPr>
            <w:r>
              <w:rPr>
                <w:b w:val="0"/>
                <w:i w:val="0"/>
                <w:sz w:val="18"/>
              </w:rPr>
              <w:t>核电</w:t>
            </w:r>
          </w:p>
        </w:tc>
        <w:tc>
          <w:tcPr>
            <w:tcW w:type="dxa" w:w="5861"/>
            <w:vAlign w:val="center"/>
            <w:tcMar>
              <w:top w:w="60" w:type="dxa"/>
              <w:left w:w="90" w:type="dxa"/>
              <w:bottom w:w="60" w:type="dxa"/>
              <w:right w:w="90" w:type="dxa"/>
            </w:tcMar>
          </w:tcPr>
          <w:p>
            <w:pPr>
              <w:spacing w:after="40" w:line="276" w:lineRule="auto"/>
            </w:pPr>
            <w:r>
              <w:rPr>
                <w:b w:val="0"/>
                <w:i w:val="0"/>
                <w:sz w:val="18"/>
              </w:rPr>
              <w:t>43.362</w:t>
            </w:r>
          </w:p>
        </w:tc>
      </w:tr>
      <w:tr>
        <w:trPr>
          <w:cantSplit/>
        </w:trPr>
        <w:tc>
          <w:tcPr>
            <w:tcW w:type="dxa" w:w="3931"/>
            <w:vAlign w:val="center"/>
            <w:tcMar>
              <w:top w:w="60" w:type="dxa"/>
              <w:left w:w="90" w:type="dxa"/>
              <w:bottom w:w="60" w:type="dxa"/>
              <w:right w:w="90" w:type="dxa"/>
            </w:tcMar>
          </w:tcPr>
          <w:p>
            <w:pPr>
              <w:spacing w:after="40" w:line="276" w:lineRule="auto"/>
            </w:pPr>
            <w:r>
              <w:rPr>
                <w:b w:val="0"/>
                <w:i w:val="0"/>
                <w:sz w:val="18"/>
              </w:rPr>
              <w:t>天然水电</w:t>
            </w:r>
          </w:p>
        </w:tc>
        <w:tc>
          <w:tcPr>
            <w:tcW w:type="dxa" w:w="5861"/>
            <w:vAlign w:val="center"/>
            <w:tcMar>
              <w:top w:w="60" w:type="dxa"/>
              <w:left w:w="90" w:type="dxa"/>
              <w:bottom w:w="60" w:type="dxa"/>
              <w:right w:w="90" w:type="dxa"/>
            </w:tcMar>
          </w:tcPr>
          <w:p>
            <w:pPr>
              <w:spacing w:after="40" w:line="276" w:lineRule="auto"/>
            </w:pPr>
            <w:r>
              <w:rPr>
                <w:b w:val="0"/>
                <w:i w:val="0"/>
                <w:sz w:val="18"/>
              </w:rPr>
              <w:t>61.32</w:t>
            </w:r>
          </w:p>
        </w:tc>
      </w:tr>
      <w:tr>
        <w:trPr>
          <w:cantSplit/>
        </w:trPr>
        <w:tc>
          <w:tcPr>
            <w:tcW w:type="dxa" w:w="3931"/>
            <w:vAlign w:val="center"/>
            <w:tcMar>
              <w:top w:w="60" w:type="dxa"/>
              <w:left w:w="90" w:type="dxa"/>
              <w:bottom w:w="60" w:type="dxa"/>
              <w:right w:w="90" w:type="dxa"/>
            </w:tcMar>
          </w:tcPr>
          <w:p>
            <w:pPr>
              <w:spacing w:after="40" w:line="276" w:lineRule="auto"/>
            </w:pPr>
            <w:r>
              <w:rPr>
                <w:b w:val="0"/>
                <w:i w:val="0"/>
                <w:sz w:val="18"/>
              </w:rPr>
              <w:t>抽水蓄能</w:t>
            </w:r>
          </w:p>
        </w:tc>
        <w:tc>
          <w:tcPr>
            <w:tcW w:type="dxa" w:w="5861"/>
            <w:vAlign w:val="center"/>
            <w:tcMar>
              <w:top w:w="60" w:type="dxa"/>
              <w:left w:w="90" w:type="dxa"/>
              <w:bottom w:w="60" w:type="dxa"/>
              <w:right w:w="90" w:type="dxa"/>
            </w:tcMar>
          </w:tcPr>
          <w:p>
            <w:pPr>
              <w:spacing w:after="40" w:line="276" w:lineRule="auto"/>
            </w:pPr>
            <w:r>
              <w:rPr>
                <w:b w:val="0"/>
                <w:i w:val="0"/>
                <w:sz w:val="18"/>
              </w:rPr>
              <w:t>98.55</w:t>
            </w:r>
          </w:p>
        </w:tc>
      </w:tr>
      <w:tr>
        <w:trPr>
          <w:cantSplit/>
        </w:trPr>
        <w:tc>
          <w:tcPr>
            <w:tcW w:type="dxa" w:w="3931"/>
            <w:vAlign w:val="center"/>
            <w:tcMar>
              <w:top w:w="60" w:type="dxa"/>
              <w:left w:w="90" w:type="dxa"/>
              <w:bottom w:w="60" w:type="dxa"/>
              <w:right w:w="90" w:type="dxa"/>
            </w:tcMar>
          </w:tcPr>
          <w:p>
            <w:pPr>
              <w:spacing w:after="40" w:line="276" w:lineRule="auto"/>
            </w:pPr>
            <w:r>
              <w:rPr>
                <w:b w:val="0"/>
                <w:i w:val="0"/>
                <w:sz w:val="18"/>
              </w:rPr>
              <w:t>联合循环燃气</w:t>
            </w:r>
          </w:p>
        </w:tc>
        <w:tc>
          <w:tcPr>
            <w:tcW w:type="dxa" w:w="5861"/>
            <w:vAlign w:val="center"/>
            <w:tcMar>
              <w:top w:w="60" w:type="dxa"/>
              <w:left w:w="90" w:type="dxa"/>
              <w:bottom w:w="60" w:type="dxa"/>
              <w:right w:w="90" w:type="dxa"/>
            </w:tcMar>
          </w:tcPr>
          <w:p>
            <w:pPr>
              <w:spacing w:after="40" w:line="276" w:lineRule="auto"/>
            </w:pPr>
            <w:r>
              <w:rPr>
                <w:b w:val="0"/>
                <w:i w:val="0"/>
                <w:sz w:val="18"/>
              </w:rPr>
              <w:t>16.2936</w:t>
            </w:r>
          </w:p>
        </w:tc>
      </w:tr>
      <w:tr>
        <w:trPr>
          <w:cantSplit/>
        </w:trPr>
        <w:tc>
          <w:tcPr>
            <w:tcW w:type="dxa" w:w="3931"/>
            <w:vAlign w:val="center"/>
            <w:tcMar>
              <w:top w:w="60" w:type="dxa"/>
              <w:left w:w="90" w:type="dxa"/>
              <w:bottom w:w="60" w:type="dxa"/>
              <w:right w:w="90" w:type="dxa"/>
            </w:tcMar>
          </w:tcPr>
          <w:p>
            <w:pPr>
              <w:spacing w:after="40" w:line="276" w:lineRule="auto"/>
            </w:pPr>
            <w:r>
              <w:rPr>
                <w:b w:val="0"/>
                <w:i w:val="0"/>
                <w:sz w:val="18"/>
              </w:rPr>
              <w:t>开式循环燃气</w:t>
            </w:r>
          </w:p>
        </w:tc>
        <w:tc>
          <w:tcPr>
            <w:tcW w:type="dxa" w:w="5861"/>
            <w:vAlign w:val="center"/>
            <w:tcMar>
              <w:top w:w="60" w:type="dxa"/>
              <w:left w:w="90" w:type="dxa"/>
              <w:bottom w:w="60" w:type="dxa"/>
              <w:right w:w="90" w:type="dxa"/>
            </w:tcMar>
          </w:tcPr>
          <w:p>
            <w:pPr>
              <w:spacing w:after="40" w:line="276" w:lineRule="auto"/>
            </w:pPr>
            <w:r>
              <w:rPr>
                <w:b w:val="0"/>
                <w:i w:val="0"/>
                <w:sz w:val="18"/>
              </w:rPr>
              <w:t>16.2936</w:t>
            </w:r>
          </w:p>
        </w:tc>
      </w:tr>
      <w:tr>
        <w:trPr>
          <w:cantSplit/>
        </w:trPr>
        <w:tc>
          <w:tcPr>
            <w:tcW w:type="dxa" w:w="3931"/>
            <w:vAlign w:val="center"/>
            <w:tcMar>
              <w:top w:w="60" w:type="dxa"/>
              <w:left w:w="90" w:type="dxa"/>
              <w:bottom w:w="60" w:type="dxa"/>
              <w:right w:w="90" w:type="dxa"/>
            </w:tcMar>
          </w:tcPr>
          <w:p>
            <w:pPr>
              <w:spacing w:after="40" w:line="276" w:lineRule="auto"/>
            </w:pPr>
            <w:r>
              <w:rPr>
                <w:b w:val="0"/>
                <w:i w:val="0"/>
                <w:sz w:val="18"/>
              </w:rPr>
              <w:t>生物质</w:t>
            </w:r>
          </w:p>
        </w:tc>
        <w:tc>
          <w:tcPr>
            <w:tcW w:type="dxa" w:w="5861"/>
            <w:vAlign w:val="center"/>
            <w:tcMar>
              <w:top w:w="60" w:type="dxa"/>
              <w:left w:w="90" w:type="dxa"/>
              <w:bottom w:w="60" w:type="dxa"/>
              <w:right w:w="90" w:type="dxa"/>
            </w:tcMar>
          </w:tcPr>
          <w:p>
            <w:pPr>
              <w:spacing w:after="40" w:line="276" w:lineRule="auto"/>
            </w:pPr>
            <w:r>
              <w:rPr>
                <w:b w:val="0"/>
                <w:i w:val="0"/>
                <w:sz w:val="18"/>
              </w:rPr>
              <w:t>22.0752</w:t>
            </w:r>
          </w:p>
        </w:tc>
      </w:tr>
      <w:tr>
        <w:trPr>
          <w:cantSplit/>
        </w:trPr>
        <w:tc>
          <w:tcPr>
            <w:tcW w:type="dxa" w:w="3931"/>
            <w:vAlign w:val="center"/>
            <w:tcMar>
              <w:top w:w="60" w:type="dxa"/>
              <w:left w:w="90" w:type="dxa"/>
              <w:bottom w:w="60" w:type="dxa"/>
              <w:right w:w="90" w:type="dxa"/>
            </w:tcMar>
          </w:tcPr>
          <w:p>
            <w:pPr>
              <w:spacing w:after="40" w:line="276" w:lineRule="auto"/>
            </w:pPr>
            <w:r>
              <w:rPr>
                <w:b w:val="0"/>
                <w:i w:val="0"/>
                <w:sz w:val="18"/>
              </w:rPr>
              <w:t>电解槽</w:t>
            </w:r>
          </w:p>
        </w:tc>
        <w:tc>
          <w:tcPr>
            <w:tcW w:type="dxa" w:w="5861"/>
            <w:vAlign w:val="center"/>
            <w:tcMar>
              <w:top w:w="60" w:type="dxa"/>
              <w:left w:w="90" w:type="dxa"/>
              <w:bottom w:w="60" w:type="dxa"/>
              <w:right w:w="90" w:type="dxa"/>
            </w:tcMar>
          </w:tcPr>
          <w:p>
            <w:pPr>
              <w:spacing w:after="40" w:line="276" w:lineRule="auto"/>
            </w:pPr>
            <w:r>
              <w:rPr>
                <w:b w:val="0"/>
                <w:i w:val="0"/>
                <w:sz w:val="18"/>
              </w:rPr>
              <w:t>1.25</w:t>
            </w:r>
          </w:p>
        </w:tc>
      </w:tr>
    </w:tbl>
    <w:p>
      <w:pPr>
        <w:spacing w:after="20"/>
      </w:pPr>
    </w:p>
    <w:p>
      <w:pPr>
        <w:pStyle w:val="Heading2"/>
      </w:pPr>
      <w:r>
        <w:rPr>
          <w:b w:val="0"/>
          <w:i w:val="0"/>
        </w:rPr>
        <w:t>按能量容量计量的储能排放</w:t>
      </w:r>
    </w:p>
    <w:p>
      <w:pPr>
        <w:keepNext/>
      </w:pPr>
      <w:r>
        <w:rPr>
          <w:b w:val="0"/>
          <w:i w:val="0"/>
        </w:rPr>
        <w:t>电池制造排放按额定能量容量与设备寿命进行年度分摊。所选制造因子为 89 kgCO₂e/kWh 容量，来自 Longfield Solar Farm 2022 年环境声明所用的中间值。</w:t>
      </w:r>
      <w:r>
        <w:rPr>
          <w:rFonts w:ascii="DejaVu Sans Mono" w:hAnsi="DejaVu Sans Mono"/>
          <w:b w:val="0"/>
          <w:i w:val="0"/>
          <w:sz w:val="17"/>
        </w:rPr>
        <w:t>_asset_embodied_lines</w:t>
      </w:r>
      <w:r>
        <w:rPr>
          <w:b w:val="0"/>
          <w:i w:val="0"/>
        </w:rPr>
        <w:t xml:space="preserve"> 读取以 MWh 表示的 </w:t>
      </w:r>
      <w:r>
        <w:rPr>
          <w:rFonts w:ascii="DejaVu Sans Mono" w:hAnsi="DejaVu Sans Mono"/>
          <w:b w:val="0"/>
          <w:i w:val="0"/>
          <w:sz w:val="17"/>
        </w:rPr>
        <w:t>asset.energy_​capacity_​mwh</w:t>
      </w:r>
      <w:r>
        <w:rPr>
          <w:b w:val="0"/>
          <w:i w:val="0"/>
        </w:rPr>
        <w:t xml:space="preserve">，并从 </w:t>
      </w:r>
      <w:r>
        <w:rPr>
          <w:rFonts w:ascii="DejaVu Sans Mono" w:hAnsi="DejaVu Sans Mono"/>
          <w:b w:val="0"/>
          <w:i w:val="0"/>
          <w:sz w:val="17"/>
        </w:rPr>
        <w:t>economic_lifetime_years</w:t>
      </w:r>
      <w:r>
        <w:rPr>
          <w:b w:val="0"/>
          <w:i w:val="0"/>
        </w:rPr>
        <w:t xml:space="preserve"> 读取以年表示的 </w:t>
      </w:r>
      <w:r>
        <w:rPr>
          <w:rFonts w:ascii="DejaVu Sans Mono" w:hAnsi="DejaVu Sans Mono"/>
          <w:b w:val="0"/>
          <w:i w:val="0"/>
          <w:sz w:val="17"/>
        </w:rPr>
        <w:t>economic_life</w:t>
      </w:r>
      <w:r>
        <w:rPr>
          <w:b w:val="0"/>
          <w:i w:val="0"/>
        </w:rPr>
        <w:t>。年度制造排放为</w:t>
      </w:r>
    </w:p>
    <w:p>
      <w:pPr>
        <w:spacing w:after="160"/>
        <w:jc w:val="center"/>
      </w:pPr>
      <w:r>
        <w:drawing>
          <wp:inline xmlns:a="http://schemas.openxmlformats.org/drawingml/2006/main" xmlns:pic="http://schemas.openxmlformats.org/drawingml/2006/picture">
            <wp:extent cx="4900269" cy="367977"/>
            <wp:docPr id="197" name="Picture 197"/>
            <wp:cNvGraphicFramePr>
              <a:graphicFrameLocks noChangeAspect="1"/>
            </wp:cNvGraphicFramePr>
            <a:graphic>
              <a:graphicData uri="http://schemas.openxmlformats.org/drawingml/2006/picture">
                <pic:pic>
                  <pic:nvPicPr>
                    <pic:cNvPr id="0" name="eq-197.png"/>
                    <pic:cNvPicPr/>
                  </pic:nvPicPr>
                  <pic:blipFill>
                    <a:blip r:embed="rId186"/>
                    <a:stretch>
                      <a:fillRect/>
                    </a:stretch>
                  </pic:blipFill>
                  <pic:spPr>
                    <a:xfrm>
                      <a:off x="0" y="0"/>
                      <a:ext cx="4900269" cy="367977"/>
                    </a:xfrm>
                    <a:prstGeom prst="rect"/>
                  </pic:spPr>
                </pic:pic>
              </a:graphicData>
            </a:graphic>
          </wp:inline>
        </w:drawing>
      </w:r>
    </w:p>
    <w:p>
      <w:r>
        <w:rPr>
          <w:b w:val="0"/>
          <w:i w:val="0"/>
        </w:rPr>
        <w:t xml:space="preserve">氢储能将功率设备与能量储存部分分别计量。能量储存部分采用 0.0006 tCO₂e/MWh 容量的全寿命因子，按资产声明的经济寿命年化；该值对应 </w:t>
      </w:r>
      <w:r>
        <w:rPr>
          <w:rFonts w:ascii="DejaVu Sans Mono" w:hAnsi="DejaVu Sans Mono"/>
          <w:b w:val="0"/>
          <w:i w:val="0"/>
          <w:sz w:val="17"/>
        </w:rPr>
        <w:t>factor_catalog.csv</w:t>
      </w:r>
      <w:r>
        <w:rPr>
          <w:b w:val="0"/>
          <w:i w:val="0"/>
        </w:rPr>
        <w:t xml:space="preserve"> 的 </w:t>
      </w:r>
      <w:r>
        <w:rPr>
          <w:rFonts w:ascii="DejaVu Sans Mono" w:hAnsi="DejaVu Sans Mono"/>
          <w:b w:val="0"/>
          <w:i w:val="0"/>
          <w:sz w:val="17"/>
        </w:rPr>
        <w:t>ch4_h2_store_lifetime</w:t>
      </w:r>
      <w:r>
        <w:rPr>
          <w:b w:val="0"/>
          <w:i w:val="0"/>
        </w:rPr>
        <w:t xml:space="preserve"> 参数项，记录保留原论文第 4 章储能参数及其 10 年来源寿命。电解槽的功率部分采用上一节的年度因子。</w:t>
      </w:r>
    </w:p>
    <w:p>
      <w:pPr>
        <w:pStyle w:val="Heading2"/>
      </w:pPr>
      <w:r>
        <w:rPr>
          <w:b w:val="0"/>
          <w:i w:val="0"/>
        </w:rPr>
        <w:t>数据与实现对应</w:t>
      </w:r>
    </w:p>
    <w:p>
      <w:r>
        <w:rPr>
          <w:rFonts w:ascii="DejaVu Sans Mono" w:hAnsi="DejaVu Sans Mono"/>
          <w:b w:val="0"/>
          <w:i w:val="0"/>
          <w:sz w:val="17"/>
        </w:rPr>
        <w:t>factor_catalog.csv</w:t>
      </w:r>
      <w:r>
        <w:rPr>
          <w:b w:val="0"/>
          <w:i w:val="0"/>
        </w:rPr>
        <w:t xml:space="preserve"> 保存因子、单位、核算边界和来源定位，</w:t>
      </w:r>
      <w:r>
        <w:rPr>
          <w:rFonts w:ascii="DejaVu Sans Mono" w:hAnsi="DejaVu Sans Mono"/>
          <w:b w:val="0"/>
          <w:i w:val="0"/>
          <w:sz w:val="17"/>
        </w:rPr>
        <w:t>sources.csv</w:t>
      </w:r>
      <w:r>
        <w:rPr>
          <w:b w:val="0"/>
          <w:i w:val="0"/>
        </w:rPr>
        <w:t xml:space="preserve"> 保存来源名称。</w:t>
      </w:r>
      <w:r>
        <w:rPr>
          <w:rFonts w:ascii="DejaVu Sans Mono" w:hAnsi="DejaVu Sans Mono"/>
          <w:b w:val="0"/>
          <w:i w:val="0"/>
          <w:sz w:val="17"/>
        </w:rPr>
        <w:t>CarbonFactorDatabase</w:t>
      </w:r>
      <w:r>
        <w:rPr>
          <w:b w:val="0"/>
          <w:i w:val="0"/>
        </w:rPr>
        <w:t xml:space="preserve"> 读取 </w:t>
      </w:r>
      <w:r>
        <w:rPr>
          <w:rFonts w:ascii="DejaVu Sans Mono" w:hAnsi="DejaVu Sans Mono"/>
          <w:b w:val="0"/>
          <w:i w:val="0"/>
          <w:sz w:val="17"/>
        </w:rPr>
        <w:t>value_​carbon_​factors.sqlite</w:t>
      </w:r>
      <w:r>
        <w:rPr>
          <w:b w:val="0"/>
          <w:i w:val="0"/>
        </w:rPr>
        <w:t>，</w:t>
      </w:r>
      <w:r>
        <w:rPr>
          <w:rFonts w:ascii="DejaVu Sans Mono" w:hAnsi="DejaVu Sans Mono"/>
          <w:b w:val="0"/>
          <w:i w:val="0"/>
          <w:sz w:val="17"/>
        </w:rPr>
        <w:t>build_​operational_​carbon_​ledger</w:t>
      </w:r>
      <w:r>
        <w:rPr>
          <w:b w:val="0"/>
          <w:i w:val="0"/>
        </w:rPr>
        <w:t xml:space="preserve"> 将调度电量、在役资产与所选因子集连接，</w:t>
      </w:r>
      <w:r>
        <w:rPr>
          <w:rFonts w:ascii="DejaVu Sans Mono" w:hAnsi="DejaVu Sans Mono"/>
          <w:b w:val="0"/>
          <w:i w:val="0"/>
          <w:sz w:val="17"/>
        </w:rPr>
        <w:t>_asset_embodied_lines</w:t>
      </w:r>
      <w:r>
        <w:rPr>
          <w:b w:val="0"/>
          <w:i w:val="0"/>
        </w:rPr>
        <w:t xml:space="preserve"> 计算设备的年化建设排放。</w:t>
      </w:r>
    </w:p>
    <w:sectPr w:rsidR="00FC693F" w:rsidRPr="0006063C" w:rsidSect="00034616">
      <w:headerReference w:type="default" r:id="rId9"/>
      <w:footerReference w:type="default" r:id="rId10"/>
      <w:pgSz w:w="11909" w:h="16834"/>
      <w:pgMar w:top="979" w:right="965" w:bottom="936" w:left="96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修订版 0.4.1   2026年10月9日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VALUE 模型方法学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5" w:lineRule="auto" w:after="120"/>
      <w:wordWrap w:val="0"/>
      <w:kinsoku w:val="1"/>
    </w:pPr>
    <w:rPr>
      <w:rFonts w:ascii="Liberation Serif" w:hAnsi="Liberation Serif" w:eastAsia="Noto Serif CJK SC"/>
      <w:color w:val="000000"/>
      <w:sz w:val="22"/>
      <w:lang w:val="en-GB"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wordWrap w:val="0"/>
      <w:kinsoku w:val="1"/>
    </w:pPr>
    <w:rPr>
      <w:rFonts w:asciiTheme="majorHAnsi" w:eastAsiaTheme="majorEastAsia" w:hAnsiTheme="majorHAnsi" w:cstheme="majorBidi" w:ascii="Liberation Serif" w:hAnsi="Liberation Serif" w:eastAsia="Noto Serif CJK S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wordWrap w:val="0"/>
      <w:kinsoku w:val="1"/>
    </w:pPr>
    <w:rPr>
      <w:rFonts w:asciiTheme="majorHAnsi" w:eastAsiaTheme="majorEastAsia" w:hAnsiTheme="majorHAnsi" w:cstheme="majorBidi" w:ascii="Liberation Serif" w:hAnsi="Liberation Serif" w:eastAsia="Noto Serif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wordWrap w:val="0"/>
      <w:kinsoku w:val="1"/>
    </w:pPr>
    <w:rPr>
      <w:rFonts w:asciiTheme="majorHAnsi" w:eastAsiaTheme="majorEastAsia" w:hAnsiTheme="majorHAnsi" w:cstheme="majorBidi" w:ascii="Liberation Serif" w:hAnsi="Liberation Serif" w:eastAsia="Noto Serif CJK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60" w:after="140"/>
      <w:outlineLvl w:val="3"/>
      <w:wordWrap w:val="0"/>
      <w:kinsoku w:val="1"/>
    </w:pPr>
    <w:rPr>
      <w:rFonts w:asciiTheme="majorHAnsi" w:eastAsiaTheme="majorEastAsia" w:hAnsiTheme="majorHAnsi" w:cstheme="majorBidi" w:ascii="Liberation Serif" w:hAnsi="Liberation Serif" w:eastAsia="Noto Serif CJK SC"/>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Liberation Serif" w:hAnsi="Liberation Serif" w:eastAsia="Noto Serif CJK SC"/>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Liberation Serif" w:hAnsi="Liberation Serif" w:eastAsia="Noto Serif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wordWrap w:val="0"/>
      <w:kinsoku w:val="1"/>
    </w:pPr>
    <w:rPr>
      <w:rFonts w:ascii="Liberation Serif" w:hAnsi="Liberation Serif" w:eastAsia="Noto Serif CJK SC"/>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image" Target="media/image137.png"/><Relationship Id="rId148" Type="http://schemas.openxmlformats.org/officeDocument/2006/relationships/image" Target="media/image138.png"/><Relationship Id="rId149" Type="http://schemas.openxmlformats.org/officeDocument/2006/relationships/image" Target="media/image139.png"/><Relationship Id="rId150" Type="http://schemas.openxmlformats.org/officeDocument/2006/relationships/image" Target="media/image140.png"/><Relationship Id="rId151" Type="http://schemas.openxmlformats.org/officeDocument/2006/relationships/image" Target="media/image141.png"/><Relationship Id="rId152" Type="http://schemas.openxmlformats.org/officeDocument/2006/relationships/image" Target="media/image142.png"/><Relationship Id="rId153" Type="http://schemas.openxmlformats.org/officeDocument/2006/relationships/image" Target="media/image143.png"/><Relationship Id="rId154" Type="http://schemas.openxmlformats.org/officeDocument/2006/relationships/image" Target="media/image144.png"/><Relationship Id="rId155" Type="http://schemas.openxmlformats.org/officeDocument/2006/relationships/image" Target="media/image145.png"/><Relationship Id="rId156" Type="http://schemas.openxmlformats.org/officeDocument/2006/relationships/image" Target="media/image146.png"/><Relationship Id="rId157" Type="http://schemas.openxmlformats.org/officeDocument/2006/relationships/image" Target="media/image147.png"/><Relationship Id="rId158" Type="http://schemas.openxmlformats.org/officeDocument/2006/relationships/image" Target="media/image148.png"/><Relationship Id="rId159" Type="http://schemas.openxmlformats.org/officeDocument/2006/relationships/image" Target="media/image149.png"/><Relationship Id="rId160" Type="http://schemas.openxmlformats.org/officeDocument/2006/relationships/image" Target="media/image150.png"/><Relationship Id="rId161" Type="http://schemas.openxmlformats.org/officeDocument/2006/relationships/image" Target="media/image151.png"/><Relationship Id="rId162" Type="http://schemas.openxmlformats.org/officeDocument/2006/relationships/image" Target="media/image152.png"/><Relationship Id="rId163" Type="http://schemas.openxmlformats.org/officeDocument/2006/relationships/image" Target="media/image153.png"/><Relationship Id="rId164" Type="http://schemas.openxmlformats.org/officeDocument/2006/relationships/image" Target="media/image154.png"/><Relationship Id="rId165" Type="http://schemas.openxmlformats.org/officeDocument/2006/relationships/image" Target="media/image155.png"/><Relationship Id="rId166" Type="http://schemas.openxmlformats.org/officeDocument/2006/relationships/image" Target="media/image156.png"/><Relationship Id="rId167" Type="http://schemas.openxmlformats.org/officeDocument/2006/relationships/image" Target="media/image157.png"/><Relationship Id="rId168" Type="http://schemas.openxmlformats.org/officeDocument/2006/relationships/image" Target="media/image158.png"/><Relationship Id="rId169" Type="http://schemas.openxmlformats.org/officeDocument/2006/relationships/image" Target="media/image159.png"/><Relationship Id="rId170" Type="http://schemas.openxmlformats.org/officeDocument/2006/relationships/image" Target="media/image160.png"/><Relationship Id="rId171" Type="http://schemas.openxmlformats.org/officeDocument/2006/relationships/image" Target="media/image161.png"/><Relationship Id="rId172" Type="http://schemas.openxmlformats.org/officeDocument/2006/relationships/image" Target="media/image162.png"/><Relationship Id="rId173" Type="http://schemas.openxmlformats.org/officeDocument/2006/relationships/image" Target="media/image163.png"/><Relationship Id="rId174" Type="http://schemas.openxmlformats.org/officeDocument/2006/relationships/image" Target="media/image164.png"/><Relationship Id="rId175" Type="http://schemas.openxmlformats.org/officeDocument/2006/relationships/image" Target="media/image165.png"/><Relationship Id="rId176" Type="http://schemas.openxmlformats.org/officeDocument/2006/relationships/image" Target="media/image166.png"/><Relationship Id="rId177" Type="http://schemas.openxmlformats.org/officeDocument/2006/relationships/image" Target="media/image167.png"/><Relationship Id="rId178" Type="http://schemas.openxmlformats.org/officeDocument/2006/relationships/image" Target="media/image168.png"/><Relationship Id="rId179" Type="http://schemas.openxmlformats.org/officeDocument/2006/relationships/image" Target="media/image169.png"/><Relationship Id="rId180" Type="http://schemas.openxmlformats.org/officeDocument/2006/relationships/image" Target="media/image170.png"/><Relationship Id="rId181" Type="http://schemas.openxmlformats.org/officeDocument/2006/relationships/image" Target="media/image171.png"/><Relationship Id="rId182" Type="http://schemas.openxmlformats.org/officeDocument/2006/relationships/image" Target="media/image172.png"/><Relationship Id="rId183" Type="http://schemas.openxmlformats.org/officeDocument/2006/relationships/image" Target="media/image173.png"/><Relationship Id="rId184" Type="http://schemas.openxmlformats.org/officeDocument/2006/relationships/image" Target="media/image174.png"/><Relationship Id="rId185" Type="http://schemas.openxmlformats.org/officeDocument/2006/relationships/image" Target="media/image175.png"/><Relationship Id="rId186" Type="http://schemas.openxmlformats.org/officeDocument/2006/relationships/image" Target="media/image1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 模型方法学</dc:title>
  <dc:subject>数学设定  计算方法  输入数据</dc:subject>
  <dc:creator>VALUE</dc:creator>
  <cp:keywords/>
  <dc:description>generated by python-docx</dc:description>
  <cp:lastModifiedBy/>
  <cp:revision>1</cp:revision>
  <dcterms:created xsi:type="dcterms:W3CDTF">2013-12-23T23:15:00Z</dcterms:created>
  <dcterms:modified xsi:type="dcterms:W3CDTF">2013-12-23T23:15:00Z</dcterms:modified>
  <cp:category/>
</cp:coreProperties>
</file>