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VALUE Model Methodology</w:t>
      </w:r>
    </w:p>
    <w:p>
      <w:pPr>
        <w:pStyle w:val="Subtitle"/>
      </w:pPr>
      <w:r>
        <w:t>Mathematical formulation  Algorithms  Input data</w:t>
      </w:r>
    </w:p>
    <w:p>
      <w:r>
        <w:t>Edition 0.4.1   9 October 2026</w:t>
        <w:br/>
        <w:t>VALUE 0.7.0-alpha.1 · Implementation and data basis 9 October 2026</w:t>
      </w:r>
    </w:p>
    <w:p>
      <w:pPr>
        <w:pStyle w:val="Heading2"/>
      </w:pPr>
      <w:r>
        <w:t>Contents</w:t>
      </w:r>
    </w:p>
    <w:p>
      <w:r>
        <w:t>1 Model framework</w:t>
      </w:r>
    </w:p>
    <w:p>
      <w:r>
        <w:t>2 Initial data and input processing</w:t>
      </w:r>
    </w:p>
    <w:p>
      <w:r>
        <w:t>3 Weather and available generation</w:t>
      </w:r>
    </w:p>
    <w:p>
      <w:r>
        <w:t>4 Operation and annual feedback</w:t>
      </w:r>
    </w:p>
    <w:p>
      <w:r>
        <w:t>5 National dispatch algorithms</w:t>
      </w:r>
    </w:p>
    <w:p>
      <w:r>
        <w:t>6 Experimental annual accounts and investment</w:t>
      </w:r>
    </w:p>
    <w:p>
      <w:r>
        <w:t>7 Transmission and network constraints</w:t>
      </w:r>
    </w:p>
    <w:p>
      <w:r>
        <w:t>8 Perfect-foresight dispatch and natural hydrology</w:t>
      </w:r>
    </w:p>
    <w:p>
      <w:r>
        <w:t>9 Carbon accounting parameters</w:t>
      </w:r>
    </w:p>
    <w:p>
      <w:r>
        <w:br w:type="page"/>
      </w:r>
    </w:p>
    <w:p>
      <w:pPr>
        <w:pStyle w:val="Heading1"/>
      </w:pPr>
      <w:r>
        <w:rPr>
          <w:b w:val="0"/>
          <w:i w:val="0"/>
        </w:rPr>
        <w:t>1 Model framework</w:t>
      </w:r>
    </w:p>
    <w:p>
      <w:r>
        <w:rPr>
          <w:b w:val="0"/>
          <w:i w:val="0"/>
        </w:rPr>
        <w:t>VALUE links electricity-system operation to annual changes in the asset fleet. Generation, storage and external electricity exchange participate in market clearing under specified demand and weather. Annual operating revenues, costs and expansion headroom then enter investment and retirement rules. Outputs include generation and storage operation, unserved energy, system resource cost, carbon emissions, operating capacity and construction projects.</w:t>
      </w:r>
    </w:p>
    <w:p>
      <w:pPr>
        <w:pStyle w:val="Heading2"/>
      </w:pPr>
      <w:r>
        <w:rPr>
          <w:b w:val="0"/>
          <w:i w:val="0"/>
        </w:rPr>
        <w:t>Temporal and spatial representation</w:t>
      </w:r>
    </w:p>
    <w:p>
      <w:r>
        <w:rPr>
          <w:b w:val="0"/>
          <w:i w:val="0"/>
        </w:rPr>
        <w:t>VALUE uses a 0.5-hour operating interval and a fixed 365-day model year containing 17,520 intervals. The clock is UTC, with February represented by 28 days. Power is measured in MW and interval energy in MWh; interval energy equals power multiplied by interval duration. Investment decisions follow a complete operating year.</w:t>
      </w:r>
    </w:p>
    <w:p>
      <w:r>
        <w:rPr>
          <w:b w:val="0"/>
          <w:i w:val="0"/>
        </w:rPr>
        <w:t>The national model represents Great Britain's electricity system as a single supply–demand node, with interconnectors represented by external boundary offers. The zonal model additionally specifies resource and demand locations, corridor capacities and boundary constraints. The network mappings, demand allocation and capacities jointly define the spatial system. Chapter 7 gives its constraints and solution method.</w:t>
      </w:r>
    </w:p>
    <w:p>
      <w:pPr>
        <w:pStyle w:val="Heading2"/>
      </w:pPr>
      <w:r>
        <w:rPr>
          <w:b w:val="0"/>
          <w:i w:val="0"/>
        </w:rPr>
        <w:t>Methodology profiles</w:t>
      </w:r>
    </w:p>
    <w:p>
      <w:r>
        <w:rPr>
          <w:b w:val="0"/>
          <w:i w:val="0"/>
        </w:rPr>
        <w:t xml:space="preserve">The corrected profile, </w:t>
      </w:r>
      <w:r>
        <w:rPr>
          <w:rFonts w:ascii="DejaVu Sans Mono" w:hAnsi="DejaVu Sans Mono"/>
          <w:b w:val="0"/>
          <w:i w:val="0"/>
          <w:sz w:val="17"/>
        </w:rPr>
        <w:t>value-corrected</w:t>
      </w:r>
      <w:r>
        <w:rPr>
          <w:b w:val="0"/>
          <w:i w:val="0"/>
        </w:rPr>
        <w:t xml:space="preserve">, supplies VALUE's default settings and the principal formulation described in this document. The default national dispatch module, </w:t>
      </w:r>
      <w:r>
        <w:rPr>
          <w:rFonts w:ascii="DejaVu Sans Mono" w:hAnsi="DejaVu Sans Mono"/>
          <w:b w:val="0"/>
          <w:i w:val="0"/>
          <w:sz w:val="17"/>
        </w:rPr>
        <w:t>value-bid-at-cost-psm</w:t>
      </w:r>
      <w:r>
        <w:rPr>
          <w:b w:val="0"/>
          <w:i w:val="0"/>
        </w:rPr>
        <w:t xml:space="preserve">, applies the </w:t>
      </w:r>
      <w:r>
        <w:rPr>
          <w:rFonts w:ascii="DejaVu Sans Mono" w:hAnsi="DejaVu Sans Mono"/>
          <w:b w:val="0"/>
          <w:i w:val="0"/>
          <w:sz w:val="17"/>
        </w:rPr>
        <w:t>native-corrected-v1</w:t>
      </w:r>
      <w:r>
        <w:rPr>
          <w:b w:val="0"/>
          <w:i w:val="0"/>
        </w:rPr>
        <w:t xml:space="preserve"> rule set. The staged dispatch module, </w:t>
      </w:r>
      <w:r>
        <w:rPr>
          <w:rFonts w:ascii="DejaVu Sans Mono" w:hAnsi="DejaVu Sans Mono"/>
          <w:b w:val="0"/>
          <w:i w:val="0"/>
          <w:sz w:val="17"/>
        </w:rPr>
        <w:t>value-staged-bid-at-cost-psm</w:t>
      </w:r>
      <w:r>
        <w:rPr>
          <w:b w:val="0"/>
          <w:i w:val="0"/>
        </w:rPr>
        <w:t>, connects a national schedule to subsequent balancing or zonal redispatch. Chapters 4, 5 and 7 specify the bidding, settlement and storage calculations for these operating pathways.</w:t>
      </w:r>
    </w:p>
    <w:p>
      <w:r>
        <w:rPr>
          <w:b w:val="0"/>
          <w:i w:val="0"/>
        </w:rPr>
        <w:t xml:space="preserve">The doctoral-reproduction profile, </w:t>
      </w:r>
      <w:r>
        <w:rPr>
          <w:rFonts w:ascii="DejaVu Sans Mono" w:hAnsi="DejaVu Sans Mono"/>
          <w:b w:val="0"/>
          <w:i w:val="0"/>
          <w:sz w:val="17"/>
        </w:rPr>
        <w:t>doctoral-lineage-0.6.0a2</w:t>
      </w:r>
      <w:r>
        <w:rPr>
          <w:b w:val="0"/>
          <w:i w:val="0"/>
        </w:rPr>
        <w:t xml:space="preserve">, is a compatibility configuration retaining thesis-era settings as implemented in VALUE 0.6.0-alpha.2. It applies </w:t>
      </w:r>
      <w:r>
        <w:rPr>
          <w:rFonts w:ascii="DejaVu Sans Mono" w:hAnsi="DejaVu Sans Mono"/>
          <w:b w:val="0"/>
          <w:i w:val="0"/>
          <w:sz w:val="17"/>
        </w:rPr>
        <w:t>native-doctoral-thesis-v1</w:t>
      </w:r>
      <w:r>
        <w:rPr>
          <w:b w:val="0"/>
          <w:i w:val="0"/>
        </w:rPr>
        <w:t xml:space="preserve"> and retains the earlier weather conversion, downward ordering and storage pricing. Both profiles share UTC demand and interconnector alignment, declared-column reading, thermal net revenue, one storage net position per period, single entries for downward adjustments and must-run surplus, a recorded-blackout value of £17,000/MWh, cost ledger v2 with physical operating expenditure, validation reports, and common definitions of shortfall and served energy. Endogenous proposals in both profiles use the development timelines and regional success rates frozen from the data pack. Each chapter states the compatibility values beside the relevant formulation.</w:t>
      </w:r>
    </w:p>
    <w:p>
      <w:r>
        <w:rPr>
          <w:b w:val="0"/>
          <w:i w:val="0"/>
        </w:rPr>
        <w:t xml:space="preserve">The experimental national pathway, </w:t>
      </w:r>
      <w:r>
        <w:rPr>
          <w:rFonts w:ascii="DejaVu Sans Mono" w:hAnsi="DejaVu Sans Mono"/>
          <w:b w:val="0"/>
          <w:i w:val="0"/>
          <w:sz w:val="17"/>
        </w:rPr>
        <w:t>value-doctoral-national-psm</w:t>
      </w:r>
      <w:r>
        <w:rPr>
          <w:b w:val="0"/>
          <w:i w:val="0"/>
        </w:rPr>
        <w:t>, defines a separate national clearing and annual-accounting interface. It supplies fixed-year dispatch and experimental cash records; integrated annual-CEM readiness is false. Chapters 5 and 6 describe its operating algorithm and separate annual helpers. The profile and dispatch-module selections jointly identify the method used by a calculation.</w:t>
      </w:r>
    </w:p>
    <w:p>
      <w:r>
        <w:rPr>
          <w:b w:val="0"/>
          <w:i w:val="0"/>
        </w:rPr>
        <w:t>The interface identifies the methodology profile separately from the dispatch module. The following names connect the calculation described here to the Study editor.</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2533"/>
        <w:gridCol w:w="2533"/>
        <w:gridCol w:w="2628"/>
      </w:tblGrid>
      <w:tr>
        <w:trPr>
          <w:cantSplit/>
          <w:tblHeader w:val="true"/>
        </w:trPr>
        <w:tc>
          <w:tcPr>
            <w:tcW w:type="dxa" w:w="2098"/>
            <w:vAlign w:val="center"/>
            <w:tcMar>
              <w:top w:w="90" w:type="dxa"/>
              <w:left w:w="90" w:type="dxa"/>
              <w:bottom w:w="90" w:type="dxa"/>
              <w:right w:w="90" w:type="dxa"/>
            </w:tcMar>
            <w:shd w:fill="EEEEEE"/>
          </w:tcPr>
          <w:p>
            <w:pPr>
              <w:spacing w:after="40" w:line="276" w:lineRule="auto"/>
            </w:pPr>
            <w:r>
              <w:rPr>
                <w:b/>
                <w:i w:val="0"/>
                <w:sz w:val="18"/>
              </w:rPr>
              <w:t>Document term</w:t>
            </w:r>
          </w:p>
        </w:tc>
        <w:tc>
          <w:tcPr>
            <w:tcW w:type="dxa" w:w="2533"/>
            <w:vAlign w:val="center"/>
            <w:tcMar>
              <w:top w:w="90" w:type="dxa"/>
              <w:left w:w="90" w:type="dxa"/>
              <w:bottom w:w="90" w:type="dxa"/>
              <w:right w:w="90" w:type="dxa"/>
            </w:tcMar>
            <w:shd w:fill="EEEEEE"/>
          </w:tcPr>
          <w:p>
            <w:pPr>
              <w:spacing w:after="40" w:line="276" w:lineRule="auto"/>
            </w:pPr>
            <w:r>
              <w:rPr>
                <w:b/>
                <w:i w:val="0"/>
                <w:sz w:val="18"/>
              </w:rPr>
              <w:t>English interface label</w:t>
            </w:r>
          </w:p>
        </w:tc>
        <w:tc>
          <w:tcPr>
            <w:tcW w:type="dxa" w:w="2533"/>
            <w:vAlign w:val="center"/>
            <w:tcMar>
              <w:top w:w="90" w:type="dxa"/>
              <w:left w:w="90" w:type="dxa"/>
              <w:bottom w:w="90" w:type="dxa"/>
              <w:right w:w="90" w:type="dxa"/>
            </w:tcMar>
            <w:shd w:fill="EEEEEE"/>
          </w:tcPr>
          <w:p>
            <w:pPr>
              <w:spacing w:after="40" w:line="276" w:lineRule="auto"/>
            </w:pPr>
            <w:r>
              <w:rPr>
                <w:b/>
                <w:i w:val="0"/>
                <w:sz w:val="18"/>
              </w:rPr>
              <w:t>Chinese interface label</w:t>
            </w:r>
          </w:p>
        </w:tc>
        <w:tc>
          <w:tcPr>
            <w:tcW w:type="dxa" w:w="2628"/>
            <w:vAlign w:val="center"/>
            <w:tcMar>
              <w:top w:w="90" w:type="dxa"/>
              <w:left w:w="90" w:type="dxa"/>
              <w:bottom w:w="90" w:type="dxa"/>
              <w:right w:w="90" w:type="dxa"/>
            </w:tcMar>
            <w:shd w:fill="EEEEEE"/>
          </w:tcPr>
          <w:p>
            <w:pPr>
              <w:spacing w:after="40" w:line="276" w:lineRule="auto"/>
            </w:pPr>
            <w:r>
              <w:rPr>
                <w:b/>
                <w:i w:val="0"/>
                <w:sz w:val="18"/>
              </w:rPr>
              <w:t>Module or profile</w:t>
            </w:r>
          </w:p>
        </w:tc>
      </w:tr>
      <w:tr>
        <w:trPr>
          <w:cantSplit/>
        </w:trPr>
        <w:tc>
          <w:tcPr>
            <w:tcW w:type="dxa" w:w="2098"/>
            <w:vAlign w:val="center"/>
            <w:tcMar>
              <w:top w:w="90" w:type="dxa"/>
              <w:left w:w="90" w:type="dxa"/>
              <w:bottom w:w="90" w:type="dxa"/>
              <w:right w:w="90" w:type="dxa"/>
            </w:tcMar>
          </w:tcPr>
          <w:p>
            <w:pPr>
              <w:spacing w:after="40" w:line="276" w:lineRule="auto"/>
            </w:pPr>
            <w:r>
              <w:rPr>
                <w:b w:val="0"/>
                <w:i w:val="0"/>
                <w:sz w:val="18"/>
              </w:rPr>
              <w:t>Corrected profile</w:t>
            </w:r>
          </w:p>
        </w:tc>
        <w:tc>
          <w:tcPr>
            <w:tcW w:type="dxa" w:w="2533"/>
            <w:vAlign w:val="center"/>
            <w:tcMar>
              <w:top w:w="90" w:type="dxa"/>
              <w:left w:w="90" w:type="dxa"/>
              <w:bottom w:w="90" w:type="dxa"/>
              <w:right w:w="90" w:type="dxa"/>
            </w:tcMar>
          </w:tcPr>
          <w:p>
            <w:pPr>
              <w:spacing w:after="40" w:line="276" w:lineRule="auto"/>
            </w:pPr>
            <w:r>
              <w:rPr>
                <w:b w:val="0"/>
                <w:i w:val="0"/>
                <w:sz w:val="18"/>
              </w:rPr>
              <w:t>Corrected methodology (default)</w:t>
            </w:r>
          </w:p>
        </w:tc>
        <w:tc>
          <w:tcPr>
            <w:tcW w:type="dxa" w:w="2533"/>
            <w:vAlign w:val="center"/>
            <w:tcMar>
              <w:top w:w="90" w:type="dxa"/>
              <w:left w:w="90" w:type="dxa"/>
              <w:bottom w:w="90" w:type="dxa"/>
              <w:right w:w="90" w:type="dxa"/>
            </w:tcMar>
          </w:tcPr>
          <w:p>
            <w:pPr>
              <w:spacing w:after="40" w:line="276" w:lineRule="auto"/>
            </w:pPr>
            <w:r>
              <w:rPr>
                <w:b w:val="0"/>
                <w:i w:val="0"/>
                <w:sz w:val="18"/>
              </w:rPr>
              <w:t>修正口径（默认）</w:t>
            </w:r>
          </w:p>
        </w:tc>
        <w:tc>
          <w:tcPr>
            <w:tcW w:type="dxa" w:w="2628"/>
            <w:vAlign w:val="center"/>
            <w:tcMar>
              <w:top w:w="90" w:type="dxa"/>
              <w:left w:w="90" w:type="dxa"/>
              <w:bottom w:w="90" w:type="dxa"/>
              <w:right w:w="90" w:type="dxa"/>
            </w:tcMar>
          </w:tcPr>
          <w:p>
            <w:pPr>
              <w:spacing w:after="40" w:line="276" w:lineRule="auto"/>
            </w:pPr>
            <w:r>
              <w:rPr>
                <w:rFonts w:ascii="DejaVu Sans Mono" w:hAnsi="DejaVu Sans Mono"/>
                <w:b w:val="0"/>
                <w:i w:val="0"/>
                <w:sz w:val="18"/>
              </w:rPr>
              <w:t>value-corrected</w:t>
            </w:r>
          </w:p>
        </w:tc>
      </w:tr>
      <w:tr>
        <w:trPr>
          <w:cantSplit/>
        </w:trPr>
        <w:tc>
          <w:tcPr>
            <w:tcW w:type="dxa" w:w="2098"/>
            <w:vAlign w:val="center"/>
            <w:tcMar>
              <w:top w:w="90" w:type="dxa"/>
              <w:left w:w="90" w:type="dxa"/>
              <w:bottom w:w="90" w:type="dxa"/>
              <w:right w:w="90" w:type="dxa"/>
            </w:tcMar>
          </w:tcPr>
          <w:p>
            <w:pPr>
              <w:spacing w:after="40" w:line="276" w:lineRule="auto"/>
            </w:pPr>
            <w:r>
              <w:rPr>
                <w:b w:val="0"/>
                <w:i w:val="0"/>
                <w:sz w:val="18"/>
              </w:rPr>
              <w:t>Compatibility profile</w:t>
            </w:r>
          </w:p>
        </w:tc>
        <w:tc>
          <w:tcPr>
            <w:tcW w:type="dxa" w:w="2533"/>
            <w:vAlign w:val="center"/>
            <w:tcMar>
              <w:top w:w="90" w:type="dxa"/>
              <w:left w:w="90" w:type="dxa"/>
              <w:bottom w:w="90" w:type="dxa"/>
              <w:right w:w="90" w:type="dxa"/>
            </w:tcMar>
          </w:tcPr>
          <w:p>
            <w:pPr>
              <w:spacing w:after="40" w:line="276" w:lineRule="auto"/>
            </w:pPr>
            <w:r>
              <w:rPr>
                <w:b w:val="0"/>
                <w:i w:val="0"/>
                <w:sz w:val="18"/>
              </w:rPr>
              <w:t>Doctoral reproduction</w:t>
            </w:r>
          </w:p>
        </w:tc>
        <w:tc>
          <w:tcPr>
            <w:tcW w:type="dxa" w:w="2533"/>
            <w:vAlign w:val="center"/>
            <w:tcMar>
              <w:top w:w="90" w:type="dxa"/>
              <w:left w:w="90" w:type="dxa"/>
              <w:bottom w:w="90" w:type="dxa"/>
              <w:right w:w="90" w:type="dxa"/>
            </w:tcMar>
          </w:tcPr>
          <w:p>
            <w:pPr>
              <w:spacing w:after="40" w:line="276" w:lineRule="auto"/>
            </w:pPr>
            <w:r>
              <w:rPr>
                <w:b w:val="0"/>
                <w:i w:val="0"/>
                <w:sz w:val="18"/>
              </w:rPr>
              <w:t>论文复现口径</w:t>
            </w:r>
          </w:p>
        </w:tc>
        <w:tc>
          <w:tcPr>
            <w:tcW w:type="dxa" w:w="2628"/>
            <w:vAlign w:val="center"/>
            <w:tcMar>
              <w:top w:w="90" w:type="dxa"/>
              <w:left w:w="90" w:type="dxa"/>
              <w:bottom w:w="90" w:type="dxa"/>
              <w:right w:w="90" w:type="dxa"/>
            </w:tcMar>
          </w:tcPr>
          <w:p>
            <w:pPr>
              <w:spacing w:after="40" w:line="276" w:lineRule="auto"/>
            </w:pPr>
            <w:r>
              <w:rPr>
                <w:rFonts w:ascii="DejaVu Sans Mono" w:hAnsi="DejaVu Sans Mono"/>
                <w:b w:val="0"/>
                <w:i w:val="0"/>
                <w:sz w:val="18"/>
              </w:rPr>
              <w:t>doctoral-lineage-0.6.0a2</w:t>
            </w:r>
          </w:p>
        </w:tc>
      </w:tr>
      <w:tr>
        <w:trPr>
          <w:cantSplit/>
        </w:trPr>
        <w:tc>
          <w:tcPr>
            <w:tcW w:type="dxa" w:w="2098"/>
            <w:vAlign w:val="center"/>
            <w:tcMar>
              <w:top w:w="90" w:type="dxa"/>
              <w:left w:w="90" w:type="dxa"/>
              <w:bottom w:w="90" w:type="dxa"/>
              <w:right w:w="90" w:type="dxa"/>
            </w:tcMar>
          </w:tcPr>
          <w:p>
            <w:pPr>
              <w:spacing w:after="40" w:line="276" w:lineRule="auto"/>
            </w:pPr>
            <w:r>
              <w:rPr>
                <w:b w:val="0"/>
                <w:i w:val="0"/>
                <w:sz w:val="18"/>
              </w:rPr>
              <w:t>Native national dispatch</w:t>
            </w:r>
          </w:p>
        </w:tc>
        <w:tc>
          <w:tcPr>
            <w:tcW w:type="dxa" w:w="2533"/>
            <w:vAlign w:val="center"/>
            <w:tcMar>
              <w:top w:w="90" w:type="dxa"/>
              <w:left w:w="90" w:type="dxa"/>
              <w:bottom w:w="90" w:type="dxa"/>
              <w:right w:w="90" w:type="dxa"/>
            </w:tcMar>
          </w:tcPr>
          <w:p>
            <w:pPr>
              <w:spacing w:after="40" w:line="276" w:lineRule="auto"/>
            </w:pPr>
            <w:r>
              <w:rPr>
                <w:b w:val="0"/>
                <w:i w:val="0"/>
                <w:sz w:val="18"/>
              </w:rPr>
              <w:t>National single node</w:t>
            </w:r>
          </w:p>
        </w:tc>
        <w:tc>
          <w:tcPr>
            <w:tcW w:type="dxa" w:w="2533"/>
            <w:vAlign w:val="center"/>
            <w:tcMar>
              <w:top w:w="90" w:type="dxa"/>
              <w:left w:w="90" w:type="dxa"/>
              <w:bottom w:w="90" w:type="dxa"/>
              <w:right w:w="90" w:type="dxa"/>
            </w:tcMar>
          </w:tcPr>
          <w:p>
            <w:pPr>
              <w:spacing w:after="40" w:line="276" w:lineRule="auto"/>
            </w:pPr>
            <w:r>
              <w:rPr>
                <w:b w:val="0"/>
                <w:i w:val="0"/>
                <w:sz w:val="18"/>
              </w:rPr>
              <w:t>全国单节点</w:t>
            </w:r>
          </w:p>
        </w:tc>
        <w:tc>
          <w:tcPr>
            <w:tcW w:type="dxa" w:w="2628"/>
            <w:vAlign w:val="center"/>
            <w:tcMar>
              <w:top w:w="90" w:type="dxa"/>
              <w:left w:w="90" w:type="dxa"/>
              <w:bottom w:w="90" w:type="dxa"/>
              <w:right w:w="90" w:type="dxa"/>
            </w:tcMar>
          </w:tcPr>
          <w:p>
            <w:pPr>
              <w:spacing w:after="40" w:line="276" w:lineRule="auto"/>
            </w:pPr>
            <w:r>
              <w:rPr>
                <w:b w:val="0"/>
                <w:i w:val="0"/>
                <w:sz w:val="18"/>
              </w:rPr>
              <w:t xml:space="preserve">VALUE live bid-at-cost PSM; </w:t>
            </w:r>
            <w:r>
              <w:rPr>
                <w:rFonts w:ascii="DejaVu Sans Mono" w:hAnsi="DejaVu Sans Mono"/>
                <w:b w:val="0"/>
                <w:i w:val="0"/>
                <w:sz w:val="18"/>
              </w:rPr>
              <w:t>value-bid-at-cost-psm</w:t>
            </w:r>
          </w:p>
        </w:tc>
      </w:tr>
      <w:tr>
        <w:trPr>
          <w:cantSplit/>
        </w:trPr>
        <w:tc>
          <w:tcPr>
            <w:tcW w:type="dxa" w:w="2098"/>
            <w:vAlign w:val="center"/>
            <w:tcMar>
              <w:top w:w="90" w:type="dxa"/>
              <w:left w:w="90" w:type="dxa"/>
              <w:bottom w:w="90" w:type="dxa"/>
              <w:right w:w="90" w:type="dxa"/>
            </w:tcMar>
          </w:tcPr>
          <w:p>
            <w:pPr>
              <w:spacing w:after="40" w:line="276" w:lineRule="auto"/>
            </w:pPr>
            <w:r>
              <w:rPr>
                <w:b w:val="0"/>
                <w:i w:val="0"/>
                <w:sz w:val="18"/>
              </w:rPr>
              <w:t>Experimental national pathway</w:t>
            </w:r>
          </w:p>
        </w:tc>
        <w:tc>
          <w:tcPr>
            <w:tcW w:type="dxa" w:w="2533"/>
            <w:vAlign w:val="center"/>
            <w:tcMar>
              <w:top w:w="90" w:type="dxa"/>
              <w:left w:w="90" w:type="dxa"/>
              <w:bottom w:w="90" w:type="dxa"/>
              <w:right w:w="90" w:type="dxa"/>
            </w:tcMar>
          </w:tcPr>
          <w:p>
            <w:pPr>
              <w:spacing w:after="40" w:line="276" w:lineRule="auto"/>
            </w:pPr>
            <w:r>
              <w:rPr>
                <w:b w:val="0"/>
                <w:i w:val="0"/>
                <w:sz w:val="18"/>
              </w:rPr>
              <w:t>Doctoral national physical PSM (experimental)</w:t>
            </w:r>
          </w:p>
        </w:tc>
        <w:tc>
          <w:tcPr>
            <w:tcW w:type="dxa" w:w="2533"/>
            <w:vAlign w:val="center"/>
            <w:tcMar>
              <w:top w:w="90" w:type="dxa"/>
              <w:left w:w="90" w:type="dxa"/>
              <w:bottom w:w="90" w:type="dxa"/>
              <w:right w:w="90" w:type="dxa"/>
            </w:tcMar>
          </w:tcPr>
          <w:p>
            <w:pPr>
              <w:spacing w:after="40" w:line="276" w:lineRule="auto"/>
            </w:pPr>
            <w:r>
              <w:rPr>
                <w:b w:val="0"/>
                <w:i w:val="0"/>
                <w:sz w:val="18"/>
              </w:rPr>
              <w:t>Doctoral national physical PSM (experimental)</w:t>
            </w:r>
          </w:p>
        </w:tc>
        <w:tc>
          <w:tcPr>
            <w:tcW w:type="dxa" w:w="2628"/>
            <w:vAlign w:val="center"/>
            <w:tcMar>
              <w:top w:w="90" w:type="dxa"/>
              <w:left w:w="90" w:type="dxa"/>
              <w:bottom w:w="90" w:type="dxa"/>
              <w:right w:w="90" w:type="dxa"/>
            </w:tcMar>
          </w:tcPr>
          <w:p>
            <w:pPr>
              <w:spacing w:after="40" w:line="276" w:lineRule="auto"/>
            </w:pPr>
            <w:r>
              <w:rPr>
                <w:rFonts w:ascii="DejaVu Sans Mono" w:hAnsi="DejaVu Sans Mono"/>
                <w:b w:val="0"/>
                <w:i w:val="0"/>
                <w:sz w:val="18"/>
              </w:rPr>
              <w:t>value-doctoral-national-psm</w:t>
            </w:r>
          </w:p>
        </w:tc>
      </w:tr>
    </w:tbl>
    <w:p>
      <w:pPr>
        <w:spacing w:after="20"/>
      </w:pPr>
    </w:p>
    <w:p>
      <w:pPr>
        <w:pStyle w:val="Heading2"/>
      </w:pPr>
      <w:r>
        <w:rPr>
          <w:b w:val="0"/>
          <w:i w:val="0"/>
        </w:rPr>
        <w:t>Annual calculation</w:t>
      </w:r>
    </w:p>
    <w:p>
      <w:r>
        <w:rPr>
          <w:b w:val="0"/>
          <w:i w:val="0"/>
        </w:rPr>
        <w:t>The default annual pathway uses the initial fleet, construction projects, demand and weather to determine annual operation. Existing construction projects advance at the beginning of the year, followed by preparation of available generation and external-exchange inputs. The dispatch module calculates annual operation. Operating results, investment rules and development times then determine the following year's assets and projects.</w:t>
      </w:r>
    </w:p>
    <w:p>
      <w:pPr>
        <w:keepLines/>
        <w:spacing w:line="276" w:lineRule="auto" w:after="160"/>
      </w:pPr>
      <w:r>
        <w:rPr>
          <w:rFonts w:ascii="DejaVu Sans Mono" w:hAnsi="DejaVu Sans Mono"/>
          <w:b w:val="0"/>
          <w:i w:val="0"/>
          <w:sz w:val="17"/>
        </w:rPr>
        <w:t>state = initial_state</w:t>
        <w:br/>
        <w:t>for year in range(initial_​state.year, run.end_year + 1):</w:t>
        <w:br/>
        <w:t xml:space="preserve">    advanced = self.planning.advance_​year(run, state)</w:t>
        <w:br/>
        <w:t xml:space="preserve">    model_input = self.psm_​input_​factory(run, advanced.operating_​state)</w:t>
        <w:br/>
        <w:t xml:space="preserve">    market = self.psm.run(model_​input)</w:t>
        <w:br/>
        <w:t xml:space="preserve">    headroom = []</w:t>
        <w:br/>
        <w:t xml:space="preserve">    for slot in sorted(self.expansion_​policies):</w:t>
        <w:br/>
        <w:t xml:space="preserve">        policy = self.expansion_​policies[slot]</w:t>
        <w:br/>
        <w:t xml:space="preserve">        value = policy.evaluate(run, advanced.operating_​state, market)</w:t>
        <w:br/>
        <w:t xml:space="preserve">        headroom.append(value)</w:t>
        <w:br/>
        <w:t xml:space="preserve">    investment_market = adapt_​market_​for_​investment(</w:t>
        <w:br/>
        <w:t xml:space="preserve">        market, advanced.operating_​state)</w:t>
        <w:br/>
        <w:t xml:space="preserve">    decision = self.investment.decide(</w:t>
        <w:br/>
        <w:t xml:space="preserve">        run, advanced.operating_​state, investment_market, tuple(headroom))</w:t>
        <w:br/>
        <w:t xml:space="preserve">    decision = inherit_​frozen_​zone_​shares(decision, advanced.operating_​state)</w:t>
        <w:br/>
        <w:t xml:space="preserve">    admission = self.planning.admit_​projects(</w:t>
        <w:br/>
        <w:t xml:space="preserve">        run, advanced.operating_​state, decision.proposals)</w:t>
        <w:br/>
        <w:t xml:space="preserve">    transition_state = YearState(</w:t>
        <w:br/>
        <w:t xml:space="preserve">        year, advanced.operating_​state.assets, advanced.active_​projects,</w:t>
        <w:br/>
        <w:t xml:space="preserve">        cumulative_​metrics=state.cumulative_​metrics,</w:t>
        <w:br/>
        <w:t xml:space="preserve">        extensions=transition_​extensions)</w:t>
        <w:br/>
        <w:t xml:space="preserve">    next_state = self.transition.apply(</w:t>
        <w:br/>
        <w:t xml:space="preserve">        run, transition_state, admission, decision)</w:t>
        <w:br/>
        <w:t xml:space="preserve">    state = next_state</w:t>
        <w:br/>
      </w:r>
    </w:p>
    <w:p>
      <w:r>
        <w:rPr>
          <w:rFonts w:ascii="DejaVu Sans Mono" w:hAnsi="DejaVu Sans Mono"/>
          <w:b w:val="0"/>
          <w:i w:val="0"/>
          <w:sz w:val="17"/>
        </w:rPr>
        <w:t>run</w:t>
      </w:r>
      <w:r>
        <w:rPr>
          <w:b w:val="0"/>
          <w:i w:val="0"/>
        </w:rPr>
        <w:t xml:space="preserve"> contains the selected modules, parameters and model years. </w:t>
      </w:r>
      <w:r>
        <w:rPr>
          <w:rFonts w:ascii="DejaVu Sans Mono" w:hAnsi="DejaVu Sans Mono"/>
          <w:b w:val="0"/>
          <w:i w:val="0"/>
          <w:sz w:val="17"/>
        </w:rPr>
        <w:t>state</w:t>
      </w:r>
      <w:r>
        <w:rPr>
          <w:b w:val="0"/>
          <w:i w:val="0"/>
        </w:rPr>
        <w:t xml:space="preserve"> holds operating assets and construction projects; </w:t>
      </w:r>
      <w:r>
        <w:rPr>
          <w:rFonts w:ascii="DejaVu Sans Mono" w:hAnsi="DejaVu Sans Mono"/>
          <w:b w:val="0"/>
          <w:i w:val="0"/>
          <w:sz w:val="17"/>
        </w:rPr>
        <w:t>advanced.operating_​state</w:t>
      </w:r>
      <w:r>
        <w:rPr>
          <w:b w:val="0"/>
          <w:i w:val="0"/>
        </w:rPr>
        <w:t xml:space="preserve"> is the fleet after the beginning-of-year planning update. </w:t>
      </w:r>
      <w:r>
        <w:rPr>
          <w:rFonts w:ascii="DejaVu Sans Mono" w:hAnsi="DejaVu Sans Mono"/>
          <w:b w:val="0"/>
          <w:i w:val="0"/>
          <w:sz w:val="17"/>
        </w:rPr>
        <w:t>market</w:t>
      </w:r>
      <w:r>
        <w:rPr>
          <w:b w:val="0"/>
          <w:i w:val="0"/>
        </w:rPr>
        <w:t xml:space="preserve"> contains dispatch and annual accounts, </w:t>
      </w:r>
      <w:r>
        <w:rPr>
          <w:rFonts w:ascii="DejaVu Sans Mono" w:hAnsi="DejaVu Sans Mono"/>
          <w:b w:val="0"/>
          <w:i w:val="0"/>
          <w:sz w:val="17"/>
        </w:rPr>
        <w:t>headroom</w:t>
      </w:r>
      <w:r>
        <w:rPr>
          <w:b w:val="0"/>
          <w:i w:val="0"/>
        </w:rPr>
        <w:t xml:space="preserve"> contains the technology expansion limits, and </w:t>
      </w:r>
      <w:r>
        <w:rPr>
          <w:rFonts w:ascii="DejaVu Sans Mono" w:hAnsi="DejaVu Sans Mono"/>
          <w:b w:val="0"/>
          <w:i w:val="0"/>
          <w:sz w:val="17"/>
        </w:rPr>
        <w:t>decision.proposals</w:t>
      </w:r>
      <w:r>
        <w:rPr>
          <w:b w:val="0"/>
          <w:i w:val="0"/>
        </w:rPr>
        <w:t xml:space="preserve"> contains the new investment proposals. </w:t>
      </w:r>
      <w:r>
        <w:rPr>
          <w:rFonts w:ascii="DejaVu Sans Mono" w:hAnsi="DejaVu Sans Mono"/>
          <w:b w:val="0"/>
          <w:i w:val="0"/>
          <w:sz w:val="17"/>
        </w:rPr>
        <w:t>transition_extensions</w:t>
      </w:r>
      <w:r>
        <w:rPr>
          <w:b w:val="0"/>
          <w:i w:val="0"/>
        </w:rPr>
        <w:t xml:space="preserve"> carries the annual storage-cost observations and solver-validation state into </w:t>
      </w:r>
      <w:r>
        <w:rPr>
          <w:rFonts w:ascii="DejaVu Sans Mono" w:hAnsi="DejaVu Sans Mono"/>
          <w:b w:val="0"/>
          <w:i w:val="0"/>
          <w:sz w:val="17"/>
        </w:rPr>
        <w:t>next_state</w:t>
      </w:r>
      <w:r>
        <w:rPr>
          <w:b w:val="0"/>
          <w:i w:val="0"/>
        </w:rPr>
        <w:t xml:space="preserve">. These names and calls follow the default annual sequence in </w:t>
      </w:r>
      <w:r>
        <w:rPr>
          <w:rFonts w:ascii="DejaVu Sans Mono" w:hAnsi="DejaVu Sans Mono"/>
          <w:b w:val="0"/>
          <w:i w:val="0"/>
          <w:sz w:val="17"/>
        </w:rPr>
        <w:t>gridform_​core/​v2/​orchestrator.py</w:t>
      </w:r>
      <w:r>
        <w:rPr>
          <w:b w:val="0"/>
          <w:i w:val="0"/>
        </w:rPr>
        <w:t>; selected network-expansion modules add their own annual steps.</w:t>
      </w:r>
    </w:p>
    <w:p>
      <w:r>
        <w:rPr>
          <w:b w:val="0"/>
          <w:i w:val="0"/>
        </w:rPr>
        <w:t>Default investment uses annual-income-based return and payback criteria, while annualised capital accounting uses a capital recovery factor. Gas and biomass investment income deducts generation, fuel, carbon and time-based operating costs. Wind, solar and storage treat gross revenue as investment profit, with fixed operating expenditure included in the capital-cost convention. Chapter 4 defines these default calculations; Chapter 6 gives the separate experimental account and investment interfaces.</w:t>
      </w:r>
    </w:p>
    <w:p>
      <w:r>
        <w:rPr>
          <w:b w:val="0"/>
          <w:i w:val="0"/>
        </w:rPr>
        <w:t>Monetary calculations adopt a constant start-year-price convention, with 2025 as the default start year. Input tables also retain their original price years for technology costs, imported electricity and policy parameters. Chapter 2 lists price sources and conversions, and Chapter 5 gives restart costs in 2025 GBP.</w:t>
      </w:r>
    </w:p>
    <w:p>
      <w:pPr>
        <w:pStyle w:val="Heading2"/>
      </w:pPr>
      <w:r>
        <w:rPr>
          <w:b w:val="0"/>
          <w:i w:val="0"/>
        </w:rPr>
        <w:t>Data and results</w:t>
      </w:r>
    </w:p>
    <w:p>
      <w:r>
        <w:rPr>
          <w:b w:val="0"/>
          <w:i w:val="0"/>
        </w:rPr>
        <w:t>Model inputs comprise demand, weather, initial assets, techno-economic parameters, construction projects and external electricity exchange. Chapter 2 specifies input files, time coverage, units and profile eligibility. Chapter 3 converts weather to available generation. Dataset and function names follow the corresponding calculations so that readers can locate their implementation.</w:t>
      </w:r>
    </w:p>
    <w:p>
      <w:r>
        <w:rPr>
          <w:b w:val="0"/>
          <w:i w:val="0"/>
        </w:rPr>
        <w:t>Annual economic results enter the results page after the required physical and accounting checks pass. The corrected profile applies the selected pathway's validation gates, while the doctoral-reproduction profile checks every raw invariant. Period ledgers retain dispatch, storage, shortfall and cost records. Chapter 4 describes their relationship to annual results, and Chapter 9 gives carbon-accounting parameters.</w:t>
      </w:r>
    </w:p>
    <w:p>
      <w:pPr>
        <w:pStyle w:val="Heading1"/>
      </w:pPr>
      <w:r>
        <w:rPr>
          <w:b w:val="0"/>
          <w:i w:val="0"/>
        </w:rPr>
        <w:t>2 Initial data and input processing</w:t>
      </w:r>
    </w:p>
    <w:p>
      <w:r>
        <w:rPr>
          <w:b w:val="0"/>
          <w:i w:val="0"/>
        </w:rPr>
        <w:t>VALUE combines demand, weather, assets, planning data and external-market inputs on a common model clock. The source year determines the demand or weather sample; the model year determines asset operation and investment. The data package and methodology profile jointly determine the reading rules.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7"/>
        <w:gridCol w:w="3418"/>
        <w:gridCol w:w="3957"/>
      </w:tblGrid>
      <w:tr>
        <w:trPr>
          <w:cantSplit/>
          <w:tblHeader w:val="true"/>
        </w:trPr>
        <w:tc>
          <w:tcPr>
            <w:tcW w:type="dxa" w:w="2417"/>
            <w:vAlign w:val="center"/>
            <w:tcMar>
              <w:top w:w="90" w:type="dxa"/>
              <w:left w:w="90" w:type="dxa"/>
              <w:bottom w:w="90" w:type="dxa"/>
              <w:right w:w="90" w:type="dxa"/>
            </w:tcMar>
            <w:shd w:fill="EEEEEE"/>
          </w:tcPr>
          <w:p>
            <w:pPr>
              <w:spacing w:after="40" w:line="276" w:lineRule="auto"/>
            </w:pPr>
            <w:r>
              <w:rPr>
                <w:b/>
                <w:i w:val="0"/>
                <w:sz w:val="18"/>
              </w:rPr>
              <w:t>Data configuration</w:t>
            </w:r>
          </w:p>
        </w:tc>
        <w:tc>
          <w:tcPr>
            <w:tcW w:type="dxa" w:w="3418"/>
            <w:vAlign w:val="center"/>
            <w:tcMar>
              <w:top w:w="90" w:type="dxa"/>
              <w:left w:w="90" w:type="dxa"/>
              <w:bottom w:w="90" w:type="dxa"/>
              <w:right w:w="90" w:type="dxa"/>
            </w:tcMar>
            <w:shd w:fill="EEEEEE"/>
          </w:tcPr>
          <w:p>
            <w:pPr>
              <w:spacing w:after="40" w:line="276" w:lineRule="auto"/>
            </w:pPr>
            <w:r>
              <w:rPr>
                <w:b/>
                <w:i w:val="0"/>
                <w:sz w:val="18"/>
              </w:rPr>
              <w:t>Package</w:t>
            </w:r>
          </w:p>
        </w:tc>
        <w:tc>
          <w:tcPr>
            <w:tcW w:type="dxa" w:w="3957"/>
            <w:vAlign w:val="center"/>
            <w:tcMar>
              <w:top w:w="90" w:type="dxa"/>
              <w:left w:w="90" w:type="dxa"/>
              <w:bottom w:w="90" w:type="dxa"/>
              <w:right w:w="90" w:type="dxa"/>
            </w:tcMar>
            <w:shd w:fill="EEEEEE"/>
          </w:tcPr>
          <w:p>
            <w:pPr>
              <w:spacing w:after="40" w:line="276" w:lineRule="auto"/>
            </w:pPr>
            <w:r>
              <w:rPr>
                <w:b/>
                <w:i w:val="0"/>
                <w:sz w:val="18"/>
              </w:rPr>
              <w:t>Coverage and availability</w:t>
            </w:r>
          </w:p>
        </w:tc>
      </w:tr>
      <w:tr>
        <w:trPr>
          <w:cantSplit/>
        </w:trPr>
        <w:tc>
          <w:tcPr>
            <w:tcW w:type="dxa" w:w="2417"/>
            <w:vAlign w:val="center"/>
            <w:tcMar>
              <w:top w:w="90" w:type="dxa"/>
              <w:left w:w="90" w:type="dxa"/>
              <w:bottom w:w="90" w:type="dxa"/>
              <w:right w:w="90" w:type="dxa"/>
            </w:tcMar>
          </w:tcPr>
          <w:p>
            <w:pPr>
              <w:spacing w:after="40" w:line="276" w:lineRule="auto"/>
            </w:pPr>
            <w:r>
              <w:rPr>
                <w:b w:val="0"/>
                <w:i w:val="0"/>
                <w:sz w:val="18"/>
              </w:rPr>
              <w:t>VALUE 101</w:t>
            </w:r>
          </w:p>
        </w:tc>
        <w:tc>
          <w:tcPr>
            <w:tcW w:type="dxa" w:w="3418"/>
            <w:vAlign w:val="center"/>
            <w:tcMar>
              <w:top w:w="90" w:type="dxa"/>
              <w:left w:w="90" w:type="dxa"/>
              <w:bottom w:w="90" w:type="dxa"/>
              <w:right w:w="90" w:type="dxa"/>
            </w:tcMar>
          </w:tcPr>
          <w:p>
            <w:pPr>
              <w:spacing w:after="40" w:line="276" w:lineRule="auto"/>
            </w:pPr>
            <w:r>
              <w:rPr>
                <w:rFonts w:ascii="DejaVu Sans Mono" w:hAnsi="DejaVu Sans Mono"/>
                <w:b w:val="0"/>
                <w:i w:val="0"/>
                <w:sz w:val="18"/>
              </w:rPr>
              <w:t>value-101-baseline-v1</w:t>
            </w:r>
          </w:p>
        </w:tc>
        <w:tc>
          <w:tcPr>
            <w:tcW w:type="dxa" w:w="3957"/>
            <w:vAlign w:val="center"/>
            <w:tcMar>
              <w:top w:w="90" w:type="dxa"/>
              <w:left w:w="90" w:type="dxa"/>
              <w:bottom w:w="90" w:type="dxa"/>
              <w:right w:w="90" w:type="dxa"/>
            </w:tcMar>
          </w:tcPr>
          <w:p>
            <w:pPr>
              <w:spacing w:after="40" w:line="276" w:lineRule="auto"/>
            </w:pPr>
            <w:r>
              <w:rPr>
                <w:b w:val="0"/>
                <w:i w:val="0"/>
                <w:sz w:val="18"/>
              </w:rPr>
              <w:t>Bundled synthetic teaching data for 2025–2026, with 17,520 half-hours per year and a 48-period exercise</w:t>
            </w:r>
          </w:p>
        </w:tc>
      </w:tr>
      <w:tr>
        <w:trPr>
          <w:cantSplit/>
        </w:trPr>
        <w:tc>
          <w:tcPr>
            <w:tcW w:type="dxa" w:w="2417"/>
            <w:vAlign w:val="center"/>
            <w:tcMar>
              <w:top w:w="90" w:type="dxa"/>
              <w:left w:w="90" w:type="dxa"/>
              <w:bottom w:w="90" w:type="dxa"/>
              <w:right w:w="90" w:type="dxa"/>
            </w:tcMar>
          </w:tcPr>
          <w:p>
            <w:pPr>
              <w:spacing w:after="40" w:line="276" w:lineRule="auto"/>
            </w:pPr>
            <w:r>
              <w:rPr>
                <w:b w:val="0"/>
                <w:i w:val="0"/>
                <w:sz w:val="18"/>
              </w:rPr>
              <w:t>GBP1 public1</w:t>
            </w:r>
          </w:p>
        </w:tc>
        <w:tc>
          <w:tcPr>
            <w:tcW w:type="dxa" w:w="3418"/>
            <w:vAlign w:val="center"/>
            <w:tcMar>
              <w:top w:w="90" w:type="dxa"/>
              <w:left w:w="90" w:type="dxa"/>
              <w:bottom w:w="90" w:type="dxa"/>
              <w:right w:w="90" w:type="dxa"/>
            </w:tcMar>
          </w:tcPr>
          <w:p>
            <w:pPr>
              <w:spacing w:after="40" w:line="276" w:lineRule="auto"/>
            </w:pPr>
            <w:r>
              <w:rPr>
                <w:rFonts w:ascii="DejaVu Sans Mono" w:hAnsi="DejaVu Sans Mono"/>
                <w:b w:val="0"/>
                <w:i w:val="0"/>
                <w:sz w:val="18"/>
              </w:rPr>
              <w:t>value-uk-open-data-pack-v1</w:t>
            </w:r>
          </w:p>
        </w:tc>
        <w:tc>
          <w:tcPr>
            <w:tcW w:type="dxa" w:w="3957"/>
            <w:vAlign w:val="center"/>
            <w:tcMar>
              <w:top w:w="90" w:type="dxa"/>
              <w:left w:w="90" w:type="dxa"/>
              <w:bottom w:w="90" w:type="dxa"/>
              <w:right w:w="90" w:type="dxa"/>
            </w:tcMar>
          </w:tcPr>
          <w:p>
            <w:pPr>
              <w:spacing w:after="40" w:line="276" w:lineRule="auto"/>
            </w:pPr>
            <w:r>
              <w:rPr>
                <w:b w:val="0"/>
                <w:i w:val="0"/>
                <w:sz w:val="18"/>
              </w:rPr>
              <w:t>Published GB inputs; eligible for the doctoral reproduction profile</w:t>
            </w:r>
          </w:p>
        </w:tc>
      </w:tr>
      <w:tr>
        <w:trPr>
          <w:cantSplit/>
        </w:trPr>
        <w:tc>
          <w:tcPr>
            <w:tcW w:type="dxa" w:w="2417"/>
            <w:vAlign w:val="center"/>
            <w:tcMar>
              <w:top w:w="90" w:type="dxa"/>
              <w:left w:w="90" w:type="dxa"/>
              <w:bottom w:w="90" w:type="dxa"/>
              <w:right w:w="90" w:type="dxa"/>
            </w:tcMar>
          </w:tcPr>
          <w:p>
            <w:pPr>
              <w:spacing w:after="40" w:line="276" w:lineRule="auto"/>
            </w:pPr>
            <w:r>
              <w:rPr>
                <w:b w:val="0"/>
                <w:i w:val="0"/>
                <w:sz w:val="18"/>
              </w:rPr>
              <w:t>GBP1 public2</w:t>
            </w:r>
          </w:p>
        </w:tc>
        <w:tc>
          <w:tcPr>
            <w:tcW w:type="dxa" w:w="3418"/>
            <w:vAlign w:val="center"/>
            <w:tcMar>
              <w:top w:w="90" w:type="dxa"/>
              <w:left w:w="90" w:type="dxa"/>
              <w:bottom w:w="90" w:type="dxa"/>
              <w:right w:w="90" w:type="dxa"/>
            </w:tcMar>
          </w:tcPr>
          <w:p>
            <w:pPr>
              <w:spacing w:after="40" w:line="276" w:lineRule="auto"/>
            </w:pPr>
            <w:r>
              <w:rPr>
                <w:rFonts w:ascii="DejaVu Sans Mono" w:hAnsi="DejaVu Sans Mono"/>
                <w:b w:val="0"/>
                <w:i w:val="0"/>
                <w:sz w:val="18"/>
              </w:rPr>
              <w:t>value-uk-open-data-pack-public2</w:t>
            </w:r>
          </w:p>
        </w:tc>
        <w:tc>
          <w:tcPr>
            <w:tcW w:type="dxa" w:w="3957"/>
            <w:vAlign w:val="center"/>
            <w:tcMar>
              <w:top w:w="90" w:type="dxa"/>
              <w:left w:w="90" w:type="dxa"/>
              <w:bottom w:w="90" w:type="dxa"/>
              <w:right w:w="90" w:type="dxa"/>
            </w:tcMar>
          </w:tcPr>
          <w:p>
            <w:pPr>
              <w:spacing w:after="40" w:line="276" w:lineRule="auto"/>
            </w:pPr>
            <w:r>
              <w:rPr>
                <w:b w:val="0"/>
                <w:i w:val="0"/>
                <w:sz w:val="18"/>
              </w:rPr>
              <w:t>Revision for the corrected methodology, published with VALUE 0.7.0-alpha.1 (</w:t>
            </w:r>
            <w:r>
              <w:rPr>
                <w:b w:val="0"/>
                <w:i w:val="0"/>
                <w:sz w:val="18"/>
              </w:rPr>
              <w:t>download</w:t>
            </w:r>
            <w:r>
              <w:rPr>
                <w:b w:val="0"/>
                <w:i w:val="0"/>
                <w:sz w:val="18"/>
              </w:rPr>
              <w:t>)</w:t>
            </w:r>
          </w:p>
        </w:tc>
      </w:tr>
      <w:tr>
        <w:trPr>
          <w:cantSplit/>
        </w:trPr>
        <w:tc>
          <w:tcPr>
            <w:tcW w:type="dxa" w:w="2417"/>
            <w:vAlign w:val="center"/>
            <w:tcMar>
              <w:top w:w="90" w:type="dxa"/>
              <w:left w:w="90" w:type="dxa"/>
              <w:bottom w:w="90" w:type="dxa"/>
              <w:right w:w="90" w:type="dxa"/>
            </w:tcMar>
          </w:tcPr>
          <w:p>
            <w:pPr>
              <w:spacing w:after="40" w:line="276" w:lineRule="auto"/>
            </w:pPr>
            <w:r>
              <w:rPr>
                <w:b w:val="0"/>
                <w:i w:val="0"/>
                <w:sz w:val="18"/>
              </w:rPr>
              <w:t>R029 public2</w:t>
            </w:r>
          </w:p>
        </w:tc>
        <w:tc>
          <w:tcPr>
            <w:tcW w:type="dxa" w:w="3418"/>
            <w:vAlign w:val="center"/>
            <w:tcMar>
              <w:top w:w="90" w:type="dxa"/>
              <w:left w:w="90" w:type="dxa"/>
              <w:bottom w:w="90" w:type="dxa"/>
              <w:right w:w="90" w:type="dxa"/>
            </w:tcMar>
          </w:tcPr>
          <w:p>
            <w:pPr>
              <w:spacing w:after="40" w:line="276" w:lineRule="auto"/>
            </w:pPr>
            <w:r>
              <w:rPr>
                <w:rFonts w:ascii="DejaVu Sans Mono" w:hAnsi="DejaVu Sans Mono"/>
                <w:b w:val="0"/>
                <w:i w:val="0"/>
                <w:sz w:val="18"/>
              </w:rPr>
              <w:t>value-uk-calendar-vx-trade001-public2</w:t>
            </w:r>
          </w:p>
        </w:tc>
        <w:tc>
          <w:tcPr>
            <w:tcW w:type="dxa" w:w="3957"/>
            <w:vAlign w:val="center"/>
            <w:tcMar>
              <w:top w:w="90" w:type="dxa"/>
              <w:left w:w="90" w:type="dxa"/>
              <w:bottom w:w="90" w:type="dxa"/>
              <w:right w:w="90" w:type="dxa"/>
            </w:tcMar>
          </w:tcPr>
          <w:p>
            <w:pPr>
              <w:spacing w:after="40" w:line="276" w:lineRule="auto"/>
            </w:pPr>
            <w:r>
              <w:rPr>
                <w:b w:val="0"/>
                <w:i w:val="0"/>
                <w:sz w:val="18"/>
              </w:rPr>
              <w:t>Revision for the corrected methodology, published with VALUE 0.7.0-alpha.1 (</w:t>
            </w:r>
            <w:r>
              <w:rPr>
                <w:b w:val="0"/>
                <w:i w:val="0"/>
                <w:sz w:val="18"/>
              </w:rPr>
              <w:t>download</w:t>
            </w:r>
            <w:r>
              <w:rPr>
                <w:b w:val="0"/>
                <w:i w:val="0"/>
                <w:sz w:val="18"/>
              </w:rPr>
              <w:t>); study window 2025–2034, 2022 demand and 2020–2024 weather</w:t>
            </w:r>
          </w:p>
        </w:tc>
      </w:tr>
    </w:tbl>
    <w:p>
      <w:pPr>
        <w:spacing w:after="20"/>
      </w:pPr>
    </w:p>
    <w:p>
      <w:r>
        <w:rPr>
          <w:b w:val="0"/>
          <w:i w:val="0"/>
        </w:rPr>
        <w:t>The corrected GB studies require the declared columns, source units and time resolutions supplied by the public2 revisions or an eligible user workspace package. R029 public1 (</w:t>
      </w:r>
      <w:r>
        <w:rPr>
          <w:rFonts w:ascii="DejaVu Sans Mono" w:hAnsi="DejaVu Sans Mono"/>
          <w:b w:val="0"/>
          <w:i w:val="0"/>
          <w:sz w:val="17"/>
        </w:rPr>
        <w:t>value-uk-calendar-vx-trade001</w:t>
      </w:r>
      <w:r>
        <w:rPr>
          <w:b w:val="0"/>
          <w:i w:val="0"/>
        </w:rPr>
        <w:t xml:space="preserve">) is outside the doctoral reproduction whitelist; its 8,761-value solar investment profile also fails the corrected reader's annual-length requirement. Chapter 3 describes the revised profile. GB 23-zone network studies use the GBP1 public2 research suite, </w:t>
      </w:r>
      <w:r>
        <w:rPr>
          <w:rFonts w:ascii="DejaVu Sans Mono" w:hAnsi="DejaVu Sans Mono"/>
          <w:b w:val="0"/>
          <w:i w:val="0"/>
          <w:sz w:val="17"/>
        </w:rPr>
        <w:t>value-uk-research-suite-v1-public2</w:t>
      </w:r>
      <w:r>
        <w:rPr>
          <w:b w:val="0"/>
          <w:i w:val="0"/>
        </w:rPr>
        <w:t xml:space="preserve">, available from the </w:t>
      </w:r>
      <w:r>
        <w:rPr>
          <w:b w:val="0"/>
          <w:i w:val="0"/>
        </w:rPr>
        <w:t>data page</w:t>
      </w:r>
      <w:r>
        <w:rPr>
          <w:b w:val="0"/>
          <w:i w:val="0"/>
        </w:rPr>
        <w:t>. It supplies the compatible national and spatial inputs for the corrected methodology.</w:t>
      </w:r>
    </w:p>
    <w:p>
      <w:pPr>
        <w:pStyle w:val="Heading2"/>
      </w:pPr>
      <w:r>
        <w:rPr>
          <w:b w:val="0"/>
          <w:i w:val="0"/>
        </w:rPr>
        <w:t>Temporal resolution and input roles</w:t>
      </w:r>
    </w:p>
    <w:p>
      <w:pPr>
        <w:keepNext/>
      </w:pPr>
      <w:r>
        <w:rPr>
          <w:b w:val="0"/>
          <w:i w:val="0"/>
        </w:rPr>
        <w:t xml:space="preserve">The national model balances half-hourly energy. In </w:t>
      </w:r>
      <w:r>
        <w:rPr>
          <w:rFonts w:ascii="DejaVu Sans Mono" w:hAnsi="DejaVu Sans Mono"/>
          <w:b w:val="0"/>
          <w:i w:val="0"/>
          <w:sz w:val="17"/>
        </w:rPr>
        <w:t>canonical_psm_data</w:t>
      </w:r>
      <w:r>
        <w:rPr>
          <w:b w:val="0"/>
          <w:i w:val="0"/>
        </w:rPr>
        <w:t xml:space="preserve">, the arrays in </w:t>
      </w:r>
      <w:r>
        <w:rPr>
          <w:rFonts w:ascii="DejaVu Sans Mono" w:hAnsi="DejaVu Sans Mono"/>
          <w:b w:val="0"/>
          <w:i w:val="0"/>
          <w:sz w:val="17"/>
        </w:rPr>
        <w:t>series</w:t>
      </w:r>
      <w:r>
        <w:rPr>
          <w:b w:val="0"/>
          <w:i w:val="0"/>
        </w:rPr>
        <w:t xml:space="preserve"> contain demand power in MW; multiplication by </w:t>
      </w:r>
      <w:r>
        <w:rPr>
          <w:rFonts w:ascii="DejaVu Sans Mono" w:hAnsi="DejaVu Sans Mono"/>
          <w:b w:val="0"/>
          <w:i w:val="0"/>
          <w:sz w:val="17"/>
        </w:rPr>
        <w:t>period_hours</w:t>
      </w:r>
      <w:r>
        <w:rPr>
          <w:b w:val="0"/>
          <w:i w:val="0"/>
        </w:rPr>
        <w:t xml:space="preserve"> gives actual </w:t>
      </w:r>
      <w:r>
        <w:rPr>
          <w:rFonts w:ascii="DejaVu Sans Mono" w:hAnsi="DejaVu Sans Mono"/>
          <w:b w:val="0"/>
          <w:i w:val="0"/>
          <w:sz w:val="17"/>
        </w:rPr>
        <w:t>demand</w:t>
      </w:r>
      <w:r>
        <w:rPr>
          <w:b w:val="0"/>
          <w:i w:val="0"/>
        </w:rPr>
        <w:t xml:space="preserve"> and forecast </w:t>
      </w:r>
      <w:r>
        <w:rPr>
          <w:rFonts w:ascii="DejaVu Sans Mono" w:hAnsi="DejaVu Sans Mono"/>
          <w:b w:val="0"/>
          <w:i w:val="0"/>
          <w:sz w:val="17"/>
        </w:rPr>
        <w:t>forecast_demand</w:t>
      </w:r>
      <w:r>
        <w:rPr>
          <w:b w:val="0"/>
          <w:i w:val="0"/>
        </w:rPr>
        <w:t xml:space="preserve"> in MWh per period. Annual energy is the sum of the period values:</w:t>
      </w:r>
    </w:p>
    <w:p>
      <w:pPr>
        <w:spacing w:after="160"/>
        <w:jc w:val="center"/>
      </w:pPr>
      <w:r>
        <w:drawing>
          <wp:inline xmlns:a="http://schemas.openxmlformats.org/drawingml/2006/main" xmlns:pic="http://schemas.openxmlformats.org/drawingml/2006/picture">
            <wp:extent cx="5729782" cy="621908"/>
            <wp:docPr id="1" name="Picture 1"/>
            <wp:cNvGraphicFramePr>
              <a:graphicFrameLocks noChangeAspect="1"/>
            </wp:cNvGraphicFramePr>
            <a:graphic>
              <a:graphicData uri="http://schemas.openxmlformats.org/drawingml/2006/picture">
                <pic:pic>
                  <pic:nvPicPr>
                    <pic:cNvPr id="0" name="eq-001.png"/>
                    <pic:cNvPicPr/>
                  </pic:nvPicPr>
                  <pic:blipFill>
                    <a:blip r:embed="rId11"/>
                    <a:stretch>
                      <a:fillRect/>
                    </a:stretch>
                  </pic:blipFill>
                  <pic:spPr>
                    <a:xfrm>
                      <a:off x="0" y="0"/>
                      <a:ext cx="5729782" cy="621908"/>
                    </a:xfrm>
                    <a:prstGeom prst="rect"/>
                  </pic:spPr>
                </pic:pic>
              </a:graphicData>
            </a:graphic>
          </wp:inline>
        </w:drawing>
      </w:r>
    </w:p>
    <w:p>
      <w:r>
        <w:rPr>
          <w:b w:val="0"/>
          <w:i w:val="0"/>
        </w:rPr>
        <w:t>The model year consists of 365 days on a fixed UTC clock, with 28 days in February. Declared leap-year demand is reduced to this calendar while preserving annual energy, as defined below and in Chapter 4. Capacity is measured in MW, inventory in MWh, money in GBP and electricity prices in GBP/MWh.</w:t>
      </w:r>
    </w:p>
    <w:p>
      <w:r>
        <w:rPr>
          <w:b w:val="0"/>
          <w:i w:val="0"/>
        </w:rPr>
        <w:t xml:space="preserve">Demand enters the model as MW and is multiplied by the period duration for dispatch. VALUE 101 retains a </w:t>
      </w:r>
      <w:r>
        <w:rPr>
          <w:rFonts w:ascii="DejaVu Sans Mono" w:hAnsi="DejaVu Sans Mono"/>
          <w:b w:val="0"/>
          <w:i w:val="0"/>
          <w:sz w:val="17"/>
        </w:rPr>
        <w:t>mwh</w:t>
      </w:r>
      <w:r>
        <w:rPr>
          <w:b w:val="0"/>
          <w:i w:val="0"/>
        </w:rPr>
        <w:t xml:space="preserve"> column name and MWh/period package label for values that are read as MW in both profiles. User-mapped demand instead follows its declared source unit: MWh/period is divided by the source-period duration in hours to obtain MW.</w:t>
      </w:r>
    </w:p>
    <w:p>
      <w:r>
        <w:rPr>
          <w:b w:val="0"/>
          <w:i w:val="0"/>
        </w:rPr>
        <w:t>Data bindings assign physical files to defined computational roles. Demand files supply actual demand and the day-ahead forecast, the fleet table supplies technology, capacity and representative location, and planning tables supply project status and dates. Weather and technology-average profiles support spatial available generation and the corresponding investment rules, respectively.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3566"/>
        <w:gridCol w:w="3566"/>
      </w:tblGrid>
      <w:tr>
        <w:trPr>
          <w:cantSplit/>
          <w:tblHeader w:val="true"/>
        </w:trPr>
        <w:tc>
          <w:tcPr>
            <w:tcW w:type="dxa" w:w="2660"/>
            <w:vAlign w:val="center"/>
            <w:tcMar>
              <w:top w:w="90" w:type="dxa"/>
              <w:left w:w="90" w:type="dxa"/>
              <w:bottom w:w="90" w:type="dxa"/>
              <w:right w:w="90" w:type="dxa"/>
            </w:tcMar>
            <w:shd w:fill="EEEEEE"/>
          </w:tcPr>
          <w:p>
            <w:pPr>
              <w:spacing w:after="40" w:line="276" w:lineRule="auto"/>
            </w:pPr>
            <w:r>
              <w:rPr>
                <w:b/>
                <w:i w:val="0"/>
                <w:sz w:val="18"/>
              </w:rPr>
              <w:t>Input role</w:t>
            </w:r>
          </w:p>
        </w:tc>
        <w:tc>
          <w:tcPr>
            <w:tcW w:type="dxa" w:w="3566"/>
            <w:vAlign w:val="center"/>
            <w:tcMar>
              <w:top w:w="90" w:type="dxa"/>
              <w:left w:w="90" w:type="dxa"/>
              <w:bottom w:w="90" w:type="dxa"/>
              <w:right w:w="90" w:type="dxa"/>
            </w:tcMar>
            <w:shd w:fill="EEEEEE"/>
          </w:tcPr>
          <w:p>
            <w:pPr>
              <w:spacing w:after="40" w:line="276" w:lineRule="auto"/>
            </w:pPr>
            <w:r>
              <w:rPr>
                <w:b/>
                <w:i w:val="0"/>
                <w:sz w:val="18"/>
              </w:rPr>
              <w:t>Main data or fields</w:t>
            </w:r>
          </w:p>
        </w:tc>
        <w:tc>
          <w:tcPr>
            <w:tcW w:type="dxa" w:w="3566"/>
            <w:vAlign w:val="center"/>
            <w:tcMar>
              <w:top w:w="90" w:type="dxa"/>
              <w:left w:w="90" w:type="dxa"/>
              <w:bottom w:w="90" w:type="dxa"/>
              <w:right w:w="90" w:type="dxa"/>
            </w:tcMar>
            <w:shd w:fill="EEEEEE"/>
          </w:tcPr>
          <w:p>
            <w:pPr>
              <w:spacing w:after="40" w:line="276" w:lineRule="auto"/>
            </w:pPr>
            <w:r>
              <w:rPr>
                <w:b/>
                <w:i w:val="0"/>
                <w:sz w:val="18"/>
              </w:rPr>
              <w:t>Computational use</w:t>
            </w:r>
          </w:p>
        </w:tc>
      </w:tr>
      <w:tr>
        <w:trPr>
          <w:cantSplit/>
        </w:trPr>
        <w:tc>
          <w:tcPr>
            <w:tcW w:type="dxa" w:w="2660"/>
            <w:vAlign w:val="center"/>
            <w:tcMar>
              <w:top w:w="90" w:type="dxa"/>
              <w:left w:w="90" w:type="dxa"/>
              <w:bottom w:w="90" w:type="dxa"/>
              <w:right w:w="90" w:type="dxa"/>
            </w:tcMar>
          </w:tcPr>
          <w:p>
            <w:pPr>
              <w:spacing w:after="40" w:line="276" w:lineRule="auto"/>
            </w:pPr>
            <w:r>
              <w:rPr>
                <w:b w:val="0"/>
                <w:i w:val="0"/>
                <w:sz w:val="18"/>
              </w:rPr>
              <w:t>Actual and forecast demand</w:t>
            </w:r>
          </w:p>
        </w:tc>
        <w:tc>
          <w:tcPr>
            <w:tcW w:type="dxa" w:w="3566"/>
            <w:vAlign w:val="center"/>
            <w:tcMar>
              <w:top w:w="90" w:type="dxa"/>
              <w:left w:w="90" w:type="dxa"/>
              <w:bottom w:w="90" w:type="dxa"/>
              <w:right w:w="90" w:type="dxa"/>
            </w:tcMar>
          </w:tcPr>
          <w:p>
            <w:pPr>
              <w:spacing w:after="40" w:line="276" w:lineRule="auto"/>
            </w:pPr>
            <w:r>
              <w:rPr>
                <w:rFonts w:ascii="DejaVu Sans Mono" w:hAnsi="DejaVu Sans Mono"/>
                <w:b w:val="0"/>
                <w:i w:val="0"/>
                <w:sz w:val="18"/>
              </w:rPr>
              <w:t>demand_mw</w:t>
            </w:r>
            <w:r>
              <w:rPr>
                <w:b w:val="0"/>
                <w:i w:val="0"/>
                <w:sz w:val="18"/>
              </w:rPr>
              <w:t xml:space="preserve"> in </w:t>
            </w:r>
            <w:r>
              <w:rPr>
                <w:rFonts w:ascii="DejaVu Sans Mono" w:hAnsi="DejaVu Sans Mono"/>
                <w:b w:val="0"/>
                <w:i w:val="0"/>
                <w:sz w:val="18"/>
              </w:rPr>
              <w:t>actual_mw.csv</w:t>
            </w:r>
            <w:r>
              <w:rPr>
                <w:b w:val="0"/>
                <w:i w:val="0"/>
                <w:sz w:val="18"/>
              </w:rPr>
              <w:t xml:space="preserve">; </w:t>
            </w:r>
            <w:r>
              <w:rPr>
                <w:rFonts w:ascii="DejaVu Sans Mono" w:hAnsi="DejaVu Sans Mono"/>
                <w:b w:val="0"/>
                <w:i w:val="0"/>
                <w:sz w:val="18"/>
              </w:rPr>
              <w:t>forecast_mw</w:t>
            </w:r>
            <w:r>
              <w:rPr>
                <w:b w:val="0"/>
                <w:i w:val="0"/>
                <w:sz w:val="18"/>
              </w:rPr>
              <w:t xml:space="preserve"> in </w:t>
            </w:r>
            <w:r>
              <w:rPr>
                <w:rFonts w:ascii="DejaVu Sans Mono" w:hAnsi="DejaVu Sans Mono"/>
                <w:b w:val="0"/>
                <w:i w:val="0"/>
                <w:sz w:val="18"/>
              </w:rPr>
              <w:t>forecast_mw.csv</w:t>
            </w:r>
          </w:p>
        </w:tc>
        <w:tc>
          <w:tcPr>
            <w:tcW w:type="dxa" w:w="3566"/>
            <w:vAlign w:val="center"/>
            <w:tcMar>
              <w:top w:w="90" w:type="dxa"/>
              <w:left w:w="90" w:type="dxa"/>
              <w:bottom w:w="90" w:type="dxa"/>
              <w:right w:w="90" w:type="dxa"/>
            </w:tcMar>
          </w:tcPr>
          <w:p>
            <w:pPr>
              <w:spacing w:after="40" w:line="276" w:lineRule="auto"/>
            </w:pPr>
            <w:r>
              <w:rPr>
                <w:b w:val="0"/>
                <w:i w:val="0"/>
                <w:sz w:val="18"/>
              </w:rPr>
              <w:t>Real-time balancing, day-ahead clearing and demand error</w:t>
            </w:r>
          </w:p>
        </w:tc>
      </w:tr>
      <w:tr>
        <w:trPr>
          <w:cantSplit/>
        </w:trPr>
        <w:tc>
          <w:tcPr>
            <w:tcW w:type="dxa" w:w="2660"/>
            <w:vAlign w:val="center"/>
            <w:tcMar>
              <w:top w:w="90" w:type="dxa"/>
              <w:left w:w="90" w:type="dxa"/>
              <w:bottom w:w="90" w:type="dxa"/>
              <w:right w:w="90" w:type="dxa"/>
            </w:tcMar>
          </w:tcPr>
          <w:p>
            <w:pPr>
              <w:spacing w:after="40" w:line="276" w:lineRule="auto"/>
            </w:pPr>
            <w:r>
              <w:rPr>
                <w:b w:val="0"/>
                <w:i w:val="0"/>
                <w:sz w:val="18"/>
              </w:rPr>
              <w:t>Fleet and initial assets</w:t>
            </w:r>
          </w:p>
        </w:tc>
        <w:tc>
          <w:tcPr>
            <w:tcW w:type="dxa" w:w="3566"/>
            <w:vAlign w:val="center"/>
            <w:tcMar>
              <w:top w:w="90" w:type="dxa"/>
              <w:left w:w="90" w:type="dxa"/>
              <w:bottom w:w="90" w:type="dxa"/>
              <w:right w:w="90" w:type="dxa"/>
            </w:tcMar>
          </w:tcPr>
          <w:p>
            <w:pPr>
              <w:spacing w:after="40" w:line="276" w:lineRule="auto"/>
            </w:pPr>
            <w:r>
              <w:rPr>
                <w:rFonts w:ascii="DejaVu Sans Mono" w:hAnsi="DejaVu Sans Mono"/>
                <w:b w:val="0"/>
                <w:i w:val="0"/>
                <w:sz w:val="18"/>
              </w:rPr>
              <w:t>fleet.json</w:t>
            </w:r>
            <w:r>
              <w:rPr>
                <w:b w:val="0"/>
                <w:i w:val="0"/>
                <w:sz w:val="18"/>
              </w:rPr>
              <w:t xml:space="preserve">, annual </w:t>
            </w:r>
            <w:r>
              <w:rPr>
                <w:rFonts w:ascii="DejaVu Sans Mono" w:hAnsi="DejaVu Sans Mono"/>
                <w:b w:val="0"/>
                <w:i w:val="0"/>
                <w:sz w:val="18"/>
              </w:rPr>
              <w:t>operating_state</w:t>
            </w:r>
          </w:p>
        </w:tc>
        <w:tc>
          <w:tcPr>
            <w:tcW w:type="dxa" w:w="3566"/>
            <w:vAlign w:val="center"/>
            <w:tcMar>
              <w:top w:w="90" w:type="dxa"/>
              <w:left w:w="90" w:type="dxa"/>
              <w:bottom w:w="90" w:type="dxa"/>
              <w:right w:w="90" w:type="dxa"/>
            </w:tcMar>
          </w:tcPr>
          <w:p>
            <w:pPr>
              <w:spacing w:after="40" w:line="276" w:lineRule="auto"/>
            </w:pPr>
            <w:r>
              <w:rPr>
                <w:b w:val="0"/>
                <w:i w:val="0"/>
                <w:sz w:val="18"/>
              </w:rPr>
              <w:t>Technology parameters, representative locations and dispatch capacities</w:t>
            </w:r>
          </w:p>
        </w:tc>
      </w:tr>
      <w:tr>
        <w:trPr>
          <w:cantSplit/>
        </w:trPr>
        <w:tc>
          <w:tcPr>
            <w:tcW w:type="dxa" w:w="2660"/>
            <w:vAlign w:val="center"/>
            <w:tcMar>
              <w:top w:w="90" w:type="dxa"/>
              <w:left w:w="90" w:type="dxa"/>
              <w:bottom w:w="90" w:type="dxa"/>
              <w:right w:w="90" w:type="dxa"/>
            </w:tcMar>
          </w:tcPr>
          <w:p>
            <w:pPr>
              <w:spacing w:after="40" w:line="276" w:lineRule="auto"/>
            </w:pPr>
            <w:r>
              <w:rPr>
                <w:b w:val="0"/>
                <w:i w:val="0"/>
                <w:sz w:val="18"/>
              </w:rPr>
              <w:t>Projects and planning</w:t>
            </w:r>
          </w:p>
        </w:tc>
        <w:tc>
          <w:tcPr>
            <w:tcW w:type="dxa" w:w="3566"/>
            <w:vAlign w:val="center"/>
            <w:tcMar>
              <w:top w:w="90" w:type="dxa"/>
              <w:left w:w="90" w:type="dxa"/>
              <w:bottom w:w="90" w:type="dxa"/>
              <w:right w:w="90" w:type="dxa"/>
            </w:tcMar>
          </w:tcPr>
          <w:p>
            <w:pPr>
              <w:spacing w:after="40" w:line="276" w:lineRule="auto"/>
            </w:pPr>
            <w:r>
              <w:rPr>
                <w:rFonts w:ascii="DejaVu Sans Mono" w:hAnsi="DejaVu Sans Mono"/>
                <w:b w:val="0"/>
                <w:i w:val="0"/>
                <w:sz w:val="18"/>
              </w:rPr>
              <w:t>repd_​projects_​normalized.csv</w:t>
            </w:r>
            <w:r>
              <w:rPr>
                <w:b w:val="0"/>
                <w:i w:val="0"/>
                <w:sz w:val="18"/>
              </w:rPr>
              <w:t xml:space="preserve">, </w:t>
            </w:r>
            <w:r>
              <w:rPr>
                <w:rFonts w:ascii="DejaVu Sans Mono" w:hAnsi="DejaVu Sans Mono"/>
                <w:b w:val="0"/>
                <w:i w:val="0"/>
                <w:sz w:val="18"/>
              </w:rPr>
              <w:t>regional_​technology_​success_​rates.csv</w:t>
            </w:r>
            <w:r>
              <w:rPr>
                <w:b w:val="0"/>
                <w:i w:val="0"/>
                <w:sz w:val="18"/>
              </w:rPr>
              <w:t xml:space="preserve">, </w:t>
            </w:r>
            <w:r>
              <w:rPr>
                <w:rFonts w:ascii="DejaVu Sans Mono" w:hAnsi="DejaVu Sans Mono"/>
                <w:b w:val="0"/>
                <w:i w:val="0"/>
                <w:sz w:val="18"/>
              </w:rPr>
              <w:t>planning_timelines.json</w:t>
            </w:r>
          </w:p>
        </w:tc>
        <w:tc>
          <w:tcPr>
            <w:tcW w:type="dxa" w:w="3566"/>
            <w:vAlign w:val="center"/>
            <w:tcMar>
              <w:top w:w="90" w:type="dxa"/>
              <w:left w:w="90" w:type="dxa"/>
              <w:bottom w:w="90" w:type="dxa"/>
              <w:right w:w="90" w:type="dxa"/>
            </w:tcMar>
          </w:tcPr>
          <w:p>
            <w:pPr>
              <w:spacing w:after="40" w:line="276" w:lineRule="auto"/>
            </w:pPr>
            <w:r>
              <w:rPr>
                <w:b w:val="0"/>
                <w:i w:val="0"/>
                <w:sz w:val="18"/>
              </w:rPr>
              <w:t>Initial operational assets, project success rates and stage durations</w:t>
            </w:r>
          </w:p>
        </w:tc>
      </w:tr>
      <w:tr>
        <w:trPr>
          <w:cantSplit/>
        </w:trPr>
        <w:tc>
          <w:tcPr>
            <w:tcW w:type="dxa" w:w="2660"/>
            <w:vAlign w:val="center"/>
            <w:tcMar>
              <w:top w:w="90" w:type="dxa"/>
              <w:left w:w="90" w:type="dxa"/>
              <w:bottom w:w="90" w:type="dxa"/>
              <w:right w:w="90" w:type="dxa"/>
            </w:tcMar>
          </w:tcPr>
          <w:p>
            <w:pPr>
              <w:spacing w:after="40" w:line="276" w:lineRule="auto"/>
            </w:pPr>
            <w:r>
              <w:rPr>
                <w:b w:val="0"/>
                <w:i w:val="0"/>
                <w:sz w:val="18"/>
              </w:rPr>
              <w:t>Weather</w:t>
            </w:r>
          </w:p>
        </w:tc>
        <w:tc>
          <w:tcPr>
            <w:tcW w:type="dxa" w:w="3566"/>
            <w:vAlign w:val="center"/>
            <w:tcMar>
              <w:top w:w="90" w:type="dxa"/>
              <w:left w:w="90" w:type="dxa"/>
              <w:bottom w:w="90" w:type="dxa"/>
              <w:right w:w="90" w:type="dxa"/>
            </w:tcMar>
          </w:tcPr>
          <w:p>
            <w:pPr>
              <w:spacing w:after="40" w:line="276" w:lineRule="auto"/>
            </w:pPr>
            <w:r>
              <w:rPr>
                <w:rFonts w:ascii="DejaVu Sans Mono" w:hAnsi="DejaVu Sans Mono"/>
                <w:b w:val="0"/>
                <w:i w:val="0"/>
                <w:sz w:val="18"/>
              </w:rPr>
              <w:t>calendar_​mean_​solar_​2020_​2024.nc</w:t>
            </w:r>
            <w:r>
              <w:rPr>
                <w:b w:val="0"/>
                <w:i w:val="0"/>
                <w:sz w:val="18"/>
              </w:rPr>
              <w:t xml:space="preserve">, </w:t>
            </w:r>
            <w:r>
              <w:rPr>
                <w:rFonts w:ascii="DejaVu Sans Mono" w:hAnsi="DejaVu Sans Mono"/>
                <w:b w:val="0"/>
                <w:i w:val="0"/>
                <w:sz w:val="18"/>
              </w:rPr>
              <w:t>calendar_​mean_​wind_​2020_​2024.nc</w:t>
            </w:r>
          </w:p>
        </w:tc>
        <w:tc>
          <w:tcPr>
            <w:tcW w:type="dxa" w:w="3566"/>
            <w:vAlign w:val="center"/>
            <w:tcMar>
              <w:top w:w="90" w:type="dxa"/>
              <w:left w:w="90" w:type="dxa"/>
              <w:bottom w:w="90" w:type="dxa"/>
              <w:right w:w="90" w:type="dxa"/>
            </w:tcMar>
          </w:tcPr>
          <w:p>
            <w:pPr>
              <w:spacing w:after="40" w:line="276" w:lineRule="auto"/>
            </w:pPr>
            <w:r>
              <w:rPr>
                <w:b w:val="0"/>
                <w:i w:val="0"/>
                <w:sz w:val="18"/>
              </w:rPr>
              <w:t>Available wind and solar generation at representative points</w:t>
            </w:r>
          </w:p>
        </w:tc>
      </w:tr>
      <w:tr>
        <w:trPr>
          <w:cantSplit/>
        </w:trPr>
        <w:tc>
          <w:tcPr>
            <w:tcW w:type="dxa" w:w="2660"/>
            <w:vAlign w:val="center"/>
            <w:tcMar>
              <w:top w:w="90" w:type="dxa"/>
              <w:left w:w="90" w:type="dxa"/>
              <w:bottom w:w="90" w:type="dxa"/>
              <w:right w:w="90" w:type="dxa"/>
            </w:tcMar>
          </w:tcPr>
          <w:p>
            <w:pPr>
              <w:spacing w:after="40" w:line="276" w:lineRule="auto"/>
            </w:pPr>
            <w:r>
              <w:rPr>
                <w:b w:val="0"/>
                <w:i w:val="0"/>
                <w:sz w:val="18"/>
              </w:rPr>
              <w:t>Technology-average profiles</w:t>
            </w:r>
          </w:p>
        </w:tc>
        <w:tc>
          <w:tcPr>
            <w:tcW w:type="dxa" w:w="3566"/>
            <w:vAlign w:val="center"/>
            <w:tcMar>
              <w:top w:w="90" w:type="dxa"/>
              <w:left w:w="90" w:type="dxa"/>
              <w:bottom w:w="90" w:type="dxa"/>
              <w:right w:w="90" w:type="dxa"/>
            </w:tcMar>
          </w:tcPr>
          <w:p>
            <w:pPr>
              <w:spacing w:after="40" w:line="276" w:lineRule="auto"/>
            </w:pPr>
            <w:r>
              <w:rPr>
                <w:rFonts w:ascii="DejaVu Sans Mono" w:hAnsi="DejaVu Sans Mono"/>
                <w:b w:val="0"/>
                <w:i w:val="0"/>
                <w:sz w:val="18"/>
              </w:rPr>
              <w:t>sa.csv</w:t>
            </w:r>
            <w:r>
              <w:rPr>
                <w:b w:val="0"/>
                <w:i w:val="0"/>
                <w:sz w:val="18"/>
              </w:rPr>
              <w:t xml:space="preserve">, </w:t>
            </w:r>
            <w:r>
              <w:rPr>
                <w:rFonts w:ascii="DejaVu Sans Mono" w:hAnsi="DejaVu Sans Mono"/>
                <w:b w:val="0"/>
                <w:i w:val="0"/>
                <w:sz w:val="18"/>
              </w:rPr>
              <w:t>wa.csv</w:t>
            </w:r>
            <w:r>
              <w:rPr>
                <w:b w:val="0"/>
                <w:i w:val="0"/>
                <w:sz w:val="18"/>
              </w:rPr>
              <w:t xml:space="preserve">, </w:t>
            </w:r>
            <w:r>
              <w:rPr>
                <w:rFonts w:ascii="DejaVu Sans Mono" w:hAnsi="DejaVu Sans Mono"/>
                <w:b w:val="0"/>
                <w:i w:val="0"/>
                <w:sz w:val="18"/>
              </w:rPr>
              <w:t>we.csv</w:t>
            </w:r>
          </w:p>
        </w:tc>
        <w:tc>
          <w:tcPr>
            <w:tcW w:type="dxa" w:w="3566"/>
            <w:vAlign w:val="center"/>
            <w:tcMar>
              <w:top w:w="90" w:type="dxa"/>
              <w:left w:w="90" w:type="dxa"/>
              <w:bottom w:w="90" w:type="dxa"/>
              <w:right w:w="90" w:type="dxa"/>
            </w:tcMar>
          </w:tcPr>
          <w:p>
            <w:pPr>
              <w:spacing w:after="40" w:line="276" w:lineRule="auto"/>
            </w:pPr>
            <w:r>
              <w:rPr>
                <w:b w:val="0"/>
                <w:i w:val="0"/>
                <w:sz w:val="18"/>
              </w:rPr>
              <w:t>Technology-average investment inputs for solar, onshore wind and offshore wind</w:t>
            </w:r>
          </w:p>
        </w:tc>
      </w:tr>
      <w:tr>
        <w:trPr>
          <w:cantSplit/>
        </w:trPr>
        <w:tc>
          <w:tcPr>
            <w:tcW w:type="dxa" w:w="2660"/>
            <w:vAlign w:val="center"/>
            <w:tcMar>
              <w:top w:w="90" w:type="dxa"/>
              <w:left w:w="90" w:type="dxa"/>
              <w:bottom w:w="90" w:type="dxa"/>
              <w:right w:w="90" w:type="dxa"/>
            </w:tcMar>
          </w:tcPr>
          <w:p>
            <w:pPr>
              <w:spacing w:after="40" w:line="276" w:lineRule="auto"/>
            </w:pPr>
            <w:r>
              <w:rPr>
                <w:b w:val="0"/>
                <w:i w:val="0"/>
                <w:sz w:val="18"/>
              </w:rPr>
              <w:t>Capital and policy</w:t>
            </w:r>
          </w:p>
        </w:tc>
        <w:tc>
          <w:tcPr>
            <w:tcW w:type="dxa" w:w="3566"/>
            <w:vAlign w:val="center"/>
            <w:tcMar>
              <w:top w:w="90" w:type="dxa"/>
              <w:left w:w="90" w:type="dxa"/>
              <w:bottom w:w="90" w:type="dxa"/>
              <w:right w:w="90" w:type="dxa"/>
            </w:tcMar>
          </w:tcPr>
          <w:p>
            <w:pPr>
              <w:spacing w:after="40" w:line="276" w:lineRule="auto"/>
            </w:pPr>
            <w:r>
              <w:rPr>
                <w:rFonts w:ascii="DejaVu Sans Mono" w:hAnsi="DejaVu Sans Mono"/>
                <w:b w:val="0"/>
                <w:i w:val="0"/>
                <w:sz w:val="18"/>
              </w:rPr>
              <w:t>capital_costs.json</w:t>
            </w:r>
            <w:r>
              <w:rPr>
                <w:b w:val="0"/>
                <w:i w:val="0"/>
                <w:sz w:val="18"/>
              </w:rPr>
              <w:t xml:space="preserve">, </w:t>
            </w:r>
            <w:r>
              <w:rPr>
                <w:rFonts w:ascii="DejaVu Sans Mono" w:hAnsi="DejaVu Sans Mono"/>
                <w:b w:val="0"/>
                <w:i w:val="0"/>
                <w:sz w:val="18"/>
              </w:rPr>
              <w:t>model_parameters.json</w:t>
            </w:r>
            <w:r>
              <w:rPr>
                <w:b w:val="0"/>
                <w:i w:val="0"/>
                <w:sz w:val="18"/>
              </w:rPr>
              <w:t xml:space="preserve">, </w:t>
            </w:r>
            <w:r>
              <w:rPr>
                <w:rFonts w:ascii="DejaVu Sans Mono" w:hAnsi="DejaVu Sans Mono"/>
                <w:b w:val="0"/>
                <w:i w:val="0"/>
                <w:sz w:val="18"/>
              </w:rPr>
              <w:t>mechansim cost.xlsx</w:t>
            </w:r>
          </w:p>
        </w:tc>
        <w:tc>
          <w:tcPr>
            <w:tcW w:type="dxa" w:w="3566"/>
            <w:vAlign w:val="center"/>
            <w:tcMar>
              <w:top w:w="90" w:type="dxa"/>
              <w:left w:w="90" w:type="dxa"/>
              <w:bottom w:w="90" w:type="dxa"/>
              <w:right w:w="90" w:type="dxa"/>
            </w:tcMar>
          </w:tcPr>
          <w:p>
            <w:pPr>
              <w:spacing w:after="40" w:line="276" w:lineRule="auto"/>
            </w:pPr>
            <w:r>
              <w:rPr>
                <w:b w:val="0"/>
                <w:i w:val="0"/>
                <w:sz w:val="18"/>
              </w:rPr>
              <w:t>Investment costs, financial parameters and policy expenditure</w:t>
            </w:r>
          </w:p>
        </w:tc>
      </w:tr>
      <w:tr>
        <w:trPr>
          <w:cantSplit/>
        </w:trPr>
        <w:tc>
          <w:tcPr>
            <w:tcW w:type="dxa" w:w="2660"/>
            <w:vAlign w:val="center"/>
            <w:tcMar>
              <w:top w:w="90" w:type="dxa"/>
              <w:left w:w="90" w:type="dxa"/>
              <w:bottom w:w="90" w:type="dxa"/>
              <w:right w:w="90" w:type="dxa"/>
            </w:tcMar>
          </w:tcPr>
          <w:p>
            <w:pPr>
              <w:spacing w:after="40" w:line="276" w:lineRule="auto"/>
            </w:pPr>
            <w:r>
              <w:rPr>
                <w:b w:val="0"/>
                <w:i w:val="0"/>
                <w:sz w:val="18"/>
              </w:rPr>
              <w:t>External markets</w:t>
            </w:r>
          </w:p>
        </w:tc>
        <w:tc>
          <w:tcPr>
            <w:tcW w:type="dxa" w:w="3566"/>
            <w:vAlign w:val="center"/>
            <w:tcMar>
              <w:top w:w="90" w:type="dxa"/>
              <w:left w:w="90" w:type="dxa"/>
              <w:bottom w:w="90" w:type="dxa"/>
              <w:right w:w="90" w:type="dxa"/>
            </w:tcMar>
          </w:tcPr>
          <w:p>
            <w:pPr>
              <w:spacing w:after="40" w:line="276" w:lineRule="auto"/>
            </w:pPr>
            <w:r>
              <w:rPr>
                <w:b w:val="0"/>
                <w:i w:val="0"/>
                <w:sz w:val="18"/>
              </w:rPr>
              <w:t xml:space="preserve">Country-specific </w:t>
            </w:r>
            <w:r>
              <w:rPr>
                <w:rFonts w:ascii="DejaVu Sans Mono" w:hAnsi="DejaVu Sans Mono"/>
                <w:b w:val="0"/>
                <w:i w:val="0"/>
                <w:sz w:val="18"/>
              </w:rPr>
              <w:t>flow_mw</w:t>
            </w:r>
            <w:r>
              <w:rPr>
                <w:b w:val="0"/>
                <w:i w:val="0"/>
                <w:sz w:val="18"/>
              </w:rPr>
              <w:t xml:space="preserve">, </w:t>
            </w:r>
            <w:r>
              <w:rPr>
                <w:rFonts w:ascii="DejaVu Sans Mono" w:hAnsi="DejaVu Sans Mono"/>
                <w:b w:val="0"/>
                <w:i w:val="0"/>
                <w:sz w:val="18"/>
              </w:rPr>
              <w:t>price_gbp_per_mwh</w:t>
            </w:r>
          </w:p>
        </w:tc>
        <w:tc>
          <w:tcPr>
            <w:tcW w:type="dxa" w:w="3566"/>
            <w:vAlign w:val="center"/>
            <w:tcMar>
              <w:top w:w="90" w:type="dxa"/>
              <w:left w:w="90" w:type="dxa"/>
              <w:bottom w:w="90" w:type="dxa"/>
              <w:right w:w="90" w:type="dxa"/>
            </w:tcMar>
          </w:tcPr>
          <w:p>
            <w:pPr>
              <w:spacing w:after="40" w:line="276" w:lineRule="auto"/>
            </w:pPr>
            <w:r>
              <w:rPr>
                <w:b w:val="0"/>
                <w:i w:val="0"/>
                <w:sz w:val="18"/>
              </w:rPr>
              <w:t>Available interconnector exchanges and external offers</w:t>
            </w:r>
          </w:p>
        </w:tc>
      </w:tr>
      <w:tr>
        <w:trPr>
          <w:cantSplit/>
        </w:trPr>
        <w:tc>
          <w:tcPr>
            <w:tcW w:type="dxa" w:w="2660"/>
            <w:vAlign w:val="center"/>
            <w:tcMar>
              <w:top w:w="90" w:type="dxa"/>
              <w:left w:w="90" w:type="dxa"/>
              <w:bottom w:w="90" w:type="dxa"/>
              <w:right w:w="90" w:type="dxa"/>
            </w:tcMar>
          </w:tcPr>
          <w:p>
            <w:pPr>
              <w:spacing w:after="40" w:line="276" w:lineRule="auto"/>
            </w:pPr>
            <w:r>
              <w:rPr>
                <w:b w:val="0"/>
                <w:i w:val="0"/>
                <w:sz w:val="18"/>
              </w:rPr>
              <w:t>Zonal network</w:t>
            </w:r>
          </w:p>
        </w:tc>
        <w:tc>
          <w:tcPr>
            <w:tcW w:type="dxa" w:w="3566"/>
            <w:vAlign w:val="center"/>
            <w:tcMar>
              <w:top w:w="90" w:type="dxa"/>
              <w:left w:w="90" w:type="dxa"/>
              <w:bottom w:w="90" w:type="dxa"/>
              <w:right w:w="90" w:type="dxa"/>
            </w:tcMar>
          </w:tcPr>
          <w:p>
            <w:pPr>
              <w:spacing w:after="40" w:line="276" w:lineRule="auto"/>
            </w:pPr>
            <w:r>
              <w:rPr>
                <w:b w:val="0"/>
                <w:i w:val="0"/>
                <w:sz w:val="18"/>
              </w:rPr>
              <w:t>Zones, corridors, boundaries, asset mapping and zonal demand</w:t>
            </w:r>
          </w:p>
        </w:tc>
        <w:tc>
          <w:tcPr>
            <w:tcW w:type="dxa" w:w="3566"/>
            <w:vAlign w:val="center"/>
            <w:tcMar>
              <w:top w:w="90" w:type="dxa"/>
              <w:left w:w="90" w:type="dxa"/>
              <w:bottom w:w="90" w:type="dxa"/>
              <w:right w:w="90" w:type="dxa"/>
            </w:tcMar>
          </w:tcPr>
          <w:p>
            <w:pPr>
              <w:spacing w:after="40" w:line="276" w:lineRule="auto"/>
            </w:pPr>
            <w:r>
              <w:rPr>
                <w:b w:val="0"/>
                <w:i w:val="0"/>
                <w:sz w:val="18"/>
              </w:rPr>
              <w:t>Spatial supply–demand balance and transmission constraints</w:t>
            </w:r>
          </w:p>
        </w:tc>
      </w:tr>
    </w:tbl>
    <w:p>
      <w:pPr>
        <w:spacing w:after="20"/>
      </w:pPr>
    </w:p>
    <w:p>
      <w:pPr>
        <w:pStyle w:val="Heading2"/>
      </w:pPr>
      <w:r>
        <w:rPr>
          <w:b w:val="0"/>
          <w:i w:val="0"/>
        </w:rPr>
        <w:t>Declared reading and annual alignment</w:t>
      </w:r>
    </w:p>
    <w:p>
      <w:r>
        <w:rPr>
          <w:b w:val="0"/>
          <w:i w:val="0"/>
        </w:rPr>
        <w:t xml:space="preserve">Both profiles read a declared </w:t>
      </w:r>
      <w:r>
        <w:rPr>
          <w:rFonts w:ascii="DejaVu Sans Mono" w:hAnsi="DejaVu Sans Mono"/>
          <w:b w:val="0"/>
          <w:i w:val="0"/>
          <w:sz w:val="17"/>
        </w:rPr>
        <w:t>csv_column</w:t>
      </w:r>
      <w:r>
        <w:rPr>
          <w:b w:val="0"/>
          <w:i w:val="0"/>
        </w:rPr>
        <w:t xml:space="preserve"> under its declared </w:t>
      </w:r>
      <w:r>
        <w:rPr>
          <w:rFonts w:ascii="DejaVu Sans Mono" w:hAnsi="DejaVu Sans Mono"/>
          <w:b w:val="0"/>
          <w:i w:val="0"/>
          <w:sz w:val="17"/>
        </w:rPr>
        <w:t>csv_header</w:t>
      </w:r>
      <w:r>
        <w:rPr>
          <w:b w:val="0"/>
          <w:i w:val="0"/>
        </w:rPr>
        <w:t xml:space="preserve"> convention. An implicitly selected integer index column terminates loading. R029 demand and boundary series use this shared reader through </w:t>
      </w:r>
      <w:r>
        <w:rPr>
          <w:rFonts w:ascii="DejaVu Sans Mono" w:hAnsi="DejaVu Sans Mono"/>
          <w:b w:val="0"/>
          <w:i w:val="0"/>
          <w:sz w:val="17"/>
        </w:rPr>
        <w:t>data_method.read_role</w:t>
      </w:r>
      <w:r>
        <w:rPr>
          <w:b w:val="0"/>
          <w:i w:val="0"/>
        </w:rPr>
        <w:t xml:space="preserve"> and </w:t>
      </w:r>
      <w:r>
        <w:rPr>
          <w:rFonts w:ascii="DejaVu Sans Mono" w:hAnsi="DejaVu Sans Mono"/>
          <w:b w:val="0"/>
          <w:i w:val="0"/>
          <w:sz w:val="17"/>
        </w:rPr>
        <w:t>data_​method.read_​boundary</w:t>
      </w:r>
      <w:r>
        <w:rPr>
          <w:b w:val="0"/>
          <w:i w:val="0"/>
        </w:rPr>
        <w:t>.</w:t>
      </w:r>
    </w:p>
    <w:p>
      <w:r>
        <w:rPr>
          <w:b w:val="0"/>
          <w:i w:val="0"/>
        </w:rPr>
        <w:t xml:space="preserve">The corrected methodology uses </w:t>
      </w:r>
      <w:r>
        <w:rPr>
          <w:rFonts w:ascii="DejaVu Sans Mono" w:hAnsi="DejaVu Sans Mono"/>
          <w:b w:val="0"/>
          <w:i w:val="0"/>
          <w:sz w:val="17"/>
        </w:rPr>
        <w:t>declared-v2</w:t>
      </w:r>
      <w:r>
        <w:rPr>
          <w:b w:val="0"/>
          <w:i w:val="0"/>
        </w:rPr>
        <w:t xml:space="preserve">. Without a header declaration, the first row is treated as a header only when all its cells are non-numeric. Without a column declaration, strict reading requires a single wholly numeric column. The source interval is read from </w:t>
      </w:r>
      <w:r>
        <w:rPr>
          <w:rFonts w:ascii="DejaVu Sans Mono" w:hAnsi="DejaVu Sans Mono"/>
          <w:b w:val="0"/>
          <w:i w:val="0"/>
          <w:sz w:val="17"/>
        </w:rPr>
        <w:t>interval_minutes</w:t>
      </w:r>
      <w:r>
        <w:rPr>
          <w:b w:val="0"/>
          <w:i w:val="0"/>
        </w:rPr>
        <w:t>, or inferred as hourly for 8,760 or 8,784 values. Each hourly value then supplies two half-hours.</w:t>
      </w:r>
    </w:p>
    <w:p>
      <w:pPr>
        <w:keepNext/>
      </w:pPr>
      <w:r>
        <w:rPr>
          <w:b w:val="0"/>
          <w:i w:val="0"/>
        </w:rPr>
        <w:t xml:space="preserve">A 17,568-period leap-year demand series loses the 48 periods on 29 February and rescales the remainder to preserve annual energy. </w:t>
      </w:r>
      <w:r>
        <w:rPr>
          <w:rFonts w:ascii="DejaVu Sans Mono" w:hAnsi="DejaVu Sans Mono"/>
          <w:b w:val="0"/>
          <w:i w:val="0"/>
          <w:sz w:val="17"/>
        </w:rPr>
        <w:t>normalize_​half_​hour_​year</w:t>
      </w:r>
      <w:r>
        <w:rPr>
          <w:b w:val="0"/>
          <w:i w:val="0"/>
        </w:rPr>
        <w:t xml:space="preserve"> reads the source as </w:t>
      </w:r>
      <w:r>
        <w:rPr>
          <w:rFonts w:ascii="DejaVu Sans Mono" w:hAnsi="DejaVu Sans Mono"/>
          <w:b w:val="0"/>
          <w:i w:val="0"/>
          <w:sz w:val="17"/>
        </w:rPr>
        <w:t>numbers</w:t>
      </w:r>
      <w:r>
        <w:rPr>
          <w:b w:val="0"/>
          <w:i w:val="0"/>
        </w:rPr>
        <w:t xml:space="preserve"> and stores the retained values as </w:t>
      </w:r>
      <w:r>
        <w:rPr>
          <w:rFonts w:ascii="DejaVu Sans Mono" w:hAnsi="DejaVu Sans Mono"/>
          <w:b w:val="0"/>
          <w:i w:val="0"/>
          <w:sz w:val="17"/>
        </w:rPr>
        <w:t>reduced</w:t>
      </w:r>
      <w:r>
        <w:rPr>
          <w:b w:val="0"/>
          <w:i w:val="0"/>
        </w:rPr>
        <w:t>. With a positive retained total, it returns</w:t>
      </w:r>
    </w:p>
    <w:p>
      <w:pPr>
        <w:spacing w:after="160"/>
        <w:jc w:val="center"/>
      </w:pPr>
      <w:r>
        <w:drawing>
          <wp:inline xmlns:a="http://schemas.openxmlformats.org/drawingml/2006/main" xmlns:pic="http://schemas.openxmlformats.org/drawingml/2006/picture">
            <wp:extent cx="6217920" cy="712353"/>
            <wp:docPr id="2" name="Picture 2"/>
            <wp:cNvGraphicFramePr>
              <a:graphicFrameLocks noChangeAspect="1"/>
            </wp:cNvGraphicFramePr>
            <a:graphic>
              <a:graphicData uri="http://schemas.openxmlformats.org/drawingml/2006/picture">
                <pic:pic>
                  <pic:nvPicPr>
                    <pic:cNvPr id="0" name="eq-002.png"/>
                    <pic:cNvPicPr/>
                  </pic:nvPicPr>
                  <pic:blipFill>
                    <a:blip r:embed="rId12"/>
                    <a:stretch>
                      <a:fillRect/>
                    </a:stretch>
                  </pic:blipFill>
                  <pic:spPr>
                    <a:xfrm>
                      <a:off x="0" y="0"/>
                      <a:ext cx="6217920" cy="712353"/>
                    </a:xfrm>
                    <a:prstGeom prst="rect"/>
                  </pic:spPr>
                </pic:pic>
              </a:graphicData>
            </a:graphic>
          </wp:inline>
        </w:drawing>
      </w:r>
    </w:p>
    <w:p>
      <w:r>
        <w:rPr>
          <w:b w:val="0"/>
          <w:i w:val="0"/>
        </w:rPr>
        <w:t xml:space="preserve">A zero retained sum with a non-zero original sum terminates reading; an all-zero series remains zero. Other roles remove the leap day without energy rescaling. The binding may explicitly retain the leap day through </w:t>
      </w:r>
      <w:r>
        <w:rPr>
          <w:rFonts w:ascii="DejaVu Sans Mono" w:hAnsi="DejaVu Sans Mono"/>
          <w:b w:val="0"/>
          <w:i w:val="0"/>
          <w:sz w:val="17"/>
        </w:rPr>
        <w:t>leap_policy=keep</w:t>
      </w:r>
      <w:r>
        <w:rPr>
          <w:b w:val="0"/>
          <w:i w:val="0"/>
        </w:rPr>
        <w:t>, in which case the run takes its required leading periods.</w:t>
      </w:r>
    </w:p>
    <w:p>
      <w:r>
        <w:rPr>
          <w:b w:val="0"/>
          <w:i w:val="0"/>
        </w:rPr>
        <w:t>Strict reading truncates a sufficiently long series to the run length and repeats a shorter series only when cycling is declared or supplied by the role convention. Boundary roles use this cycling convention. Corrected non-workspace packages use strict reading; user workspace packages use lenient reading and repeat a shorter sequence from the beginning. Mapping requires confirmation of that repetition.</w:t>
      </w:r>
    </w:p>
    <w:p>
      <w:pPr>
        <w:keepLines/>
        <w:spacing w:line="276" w:lineRule="auto" w:after="160"/>
      </w:pPr>
      <w:r>
        <w:rPr>
          <w:rFonts w:ascii="DejaVu Sans Mono" w:hAnsi="DejaVu Sans Mono"/>
          <w:b w:val="0"/>
          <w:i w:val="0"/>
          <w:sz w:val="17"/>
        </w:rPr>
        <w:t>read = read_series(path, spec, mode=policy.reader_​mode,</w:t>
        <w:br/>
        <w:t xml:space="preserve">                   strictness=policy.strictness, legacy_header=header)</w:t>
        <w:br/>
        <w:t>values = align_​clock(read.values, periods, spec, mode=policy.clock_mode,</w:t>
        <w:br/>
        <w:t xml:space="preserve">                     strictness=policy.strictness,</w:t>
        <w:br/>
        <w:t xml:space="preserve">                     hourly_​repeat=hourly_​repeat, cyclic_default=cyclic)</w:t>
        <w:br/>
        <w:t>return values</w:t>
        <w:br/>
      </w:r>
    </w:p>
    <w:p>
      <w:r>
        <w:rPr>
          <w:b w:val="0"/>
          <w:i w:val="0"/>
        </w:rPr>
        <w:t xml:space="preserve">The doctoral reproduction profile uses </w:t>
      </w:r>
      <w:r>
        <w:rPr>
          <w:rFonts w:ascii="DejaVu Sans Mono" w:hAnsi="DejaVu Sans Mono"/>
          <w:b w:val="0"/>
          <w:i w:val="0"/>
          <w:sz w:val="17"/>
        </w:rPr>
        <w:t>legacy-v1</w:t>
      </w:r>
      <w:r>
        <w:rPr>
          <w:b w:val="0"/>
          <w:i w:val="0"/>
        </w:rPr>
        <w:t>: its role-specific header settings, largest-numeric-column selection and short-series repetition remain active alongside declared-column reading. In GBP1 public1, the headerless forecast's first value, 21,560, is consumed as a header, so forecast values lead the actual series by one period. The corrected reader retains this first value as data.</w:t>
      </w:r>
    </w:p>
    <w:p>
      <w:pPr>
        <w:pStyle w:val="Heading2"/>
      </w:pPr>
      <w:r>
        <w:rPr>
          <w:b w:val="0"/>
          <w:i w:val="0"/>
        </w:rPr>
        <w:t>Demand series and calendar processing</w:t>
      </w:r>
    </w:p>
    <w:p>
      <w:r>
        <w:rPr>
          <w:b w:val="0"/>
          <w:i w:val="0"/>
        </w:rPr>
        <w:t xml:space="preserve">R029 uses NESO's 2022 day-ahead half-hourly demand forecasts and corresponding actual demand as the base demand shapes for model years. GBP1 demand uses the same UTC preprocessing rules in both profiles. </w:t>
      </w:r>
      <w:r>
        <w:rPr>
          <w:rFonts w:ascii="DejaVu Sans Mono" w:hAnsi="DejaVu Sans Mono"/>
          <w:b w:val="0"/>
          <w:i w:val="0"/>
          <w:sz w:val="17"/>
        </w:rPr>
        <w:t>actual_mw.csv</w:t>
      </w:r>
      <w:r>
        <w:rPr>
          <w:b w:val="0"/>
          <w:i w:val="0"/>
        </w:rPr>
        <w:t xml:space="preserve"> and </w:t>
      </w:r>
      <w:r>
        <w:rPr>
          <w:rFonts w:ascii="DejaVu Sans Mono" w:hAnsi="DejaVu Sans Mono"/>
          <w:b w:val="0"/>
          <w:i w:val="0"/>
          <w:sz w:val="17"/>
        </w:rPr>
        <w:t>forecast_mw.csv</w:t>
      </w:r>
      <w:r>
        <w:rPr>
          <w:b w:val="0"/>
          <w:i w:val="0"/>
        </w:rPr>
        <w:t xml:space="preserve"> each contain 17,520 rows. Their initial statistics are given below; subsequent scenario scaling acts on these base shapes.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51"/>
        <w:gridCol w:w="1960"/>
        <w:gridCol w:w="1960"/>
        <w:gridCol w:w="1815"/>
        <w:gridCol w:w="2006"/>
      </w:tblGrid>
      <w:tr>
        <w:trPr>
          <w:cantSplit/>
          <w:tblHeader w:val="true"/>
        </w:trPr>
        <w:tc>
          <w:tcPr>
            <w:tcW w:type="dxa" w:w="2051"/>
            <w:vAlign w:val="center"/>
            <w:tcMar>
              <w:top w:w="90" w:type="dxa"/>
              <w:left w:w="90" w:type="dxa"/>
              <w:bottom w:w="90" w:type="dxa"/>
              <w:right w:w="90" w:type="dxa"/>
            </w:tcMar>
            <w:shd w:fill="EEEEEE"/>
          </w:tcPr>
          <w:p>
            <w:pPr>
              <w:spacing w:after="40" w:line="276" w:lineRule="auto"/>
            </w:pPr>
            <w:r>
              <w:rPr>
                <w:b/>
                <w:i w:val="0"/>
                <w:sz w:val="18"/>
              </w:rPr>
              <w:t>Series</w:t>
            </w:r>
          </w:p>
        </w:tc>
        <w:tc>
          <w:tcPr>
            <w:tcW w:type="dxa" w:w="1960"/>
            <w:vAlign w:val="center"/>
            <w:tcMar>
              <w:top w:w="90" w:type="dxa"/>
              <w:left w:w="90" w:type="dxa"/>
              <w:bottom w:w="90" w:type="dxa"/>
              <w:right w:w="90" w:type="dxa"/>
            </w:tcMar>
            <w:shd w:fill="EEEEEE"/>
          </w:tcPr>
          <w:p>
            <w:pPr>
              <w:spacing w:after="40" w:line="276" w:lineRule="auto"/>
            </w:pPr>
            <w:r>
              <w:rPr>
                <w:b/>
                <w:i w:val="0"/>
                <w:sz w:val="18"/>
              </w:rPr>
              <w:t>Minimum power MW</w:t>
            </w:r>
          </w:p>
        </w:tc>
        <w:tc>
          <w:tcPr>
            <w:tcW w:type="dxa" w:w="1960"/>
            <w:vAlign w:val="center"/>
            <w:tcMar>
              <w:top w:w="90" w:type="dxa"/>
              <w:left w:w="90" w:type="dxa"/>
              <w:bottom w:w="90" w:type="dxa"/>
              <w:right w:w="90" w:type="dxa"/>
            </w:tcMar>
            <w:shd w:fill="EEEEEE"/>
          </w:tcPr>
          <w:p>
            <w:pPr>
              <w:spacing w:after="40" w:line="276" w:lineRule="auto"/>
            </w:pPr>
            <w:r>
              <w:rPr>
                <w:b/>
                <w:i w:val="0"/>
                <w:sz w:val="18"/>
              </w:rPr>
              <w:t>Maximum power MW</w:t>
            </w:r>
          </w:p>
        </w:tc>
        <w:tc>
          <w:tcPr>
            <w:tcW w:type="dxa" w:w="1815"/>
            <w:vAlign w:val="center"/>
            <w:tcMar>
              <w:top w:w="90" w:type="dxa"/>
              <w:left w:w="90" w:type="dxa"/>
              <w:bottom w:w="90" w:type="dxa"/>
              <w:right w:w="90" w:type="dxa"/>
            </w:tcMar>
            <w:shd w:fill="EEEEEE"/>
          </w:tcPr>
          <w:p>
            <w:pPr>
              <w:spacing w:after="40" w:line="276" w:lineRule="auto"/>
            </w:pPr>
            <w:r>
              <w:rPr>
                <w:b/>
                <w:i w:val="0"/>
                <w:sz w:val="18"/>
              </w:rPr>
              <w:t>Mean power MW</w:t>
            </w:r>
          </w:p>
        </w:tc>
        <w:tc>
          <w:tcPr>
            <w:tcW w:type="dxa" w:w="2006"/>
            <w:vAlign w:val="center"/>
            <w:tcMar>
              <w:top w:w="90" w:type="dxa"/>
              <w:left w:w="90" w:type="dxa"/>
              <w:bottom w:w="90" w:type="dxa"/>
              <w:right w:w="90" w:type="dxa"/>
            </w:tcMar>
            <w:shd w:fill="EEEEEE"/>
          </w:tcPr>
          <w:p>
            <w:pPr>
              <w:spacing w:after="40" w:line="276" w:lineRule="auto"/>
            </w:pPr>
            <w:r>
              <w:rPr>
                <w:b/>
                <w:i w:val="0"/>
                <w:sz w:val="18"/>
              </w:rPr>
              <w:t>Annual energy MWh</w:t>
            </w:r>
          </w:p>
        </w:tc>
      </w:tr>
      <w:tr>
        <w:trPr>
          <w:cantSplit/>
        </w:trPr>
        <w:tc>
          <w:tcPr>
            <w:tcW w:type="dxa" w:w="2051"/>
            <w:vAlign w:val="center"/>
            <w:tcMar>
              <w:top w:w="90" w:type="dxa"/>
              <w:left w:w="90" w:type="dxa"/>
              <w:bottom w:w="90" w:type="dxa"/>
              <w:right w:w="90" w:type="dxa"/>
            </w:tcMar>
          </w:tcPr>
          <w:p>
            <w:pPr>
              <w:spacing w:after="40" w:line="276" w:lineRule="auto"/>
            </w:pPr>
            <w:r>
              <w:rPr>
                <w:b w:val="0"/>
                <w:i w:val="0"/>
                <w:sz w:val="18"/>
              </w:rPr>
              <w:t>Actual demand</w:t>
            </w:r>
          </w:p>
        </w:tc>
        <w:tc>
          <w:tcPr>
            <w:tcW w:type="dxa" w:w="1960"/>
            <w:vAlign w:val="center"/>
            <w:tcMar>
              <w:top w:w="90" w:type="dxa"/>
              <w:left w:w="90" w:type="dxa"/>
              <w:bottom w:w="90" w:type="dxa"/>
              <w:right w:w="90" w:type="dxa"/>
            </w:tcMar>
          </w:tcPr>
          <w:p>
            <w:pPr>
              <w:spacing w:after="40" w:line="276" w:lineRule="auto"/>
            </w:pPr>
            <w:r>
              <w:rPr>
                <w:b w:val="0"/>
                <w:i w:val="0"/>
                <w:sz w:val="18"/>
              </w:rPr>
              <w:t>15,080</w:t>
            </w:r>
          </w:p>
        </w:tc>
        <w:tc>
          <w:tcPr>
            <w:tcW w:type="dxa" w:w="1960"/>
            <w:vAlign w:val="center"/>
            <w:tcMar>
              <w:top w:w="90" w:type="dxa"/>
              <w:left w:w="90" w:type="dxa"/>
              <w:bottom w:w="90" w:type="dxa"/>
              <w:right w:w="90" w:type="dxa"/>
            </w:tcMar>
          </w:tcPr>
          <w:p>
            <w:pPr>
              <w:spacing w:after="40" w:line="276" w:lineRule="auto"/>
            </w:pPr>
            <w:r>
              <w:rPr>
                <w:b w:val="0"/>
                <w:i w:val="0"/>
                <w:sz w:val="18"/>
              </w:rPr>
              <w:t>46,042</w:t>
            </w:r>
          </w:p>
        </w:tc>
        <w:tc>
          <w:tcPr>
            <w:tcW w:type="dxa" w:w="1815"/>
            <w:vAlign w:val="center"/>
            <w:tcMar>
              <w:top w:w="90" w:type="dxa"/>
              <w:left w:w="90" w:type="dxa"/>
              <w:bottom w:w="90" w:type="dxa"/>
              <w:right w:w="90" w:type="dxa"/>
            </w:tcMar>
          </w:tcPr>
          <w:p>
            <w:pPr>
              <w:spacing w:after="40" w:line="276" w:lineRule="auto"/>
            </w:pPr>
            <w:r>
              <w:rPr>
                <w:b w:val="0"/>
                <w:i w:val="0"/>
                <w:sz w:val="18"/>
              </w:rPr>
              <w:t>26,587.967637</w:t>
            </w:r>
          </w:p>
        </w:tc>
        <w:tc>
          <w:tcPr>
            <w:tcW w:type="dxa" w:w="2006"/>
            <w:vAlign w:val="center"/>
            <w:tcMar>
              <w:top w:w="90" w:type="dxa"/>
              <w:left w:w="90" w:type="dxa"/>
              <w:bottom w:w="90" w:type="dxa"/>
              <w:right w:w="90" w:type="dxa"/>
            </w:tcMar>
          </w:tcPr>
          <w:p>
            <w:pPr>
              <w:spacing w:after="40" w:line="276" w:lineRule="auto"/>
            </w:pPr>
            <w:r>
              <w:rPr>
                <w:b w:val="0"/>
                <w:i w:val="0"/>
                <w:sz w:val="18"/>
              </w:rPr>
              <w:t>232,910,596.5</w:t>
            </w:r>
          </w:p>
        </w:tc>
      </w:tr>
      <w:tr>
        <w:trPr>
          <w:cantSplit/>
        </w:trPr>
        <w:tc>
          <w:tcPr>
            <w:tcW w:type="dxa" w:w="2051"/>
            <w:vAlign w:val="center"/>
            <w:tcMar>
              <w:top w:w="90" w:type="dxa"/>
              <w:left w:w="90" w:type="dxa"/>
              <w:bottom w:w="90" w:type="dxa"/>
              <w:right w:w="90" w:type="dxa"/>
            </w:tcMar>
          </w:tcPr>
          <w:p>
            <w:pPr>
              <w:spacing w:after="40" w:line="276" w:lineRule="auto"/>
            </w:pPr>
            <w:r>
              <w:rPr>
                <w:b w:val="0"/>
                <w:i w:val="0"/>
                <w:sz w:val="18"/>
              </w:rPr>
              <w:t>Day-ahead forecast</w:t>
            </w:r>
          </w:p>
        </w:tc>
        <w:tc>
          <w:tcPr>
            <w:tcW w:type="dxa" w:w="1960"/>
            <w:vAlign w:val="center"/>
            <w:tcMar>
              <w:top w:w="90" w:type="dxa"/>
              <w:left w:w="90" w:type="dxa"/>
              <w:bottom w:w="90" w:type="dxa"/>
              <w:right w:w="90" w:type="dxa"/>
            </w:tcMar>
          </w:tcPr>
          <w:p>
            <w:pPr>
              <w:spacing w:after="40" w:line="276" w:lineRule="auto"/>
            </w:pPr>
            <w:r>
              <w:rPr>
                <w:b w:val="0"/>
                <w:i w:val="0"/>
                <w:sz w:val="18"/>
              </w:rPr>
              <w:t>14,240</w:t>
            </w:r>
          </w:p>
        </w:tc>
        <w:tc>
          <w:tcPr>
            <w:tcW w:type="dxa" w:w="1960"/>
            <w:vAlign w:val="center"/>
            <w:tcMar>
              <w:top w:w="90" w:type="dxa"/>
              <w:left w:w="90" w:type="dxa"/>
              <w:bottom w:w="90" w:type="dxa"/>
              <w:right w:w="90" w:type="dxa"/>
            </w:tcMar>
          </w:tcPr>
          <w:p>
            <w:pPr>
              <w:spacing w:after="40" w:line="276" w:lineRule="auto"/>
            </w:pPr>
            <w:r>
              <w:rPr>
                <w:b w:val="0"/>
                <w:i w:val="0"/>
                <w:sz w:val="18"/>
              </w:rPr>
              <w:t>46,760</w:t>
            </w:r>
          </w:p>
        </w:tc>
        <w:tc>
          <w:tcPr>
            <w:tcW w:type="dxa" w:w="1815"/>
            <w:vAlign w:val="center"/>
            <w:tcMar>
              <w:top w:w="90" w:type="dxa"/>
              <w:left w:w="90" w:type="dxa"/>
              <w:bottom w:w="90" w:type="dxa"/>
              <w:right w:w="90" w:type="dxa"/>
            </w:tcMar>
          </w:tcPr>
          <w:p>
            <w:pPr>
              <w:spacing w:after="40" w:line="276" w:lineRule="auto"/>
            </w:pPr>
            <w:r>
              <w:rPr>
                <w:b w:val="0"/>
                <w:i w:val="0"/>
                <w:sz w:val="18"/>
              </w:rPr>
              <w:t>26,611.131963</w:t>
            </w:r>
          </w:p>
        </w:tc>
        <w:tc>
          <w:tcPr>
            <w:tcW w:type="dxa" w:w="2006"/>
            <w:vAlign w:val="center"/>
            <w:tcMar>
              <w:top w:w="90" w:type="dxa"/>
              <w:left w:w="90" w:type="dxa"/>
              <w:bottom w:w="90" w:type="dxa"/>
              <w:right w:w="90" w:type="dxa"/>
            </w:tcMar>
          </w:tcPr>
          <w:p>
            <w:pPr>
              <w:spacing w:after="40" w:line="276" w:lineRule="auto"/>
            </w:pPr>
            <w:r>
              <w:rPr>
                <w:b w:val="0"/>
                <w:i w:val="0"/>
                <w:sz w:val="18"/>
              </w:rPr>
              <w:t>233,113,516</w:t>
            </w:r>
          </w:p>
        </w:tc>
      </w:tr>
    </w:tbl>
    <w:p>
      <w:pPr>
        <w:spacing w:after="20"/>
      </w:pPr>
    </w:p>
    <w:p>
      <w:r>
        <w:rPr>
          <w:b w:val="0"/>
          <w:i w:val="0"/>
        </w:rPr>
        <w:t>Demand preprocessing identifies duplicate records by settlement date and period, then converts UK local dates to a UTC time axis. For a given settlement period, it retains the latest publication; equal publication times are resolved by retaining the last row. The original 17,518 rows become 17,516 after duplicate consolidation, and four missing half-hours are filled by linear interpolation in UTC.</w:t>
      </w:r>
    </w:p>
    <w:p>
      <w:r>
        <w:rPr>
          <w:b w:val="0"/>
          <w:i w:val="0"/>
        </w:rPr>
        <w:t>Linear interpolation divides the difference between the two known endpoint values into equal increments. A gap of one half-hour receives the endpoint mean. A gap of two half-hours receives the values one-third and two-thirds of the way from the preceding observation to the following observation.</w:t>
      </w:r>
    </w:p>
    <w:p>
      <w:r>
        <w:rPr>
          <w:b w:val="0"/>
          <w:i w:val="0"/>
        </w:rPr>
        <w:t>Each gap in the 2022 input contains at most two consecutive periods, and all filled values occur on 30 October. The table reports MW values to six decimal places.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98"/>
        <w:gridCol w:w="3396"/>
        <w:gridCol w:w="3198"/>
      </w:tblGrid>
      <w:tr>
        <w:trPr>
          <w:cantSplit/>
          <w:tblHeader w:val="true"/>
        </w:trPr>
        <w:tc>
          <w:tcPr>
            <w:tcW w:type="dxa" w:w="3198"/>
            <w:vAlign w:val="center"/>
            <w:tcMar>
              <w:top w:w="90" w:type="dxa"/>
              <w:left w:w="90" w:type="dxa"/>
              <w:bottom w:w="90" w:type="dxa"/>
              <w:right w:w="90" w:type="dxa"/>
            </w:tcMar>
            <w:shd w:fill="EEEEEE"/>
          </w:tcPr>
          <w:p>
            <w:pPr>
              <w:spacing w:after="40" w:line="276" w:lineRule="auto"/>
            </w:pPr>
            <w:r>
              <w:rPr>
                <w:b/>
                <w:i w:val="0"/>
                <w:sz w:val="18"/>
              </w:rPr>
              <w:t>UTC time</w:t>
            </w:r>
          </w:p>
        </w:tc>
        <w:tc>
          <w:tcPr>
            <w:tcW w:type="dxa" w:w="3396"/>
            <w:vAlign w:val="center"/>
            <w:tcMar>
              <w:top w:w="90" w:type="dxa"/>
              <w:left w:w="90" w:type="dxa"/>
              <w:bottom w:w="90" w:type="dxa"/>
              <w:right w:w="90" w:type="dxa"/>
            </w:tcMar>
            <w:shd w:fill="EEEEEE"/>
          </w:tcPr>
          <w:p>
            <w:pPr>
              <w:spacing w:after="40" w:line="276" w:lineRule="auto"/>
            </w:pPr>
            <w:r>
              <w:rPr>
                <w:b/>
                <w:i w:val="0"/>
                <w:sz w:val="18"/>
              </w:rPr>
              <w:t>Forecast demand MW</w:t>
            </w:r>
          </w:p>
        </w:tc>
        <w:tc>
          <w:tcPr>
            <w:tcW w:type="dxa" w:w="3198"/>
            <w:vAlign w:val="center"/>
            <w:tcMar>
              <w:top w:w="90" w:type="dxa"/>
              <w:left w:w="90" w:type="dxa"/>
              <w:bottom w:w="90" w:type="dxa"/>
              <w:right w:w="90" w:type="dxa"/>
            </w:tcMar>
            <w:shd w:fill="EEEEEE"/>
          </w:tcPr>
          <w:p>
            <w:pPr>
              <w:spacing w:after="40" w:line="276" w:lineRule="auto"/>
            </w:pPr>
            <w:r>
              <w:rPr>
                <w:b/>
                <w:i w:val="0"/>
                <w:sz w:val="18"/>
              </w:rPr>
              <w:t>Actual demand MW</w:t>
            </w:r>
          </w:p>
        </w:tc>
      </w:tr>
      <w:tr>
        <w:trPr>
          <w:cantSplit/>
        </w:trPr>
        <w:tc>
          <w:tcPr>
            <w:tcW w:type="dxa" w:w="3198"/>
            <w:vAlign w:val="center"/>
            <w:tcMar>
              <w:top w:w="90" w:type="dxa"/>
              <w:left w:w="90" w:type="dxa"/>
              <w:bottom w:w="90" w:type="dxa"/>
              <w:right w:w="90" w:type="dxa"/>
            </w:tcMar>
          </w:tcPr>
          <w:p>
            <w:pPr>
              <w:spacing w:after="40" w:line="276" w:lineRule="auto"/>
            </w:pPr>
            <w:r>
              <w:rPr>
                <w:b w:val="0"/>
                <w:i w:val="0"/>
                <w:sz w:val="18"/>
              </w:rPr>
              <w:t>2022-10-30 09:00</w:t>
            </w:r>
          </w:p>
        </w:tc>
        <w:tc>
          <w:tcPr>
            <w:tcW w:type="dxa" w:w="3396"/>
            <w:vAlign w:val="center"/>
            <w:tcMar>
              <w:top w:w="90" w:type="dxa"/>
              <w:left w:w="90" w:type="dxa"/>
              <w:bottom w:w="90" w:type="dxa"/>
              <w:right w:w="90" w:type="dxa"/>
            </w:tcMar>
          </w:tcPr>
          <w:p>
            <w:pPr>
              <w:spacing w:after="40" w:line="276" w:lineRule="auto"/>
            </w:pPr>
            <w:r>
              <w:rPr>
                <w:b w:val="0"/>
                <w:i w:val="0"/>
                <w:sz w:val="18"/>
              </w:rPr>
              <w:t>22,638.666667</w:t>
            </w:r>
          </w:p>
        </w:tc>
        <w:tc>
          <w:tcPr>
            <w:tcW w:type="dxa" w:w="3198"/>
            <w:vAlign w:val="center"/>
            <w:tcMar>
              <w:top w:w="90" w:type="dxa"/>
              <w:left w:w="90" w:type="dxa"/>
              <w:bottom w:w="90" w:type="dxa"/>
              <w:right w:w="90" w:type="dxa"/>
            </w:tcMar>
          </w:tcPr>
          <w:p>
            <w:pPr>
              <w:spacing w:after="40" w:line="276" w:lineRule="auto"/>
            </w:pPr>
            <w:r>
              <w:rPr>
                <w:b w:val="0"/>
                <w:i w:val="0"/>
                <w:sz w:val="18"/>
              </w:rPr>
              <w:t>24,649</w:t>
            </w:r>
          </w:p>
        </w:tc>
      </w:tr>
      <w:tr>
        <w:trPr>
          <w:cantSplit/>
        </w:trPr>
        <w:tc>
          <w:tcPr>
            <w:tcW w:type="dxa" w:w="3198"/>
            <w:vAlign w:val="center"/>
            <w:tcMar>
              <w:top w:w="90" w:type="dxa"/>
              <w:left w:w="90" w:type="dxa"/>
              <w:bottom w:w="90" w:type="dxa"/>
              <w:right w:w="90" w:type="dxa"/>
            </w:tcMar>
          </w:tcPr>
          <w:p>
            <w:pPr>
              <w:spacing w:after="40" w:line="276" w:lineRule="auto"/>
            </w:pPr>
            <w:r>
              <w:rPr>
                <w:b w:val="0"/>
                <w:i w:val="0"/>
                <w:sz w:val="18"/>
              </w:rPr>
              <w:t>2022-10-30 09:30</w:t>
            </w:r>
          </w:p>
        </w:tc>
        <w:tc>
          <w:tcPr>
            <w:tcW w:type="dxa" w:w="3396"/>
            <w:vAlign w:val="center"/>
            <w:tcMar>
              <w:top w:w="90" w:type="dxa"/>
              <w:left w:w="90" w:type="dxa"/>
              <w:bottom w:w="90" w:type="dxa"/>
              <w:right w:w="90" w:type="dxa"/>
            </w:tcMar>
          </w:tcPr>
          <w:p>
            <w:pPr>
              <w:spacing w:after="40" w:line="276" w:lineRule="auto"/>
            </w:pPr>
            <w:r>
              <w:rPr>
                <w:b w:val="0"/>
                <w:i w:val="0"/>
                <w:sz w:val="18"/>
              </w:rPr>
              <w:t>22,899.333333</w:t>
            </w:r>
          </w:p>
        </w:tc>
        <w:tc>
          <w:tcPr>
            <w:tcW w:type="dxa" w:w="3198"/>
            <w:vAlign w:val="center"/>
            <w:tcMar>
              <w:top w:w="90" w:type="dxa"/>
              <w:left w:w="90" w:type="dxa"/>
              <w:bottom w:w="90" w:type="dxa"/>
              <w:right w:w="90" w:type="dxa"/>
            </w:tcMar>
          </w:tcPr>
          <w:p>
            <w:pPr>
              <w:spacing w:after="40" w:line="276" w:lineRule="auto"/>
            </w:pPr>
            <w:r>
              <w:rPr>
                <w:b w:val="0"/>
                <w:i w:val="0"/>
                <w:sz w:val="18"/>
              </w:rPr>
              <w:t>24,727</w:t>
            </w:r>
          </w:p>
        </w:tc>
      </w:tr>
      <w:tr>
        <w:trPr>
          <w:cantSplit/>
        </w:trPr>
        <w:tc>
          <w:tcPr>
            <w:tcW w:type="dxa" w:w="3198"/>
            <w:vAlign w:val="center"/>
            <w:tcMar>
              <w:top w:w="90" w:type="dxa"/>
              <w:left w:w="90" w:type="dxa"/>
              <w:bottom w:w="90" w:type="dxa"/>
              <w:right w:w="90" w:type="dxa"/>
            </w:tcMar>
          </w:tcPr>
          <w:p>
            <w:pPr>
              <w:spacing w:after="40" w:line="276" w:lineRule="auto"/>
            </w:pPr>
            <w:r>
              <w:rPr>
                <w:b w:val="0"/>
                <w:i w:val="0"/>
                <w:sz w:val="18"/>
              </w:rPr>
              <w:t>2022-10-30 23:00</w:t>
            </w:r>
          </w:p>
        </w:tc>
        <w:tc>
          <w:tcPr>
            <w:tcW w:type="dxa" w:w="3396"/>
            <w:vAlign w:val="center"/>
            <w:tcMar>
              <w:top w:w="90" w:type="dxa"/>
              <w:left w:w="90" w:type="dxa"/>
              <w:bottom w:w="90" w:type="dxa"/>
              <w:right w:w="90" w:type="dxa"/>
            </w:tcMar>
          </w:tcPr>
          <w:p>
            <w:pPr>
              <w:spacing w:after="40" w:line="276" w:lineRule="auto"/>
            </w:pPr>
            <w:r>
              <w:rPr>
                <w:b w:val="0"/>
                <w:i w:val="0"/>
                <w:sz w:val="18"/>
              </w:rPr>
              <w:t>19,063.333333</w:t>
            </w:r>
          </w:p>
        </w:tc>
        <w:tc>
          <w:tcPr>
            <w:tcW w:type="dxa" w:w="3198"/>
            <w:vAlign w:val="center"/>
            <w:tcMar>
              <w:top w:w="90" w:type="dxa"/>
              <w:left w:w="90" w:type="dxa"/>
              <w:bottom w:w="90" w:type="dxa"/>
              <w:right w:w="90" w:type="dxa"/>
            </w:tcMar>
          </w:tcPr>
          <w:p>
            <w:pPr>
              <w:spacing w:after="40" w:line="276" w:lineRule="auto"/>
            </w:pPr>
            <w:r>
              <w:rPr>
                <w:b w:val="0"/>
                <w:i w:val="0"/>
                <w:sz w:val="18"/>
              </w:rPr>
              <w:t>20,494.666667</w:t>
            </w:r>
          </w:p>
        </w:tc>
      </w:tr>
      <w:tr>
        <w:trPr>
          <w:cantSplit/>
        </w:trPr>
        <w:tc>
          <w:tcPr>
            <w:tcW w:type="dxa" w:w="3198"/>
            <w:vAlign w:val="center"/>
            <w:tcMar>
              <w:top w:w="90" w:type="dxa"/>
              <w:left w:w="90" w:type="dxa"/>
              <w:bottom w:w="90" w:type="dxa"/>
              <w:right w:w="90" w:type="dxa"/>
            </w:tcMar>
          </w:tcPr>
          <w:p>
            <w:pPr>
              <w:spacing w:after="40" w:line="276" w:lineRule="auto"/>
            </w:pPr>
            <w:r>
              <w:rPr>
                <w:b w:val="0"/>
                <w:i w:val="0"/>
                <w:sz w:val="18"/>
              </w:rPr>
              <w:t>2022-10-30 23:30</w:t>
            </w:r>
          </w:p>
        </w:tc>
        <w:tc>
          <w:tcPr>
            <w:tcW w:type="dxa" w:w="3396"/>
            <w:vAlign w:val="center"/>
            <w:tcMar>
              <w:top w:w="90" w:type="dxa"/>
              <w:left w:w="90" w:type="dxa"/>
              <w:bottom w:w="90" w:type="dxa"/>
              <w:right w:w="90" w:type="dxa"/>
            </w:tcMar>
          </w:tcPr>
          <w:p>
            <w:pPr>
              <w:spacing w:after="40" w:line="276" w:lineRule="auto"/>
            </w:pPr>
            <w:r>
              <w:rPr>
                <w:b w:val="0"/>
                <w:i w:val="0"/>
                <w:sz w:val="18"/>
              </w:rPr>
              <w:t>19,086.666667</w:t>
            </w:r>
          </w:p>
        </w:tc>
        <w:tc>
          <w:tcPr>
            <w:tcW w:type="dxa" w:w="3198"/>
            <w:vAlign w:val="center"/>
            <w:tcMar>
              <w:top w:w="90" w:type="dxa"/>
              <w:left w:w="90" w:type="dxa"/>
              <w:bottom w:w="90" w:type="dxa"/>
              <w:right w:w="90" w:type="dxa"/>
            </w:tcMar>
          </w:tcPr>
          <w:p>
            <w:pPr>
              <w:spacing w:after="40" w:line="276" w:lineRule="auto"/>
            </w:pPr>
            <w:r>
              <w:rPr>
                <w:b w:val="0"/>
                <w:i w:val="0"/>
                <w:sz w:val="18"/>
              </w:rPr>
              <w:t>19,689.333333</w:t>
            </w:r>
          </w:p>
        </w:tc>
      </w:tr>
    </w:tbl>
    <w:p>
      <w:pPr>
        <w:spacing w:after="20"/>
      </w:pPr>
    </w:p>
    <w:p>
      <w:pPr>
        <w:pStyle w:val="Heading2"/>
      </w:pPr>
      <w:r>
        <w:rPr>
          <w:b w:val="0"/>
          <w:i w:val="0"/>
        </w:rPr>
        <w:t>Initial assets and planned projects</w:t>
      </w:r>
    </w:p>
    <w:p>
      <w:r>
        <w:rPr>
          <w:b w:val="0"/>
          <w:i w:val="0"/>
        </w:rPr>
        <w:t>Initial wind, solar and storage assets are determined jointly by REPD technology, operational status, commissioning year and capacity. The input uses the second-quarter 2025 edition of the DESNZ Renewable Energy Planning Database, released in July. The source table contains 12,977 projects and 53 fields; normalisation retains 10,653 projects and 14 fields.</w:t>
      </w:r>
    </w:p>
    <w:p>
      <w:r>
        <w:rPr>
          <w:b w:val="0"/>
          <w:i w:val="0"/>
        </w:rPr>
        <w:t>Normalisation retains recognised technologies with positive capacity and standardises technology names, numerical fields and dates. The 14 fields cover project identifier, site name, standardised and source technology names, MW capacity, development status, region, country, application date, permission date, construction date, operational date and two coordinates. Failed numerical conversions and missing source dates remain missing for subsequent filtering. Standardised technologies include onshore wind, offshore wind, solar, batteries and gas.</w:t>
      </w:r>
    </w:p>
    <w:p>
      <w:r>
        <w:rPr>
          <w:b w:val="0"/>
          <w:i w:val="0"/>
        </w:rPr>
        <w:t xml:space="preserve">Initial operating capacity comprises assets commissioned by the study's starting year. </w:t>
      </w:r>
      <w:r>
        <w:rPr>
          <w:rFonts w:ascii="DejaVu Sans Mono" w:hAnsi="DejaVu Sans Mono"/>
          <w:b w:val="0"/>
          <w:i w:val="0"/>
          <w:sz w:val="17"/>
        </w:rPr>
        <w:t>build_​repd_​operational_​snapshot</w:t>
      </w:r>
      <w:r>
        <w:rPr>
          <w:b w:val="0"/>
          <w:i w:val="0"/>
        </w:rPr>
        <w:t xml:space="preserve"> selects wind, solar and storage projects with </w:t>
      </w:r>
      <w:r>
        <w:rPr>
          <w:rFonts w:ascii="DejaVu Sans Mono" w:hAnsi="DejaVu Sans Mono"/>
          <w:b w:val="0"/>
          <w:i w:val="0"/>
          <w:sz w:val="17"/>
        </w:rPr>
        <w:t>Operational</w:t>
      </w:r>
      <w:r>
        <w:rPr>
          <w:b w:val="0"/>
          <w:i w:val="0"/>
        </w:rPr>
        <w:t xml:space="preserve"> status, a commissioning year at or before the starting year, and positive capacity, then maps them to representative assets. Battery capacity is allocated according to storage-template </w:t>
      </w:r>
      <w:r>
        <w:rPr>
          <w:rFonts w:ascii="DejaVu Sans Mono" w:hAnsi="DejaVu Sans Mono"/>
          <w:b w:val="0"/>
          <w:i w:val="0"/>
          <w:sz w:val="17"/>
        </w:rPr>
        <w:t>pool_limit</w:t>
      </w:r>
      <w:r>
        <w:rPr>
          <w:b w:val="0"/>
          <w:i w:val="0"/>
        </w:rPr>
        <w:t xml:space="preserve"> weights. Nuclear capacity follows a separate station policy and annual commissioning and retirement schedule.</w:t>
      </w:r>
    </w:p>
    <w:p>
      <w:r>
        <w:rPr>
          <w:b w:val="0"/>
          <w:i w:val="0"/>
        </w:rPr>
        <w:t>The R029 2025 initial asset specification contains the capacities below. The table describes its configured starting stock, with aggregated nuclear, gas and several other technologies. In the corrected default pathway, GBP1 studies with station policies use station-level nuclear availability and monthly retirement; R029 aggregated nuclear capacity uses an availability factor of 0.723. Run-of-river output uses a load factor of 0.3487 multiplied by seasonal shape (Chapter 5). The doctoral reproduction profile retains availability of 100%; the separate experimental R029 pathway also retains that input convention.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3"/>
        <w:gridCol w:w="1967"/>
        <w:gridCol w:w="2113"/>
        <w:gridCol w:w="2449"/>
      </w:tblGrid>
      <w:tr>
        <w:trPr>
          <w:cantSplit/>
          <w:tblHeader w:val="true"/>
        </w:trPr>
        <w:tc>
          <w:tcPr>
            <w:tcW w:type="dxa" w:w="3263"/>
            <w:vAlign w:val="center"/>
            <w:tcMar>
              <w:top w:w="90" w:type="dxa"/>
              <w:left w:w="90" w:type="dxa"/>
              <w:bottom w:w="90" w:type="dxa"/>
              <w:right w:w="90" w:type="dxa"/>
            </w:tcMar>
            <w:shd w:fill="EEEEEE"/>
          </w:tcPr>
          <w:p>
            <w:pPr>
              <w:spacing w:after="40" w:line="276" w:lineRule="auto"/>
            </w:pPr>
            <w:r>
              <w:rPr>
                <w:b/>
                <w:i w:val="0"/>
                <w:sz w:val="18"/>
              </w:rPr>
              <w:t>Technology</w:t>
            </w:r>
          </w:p>
        </w:tc>
        <w:tc>
          <w:tcPr>
            <w:tcW w:type="dxa" w:w="1967"/>
            <w:vAlign w:val="center"/>
            <w:tcMar>
              <w:top w:w="90" w:type="dxa"/>
              <w:left w:w="90" w:type="dxa"/>
              <w:bottom w:w="90" w:type="dxa"/>
              <w:right w:w="90" w:type="dxa"/>
            </w:tcMar>
            <w:shd w:fill="EEEEEE"/>
          </w:tcPr>
          <w:p>
            <w:pPr>
              <w:spacing w:after="40" w:line="276" w:lineRule="auto"/>
            </w:pPr>
            <w:r>
              <w:rPr>
                <w:b/>
                <w:i w:val="0"/>
                <w:sz w:val="18"/>
              </w:rPr>
              <w:t>Asset rows</w:t>
            </w:r>
          </w:p>
        </w:tc>
        <w:tc>
          <w:tcPr>
            <w:tcW w:type="dxa" w:w="2113"/>
            <w:vAlign w:val="center"/>
            <w:tcMar>
              <w:top w:w="90" w:type="dxa"/>
              <w:left w:w="90" w:type="dxa"/>
              <w:bottom w:w="90" w:type="dxa"/>
              <w:right w:w="90" w:type="dxa"/>
            </w:tcMar>
            <w:shd w:fill="EEEEEE"/>
          </w:tcPr>
          <w:p>
            <w:pPr>
              <w:spacing w:after="40" w:line="276" w:lineRule="auto"/>
            </w:pPr>
            <w:r>
              <w:rPr>
                <w:b/>
                <w:i w:val="0"/>
                <w:sz w:val="18"/>
              </w:rPr>
              <w:t>Power MW</w:t>
            </w:r>
          </w:p>
        </w:tc>
        <w:tc>
          <w:tcPr>
            <w:tcW w:type="dxa" w:w="2449"/>
            <w:vAlign w:val="center"/>
            <w:tcMar>
              <w:top w:w="90" w:type="dxa"/>
              <w:left w:w="90" w:type="dxa"/>
              <w:bottom w:w="90" w:type="dxa"/>
              <w:right w:w="90" w:type="dxa"/>
            </w:tcMar>
            <w:shd w:fill="EEEEEE"/>
          </w:tcPr>
          <w:p>
            <w:pPr>
              <w:spacing w:after="40" w:line="276" w:lineRule="auto"/>
            </w:pPr>
            <w:r>
              <w:rPr>
                <w:b/>
                <w:i w:val="0"/>
                <w:sz w:val="18"/>
              </w:rPr>
              <w:t>Stored energy MWh</w:t>
            </w:r>
          </w:p>
        </w:tc>
      </w:tr>
      <w:tr>
        <w:trPr>
          <w:cantSplit/>
        </w:trPr>
        <w:tc>
          <w:tcPr>
            <w:tcW w:type="dxa" w:w="3263"/>
            <w:vAlign w:val="center"/>
            <w:tcMar>
              <w:top w:w="90" w:type="dxa"/>
              <w:left w:w="90" w:type="dxa"/>
              <w:bottom w:w="90" w:type="dxa"/>
              <w:right w:w="90" w:type="dxa"/>
            </w:tcMar>
          </w:tcPr>
          <w:p>
            <w:pPr>
              <w:spacing w:after="40" w:line="276" w:lineRule="auto"/>
            </w:pPr>
            <w:r>
              <w:rPr>
                <w:b w:val="0"/>
                <w:i w:val="0"/>
                <w:sz w:val="18"/>
              </w:rPr>
              <w:t>Combined-cycle gas turbine CCGT</w:t>
            </w:r>
          </w:p>
        </w:tc>
        <w:tc>
          <w:tcPr>
            <w:tcW w:type="dxa" w:w="1967"/>
            <w:vAlign w:val="center"/>
            <w:tcMar>
              <w:top w:w="90" w:type="dxa"/>
              <w:left w:w="90" w:type="dxa"/>
              <w:bottom w:w="90" w:type="dxa"/>
              <w:right w:w="90" w:type="dxa"/>
            </w:tcMar>
          </w:tcPr>
          <w:p>
            <w:pPr>
              <w:spacing w:after="40" w:line="276" w:lineRule="auto"/>
            </w:pPr>
            <w:r>
              <w:rPr>
                <w:b w:val="0"/>
                <w:i w:val="0"/>
                <w:sz w:val="18"/>
              </w:rPr>
              <w:t>1</w:t>
            </w:r>
          </w:p>
        </w:tc>
        <w:tc>
          <w:tcPr>
            <w:tcW w:type="dxa" w:w="2113"/>
            <w:vAlign w:val="center"/>
            <w:tcMar>
              <w:top w:w="90" w:type="dxa"/>
              <w:left w:w="90" w:type="dxa"/>
              <w:bottom w:w="90" w:type="dxa"/>
              <w:right w:w="90" w:type="dxa"/>
            </w:tcMar>
          </w:tcPr>
          <w:p>
            <w:pPr>
              <w:spacing w:after="40" w:line="276" w:lineRule="auto"/>
            </w:pPr>
            <w:r>
              <w:rPr>
                <w:b w:val="0"/>
                <w:i w:val="0"/>
                <w:sz w:val="18"/>
              </w:rPr>
              <w:t>28,000</w:t>
            </w:r>
          </w:p>
        </w:tc>
        <w:tc>
          <w:tcPr>
            <w:tcW w:type="dxa" w:w="2449"/>
            <w:vAlign w:val="center"/>
            <w:tcMar>
              <w:top w:w="90" w:type="dxa"/>
              <w:left w:w="90" w:type="dxa"/>
              <w:bottom w:w="90" w:type="dxa"/>
              <w:right w:w="90" w:type="dxa"/>
            </w:tcMar>
          </w:tcPr>
          <w:p>
            <w:pPr>
              <w:spacing w:after="40" w:line="276" w:lineRule="auto"/>
            </w:pPr>
            <w:r>
              <w:rPr>
                <w:b w:val="0"/>
                <w:i w:val="0"/>
                <w:sz w:val="18"/>
              </w:rPr>
              <w:t>—</w:t>
            </w:r>
          </w:p>
        </w:tc>
      </w:tr>
      <w:tr>
        <w:trPr>
          <w:cantSplit/>
        </w:trPr>
        <w:tc>
          <w:tcPr>
            <w:tcW w:type="dxa" w:w="3263"/>
            <w:vAlign w:val="center"/>
            <w:tcMar>
              <w:top w:w="90" w:type="dxa"/>
              <w:left w:w="90" w:type="dxa"/>
              <w:bottom w:w="90" w:type="dxa"/>
              <w:right w:w="90" w:type="dxa"/>
            </w:tcMar>
          </w:tcPr>
          <w:p>
            <w:pPr>
              <w:spacing w:after="40" w:line="276" w:lineRule="auto"/>
            </w:pPr>
            <w:r>
              <w:rPr>
                <w:b w:val="0"/>
                <w:i w:val="0"/>
                <w:sz w:val="18"/>
              </w:rPr>
              <w:t>Run-of-river hydro</w:t>
            </w:r>
          </w:p>
        </w:tc>
        <w:tc>
          <w:tcPr>
            <w:tcW w:type="dxa" w:w="1967"/>
            <w:vAlign w:val="center"/>
            <w:tcMar>
              <w:top w:w="90" w:type="dxa"/>
              <w:left w:w="90" w:type="dxa"/>
              <w:bottom w:w="90" w:type="dxa"/>
              <w:right w:w="90" w:type="dxa"/>
            </w:tcMar>
          </w:tcPr>
          <w:p>
            <w:pPr>
              <w:spacing w:after="40" w:line="276" w:lineRule="auto"/>
            </w:pPr>
            <w:r>
              <w:rPr>
                <w:b w:val="0"/>
                <w:i w:val="0"/>
                <w:sz w:val="18"/>
              </w:rPr>
              <w:t>1</w:t>
            </w:r>
          </w:p>
        </w:tc>
        <w:tc>
          <w:tcPr>
            <w:tcW w:type="dxa" w:w="2113"/>
            <w:vAlign w:val="center"/>
            <w:tcMar>
              <w:top w:w="90" w:type="dxa"/>
              <w:left w:w="90" w:type="dxa"/>
              <w:bottom w:w="90" w:type="dxa"/>
              <w:right w:w="90" w:type="dxa"/>
            </w:tcMar>
          </w:tcPr>
          <w:p>
            <w:pPr>
              <w:spacing w:after="40" w:line="276" w:lineRule="auto"/>
            </w:pPr>
            <w:r>
              <w:rPr>
                <w:b w:val="0"/>
                <w:i w:val="0"/>
                <w:sz w:val="18"/>
              </w:rPr>
              <w:t>2,000</w:t>
            </w:r>
          </w:p>
        </w:tc>
        <w:tc>
          <w:tcPr>
            <w:tcW w:type="dxa" w:w="2449"/>
            <w:vAlign w:val="center"/>
            <w:tcMar>
              <w:top w:w="90" w:type="dxa"/>
              <w:left w:w="90" w:type="dxa"/>
              <w:bottom w:w="90" w:type="dxa"/>
              <w:right w:w="90" w:type="dxa"/>
            </w:tcMar>
          </w:tcPr>
          <w:p>
            <w:pPr>
              <w:spacing w:after="40" w:line="276" w:lineRule="auto"/>
            </w:pPr>
            <w:r>
              <w:rPr>
                <w:b w:val="0"/>
                <w:i w:val="0"/>
                <w:sz w:val="18"/>
              </w:rPr>
              <w:t>—</w:t>
            </w:r>
          </w:p>
        </w:tc>
      </w:tr>
      <w:tr>
        <w:trPr>
          <w:cantSplit/>
        </w:trPr>
        <w:tc>
          <w:tcPr>
            <w:tcW w:type="dxa" w:w="3263"/>
            <w:vAlign w:val="center"/>
            <w:tcMar>
              <w:top w:w="90" w:type="dxa"/>
              <w:left w:w="90" w:type="dxa"/>
              <w:bottom w:w="90" w:type="dxa"/>
              <w:right w:w="90" w:type="dxa"/>
            </w:tcMar>
          </w:tcPr>
          <w:p>
            <w:pPr>
              <w:spacing w:after="40" w:line="276" w:lineRule="auto"/>
            </w:pPr>
            <w:r>
              <w:rPr>
                <w:b w:val="0"/>
                <w:i w:val="0"/>
                <w:sz w:val="18"/>
              </w:rPr>
              <w:t>Nuclear</w:t>
            </w:r>
          </w:p>
        </w:tc>
        <w:tc>
          <w:tcPr>
            <w:tcW w:type="dxa" w:w="1967"/>
            <w:vAlign w:val="center"/>
            <w:tcMar>
              <w:top w:w="90" w:type="dxa"/>
              <w:left w:w="90" w:type="dxa"/>
              <w:bottom w:w="90" w:type="dxa"/>
              <w:right w:w="90" w:type="dxa"/>
            </w:tcMar>
          </w:tcPr>
          <w:p>
            <w:pPr>
              <w:spacing w:after="40" w:line="276" w:lineRule="auto"/>
            </w:pPr>
            <w:r>
              <w:rPr>
                <w:b w:val="0"/>
                <w:i w:val="0"/>
                <w:sz w:val="18"/>
              </w:rPr>
              <w:t>1</w:t>
            </w:r>
          </w:p>
        </w:tc>
        <w:tc>
          <w:tcPr>
            <w:tcW w:type="dxa" w:w="2113"/>
            <w:vAlign w:val="center"/>
            <w:tcMar>
              <w:top w:w="90" w:type="dxa"/>
              <w:left w:w="90" w:type="dxa"/>
              <w:bottom w:w="90" w:type="dxa"/>
              <w:right w:w="90" w:type="dxa"/>
            </w:tcMar>
          </w:tcPr>
          <w:p>
            <w:pPr>
              <w:spacing w:after="40" w:line="276" w:lineRule="auto"/>
            </w:pPr>
            <w:r>
              <w:rPr>
                <w:b w:val="0"/>
                <w:i w:val="0"/>
                <w:sz w:val="18"/>
              </w:rPr>
              <w:t>5,958</w:t>
            </w:r>
          </w:p>
        </w:tc>
        <w:tc>
          <w:tcPr>
            <w:tcW w:type="dxa" w:w="2449"/>
            <w:vAlign w:val="center"/>
            <w:tcMar>
              <w:top w:w="90" w:type="dxa"/>
              <w:left w:w="90" w:type="dxa"/>
              <w:bottom w:w="90" w:type="dxa"/>
              <w:right w:w="90" w:type="dxa"/>
            </w:tcMar>
          </w:tcPr>
          <w:p>
            <w:pPr>
              <w:spacing w:after="40" w:line="276" w:lineRule="auto"/>
            </w:pPr>
            <w:r>
              <w:rPr>
                <w:b w:val="0"/>
                <w:i w:val="0"/>
                <w:sz w:val="18"/>
              </w:rPr>
              <w:t>—</w:t>
            </w:r>
          </w:p>
        </w:tc>
      </w:tr>
      <w:tr>
        <w:trPr>
          <w:cantSplit/>
        </w:trPr>
        <w:tc>
          <w:tcPr>
            <w:tcW w:type="dxa" w:w="3263"/>
            <w:vAlign w:val="center"/>
            <w:tcMar>
              <w:top w:w="90" w:type="dxa"/>
              <w:left w:w="90" w:type="dxa"/>
              <w:bottom w:w="90" w:type="dxa"/>
              <w:right w:w="90" w:type="dxa"/>
            </w:tcMar>
          </w:tcPr>
          <w:p>
            <w:pPr>
              <w:spacing w:after="40" w:line="276" w:lineRule="auto"/>
            </w:pPr>
            <w:r>
              <w:rPr>
                <w:b w:val="0"/>
                <w:i w:val="0"/>
                <w:sz w:val="18"/>
              </w:rPr>
              <w:t>Open-cycle gas turbine OCGT</w:t>
            </w:r>
          </w:p>
        </w:tc>
        <w:tc>
          <w:tcPr>
            <w:tcW w:type="dxa" w:w="1967"/>
            <w:vAlign w:val="center"/>
            <w:tcMar>
              <w:top w:w="90" w:type="dxa"/>
              <w:left w:w="90" w:type="dxa"/>
              <w:bottom w:w="90" w:type="dxa"/>
              <w:right w:w="90" w:type="dxa"/>
            </w:tcMar>
          </w:tcPr>
          <w:p>
            <w:pPr>
              <w:spacing w:after="40" w:line="276" w:lineRule="auto"/>
            </w:pPr>
            <w:r>
              <w:rPr>
                <w:b w:val="0"/>
                <w:i w:val="0"/>
                <w:sz w:val="18"/>
              </w:rPr>
              <w:t>1</w:t>
            </w:r>
          </w:p>
        </w:tc>
        <w:tc>
          <w:tcPr>
            <w:tcW w:type="dxa" w:w="2113"/>
            <w:vAlign w:val="center"/>
            <w:tcMar>
              <w:top w:w="90" w:type="dxa"/>
              <w:left w:w="90" w:type="dxa"/>
              <w:bottom w:w="90" w:type="dxa"/>
              <w:right w:w="90" w:type="dxa"/>
            </w:tcMar>
          </w:tcPr>
          <w:p>
            <w:pPr>
              <w:spacing w:after="40" w:line="276" w:lineRule="auto"/>
            </w:pPr>
            <w:r>
              <w:rPr>
                <w:b w:val="0"/>
                <w:i w:val="0"/>
                <w:sz w:val="18"/>
              </w:rPr>
              <w:t>4,146</w:t>
            </w:r>
          </w:p>
        </w:tc>
        <w:tc>
          <w:tcPr>
            <w:tcW w:type="dxa" w:w="2449"/>
            <w:vAlign w:val="center"/>
            <w:tcMar>
              <w:top w:w="90" w:type="dxa"/>
              <w:left w:w="90" w:type="dxa"/>
              <w:bottom w:w="90" w:type="dxa"/>
              <w:right w:w="90" w:type="dxa"/>
            </w:tcMar>
          </w:tcPr>
          <w:p>
            <w:pPr>
              <w:spacing w:after="40" w:line="276" w:lineRule="auto"/>
            </w:pPr>
            <w:r>
              <w:rPr>
                <w:b w:val="0"/>
                <w:i w:val="0"/>
                <w:sz w:val="18"/>
              </w:rPr>
              <w:t>—</w:t>
            </w:r>
          </w:p>
        </w:tc>
      </w:tr>
      <w:tr>
        <w:trPr>
          <w:cantSplit/>
        </w:trPr>
        <w:tc>
          <w:tcPr>
            <w:tcW w:type="dxa" w:w="3263"/>
            <w:vAlign w:val="center"/>
            <w:tcMar>
              <w:top w:w="90" w:type="dxa"/>
              <w:left w:w="90" w:type="dxa"/>
              <w:bottom w:w="90" w:type="dxa"/>
              <w:right w:w="90" w:type="dxa"/>
            </w:tcMar>
          </w:tcPr>
          <w:p>
            <w:pPr>
              <w:spacing w:after="40" w:line="276" w:lineRule="auto"/>
            </w:pPr>
            <w:r>
              <w:rPr>
                <w:b w:val="0"/>
                <w:i w:val="0"/>
                <w:sz w:val="18"/>
              </w:rPr>
              <w:t>Biomass and waste</w:t>
            </w:r>
          </w:p>
        </w:tc>
        <w:tc>
          <w:tcPr>
            <w:tcW w:type="dxa" w:w="1967"/>
            <w:vAlign w:val="center"/>
            <w:tcMar>
              <w:top w:w="90" w:type="dxa"/>
              <w:left w:w="90" w:type="dxa"/>
              <w:bottom w:w="90" w:type="dxa"/>
              <w:right w:w="90" w:type="dxa"/>
            </w:tcMar>
          </w:tcPr>
          <w:p>
            <w:pPr>
              <w:spacing w:after="40" w:line="276" w:lineRule="auto"/>
            </w:pPr>
            <w:r>
              <w:rPr>
                <w:b w:val="0"/>
                <w:i w:val="0"/>
                <w:sz w:val="18"/>
              </w:rPr>
              <w:t>1</w:t>
            </w:r>
          </w:p>
        </w:tc>
        <w:tc>
          <w:tcPr>
            <w:tcW w:type="dxa" w:w="2113"/>
            <w:vAlign w:val="center"/>
            <w:tcMar>
              <w:top w:w="90" w:type="dxa"/>
              <w:left w:w="90" w:type="dxa"/>
              <w:bottom w:w="90" w:type="dxa"/>
              <w:right w:w="90" w:type="dxa"/>
            </w:tcMar>
          </w:tcPr>
          <w:p>
            <w:pPr>
              <w:spacing w:after="40" w:line="276" w:lineRule="auto"/>
            </w:pPr>
            <w:r>
              <w:rPr>
                <w:b w:val="0"/>
                <w:i w:val="0"/>
                <w:sz w:val="18"/>
              </w:rPr>
              <w:t>4,762</w:t>
            </w:r>
          </w:p>
        </w:tc>
        <w:tc>
          <w:tcPr>
            <w:tcW w:type="dxa" w:w="2449"/>
            <w:vAlign w:val="center"/>
            <w:tcMar>
              <w:top w:w="90" w:type="dxa"/>
              <w:left w:w="90" w:type="dxa"/>
              <w:bottom w:w="90" w:type="dxa"/>
              <w:right w:w="90" w:type="dxa"/>
            </w:tcMar>
          </w:tcPr>
          <w:p>
            <w:pPr>
              <w:spacing w:after="40" w:line="276" w:lineRule="auto"/>
            </w:pPr>
            <w:r>
              <w:rPr>
                <w:b w:val="0"/>
                <w:i w:val="0"/>
                <w:sz w:val="18"/>
              </w:rPr>
              <w:t>—</w:t>
            </w:r>
          </w:p>
        </w:tc>
      </w:tr>
      <w:tr>
        <w:trPr>
          <w:cantSplit/>
        </w:trPr>
        <w:tc>
          <w:tcPr>
            <w:tcW w:type="dxa" w:w="3263"/>
            <w:vAlign w:val="center"/>
            <w:tcMar>
              <w:top w:w="90" w:type="dxa"/>
              <w:left w:w="90" w:type="dxa"/>
              <w:bottom w:w="90" w:type="dxa"/>
              <w:right w:w="90" w:type="dxa"/>
            </w:tcMar>
          </w:tcPr>
          <w:p>
            <w:pPr>
              <w:spacing w:after="40" w:line="276" w:lineRule="auto"/>
            </w:pPr>
            <w:r>
              <w:rPr>
                <w:b w:val="0"/>
                <w:i w:val="0"/>
                <w:sz w:val="18"/>
              </w:rPr>
              <w:t>Offshore wind</w:t>
            </w:r>
          </w:p>
        </w:tc>
        <w:tc>
          <w:tcPr>
            <w:tcW w:type="dxa" w:w="1967"/>
            <w:vAlign w:val="center"/>
            <w:tcMar>
              <w:top w:w="90" w:type="dxa"/>
              <w:left w:w="90" w:type="dxa"/>
              <w:bottom w:w="90" w:type="dxa"/>
              <w:right w:w="90" w:type="dxa"/>
            </w:tcMar>
          </w:tcPr>
          <w:p>
            <w:pPr>
              <w:spacing w:after="40" w:line="276" w:lineRule="auto"/>
            </w:pPr>
            <w:r>
              <w:rPr>
                <w:b w:val="0"/>
                <w:i w:val="0"/>
                <w:sz w:val="18"/>
              </w:rPr>
              <w:t>18</w:t>
            </w:r>
          </w:p>
        </w:tc>
        <w:tc>
          <w:tcPr>
            <w:tcW w:type="dxa" w:w="2113"/>
            <w:vAlign w:val="center"/>
            <w:tcMar>
              <w:top w:w="90" w:type="dxa"/>
              <w:left w:w="90" w:type="dxa"/>
              <w:bottom w:w="90" w:type="dxa"/>
              <w:right w:w="90" w:type="dxa"/>
            </w:tcMar>
          </w:tcPr>
          <w:p>
            <w:pPr>
              <w:spacing w:after="40" w:line="276" w:lineRule="auto"/>
            </w:pPr>
            <w:r>
              <w:rPr>
                <w:b w:val="0"/>
                <w:i w:val="0"/>
                <w:sz w:val="18"/>
              </w:rPr>
              <w:t>14,679</w:t>
            </w:r>
          </w:p>
        </w:tc>
        <w:tc>
          <w:tcPr>
            <w:tcW w:type="dxa" w:w="2449"/>
            <w:vAlign w:val="center"/>
            <w:tcMar>
              <w:top w:w="90" w:type="dxa"/>
              <w:left w:w="90" w:type="dxa"/>
              <w:bottom w:w="90" w:type="dxa"/>
              <w:right w:w="90" w:type="dxa"/>
            </w:tcMar>
          </w:tcPr>
          <w:p>
            <w:pPr>
              <w:spacing w:after="40" w:line="276" w:lineRule="auto"/>
            </w:pPr>
            <w:r>
              <w:rPr>
                <w:b w:val="0"/>
                <w:i w:val="0"/>
                <w:sz w:val="18"/>
              </w:rPr>
              <w:t>—</w:t>
            </w:r>
          </w:p>
        </w:tc>
      </w:tr>
      <w:tr>
        <w:trPr>
          <w:cantSplit/>
        </w:trPr>
        <w:tc>
          <w:tcPr>
            <w:tcW w:type="dxa" w:w="3263"/>
            <w:vAlign w:val="center"/>
            <w:tcMar>
              <w:top w:w="90" w:type="dxa"/>
              <w:left w:w="90" w:type="dxa"/>
              <w:bottom w:w="90" w:type="dxa"/>
              <w:right w:w="90" w:type="dxa"/>
            </w:tcMar>
          </w:tcPr>
          <w:p>
            <w:pPr>
              <w:spacing w:after="40" w:line="276" w:lineRule="auto"/>
            </w:pPr>
            <w:r>
              <w:rPr>
                <w:b w:val="0"/>
                <w:i w:val="0"/>
                <w:sz w:val="18"/>
              </w:rPr>
              <w:t>Onshore wind</w:t>
            </w:r>
          </w:p>
        </w:tc>
        <w:tc>
          <w:tcPr>
            <w:tcW w:type="dxa" w:w="1967"/>
            <w:vAlign w:val="center"/>
            <w:tcMar>
              <w:top w:w="90" w:type="dxa"/>
              <w:left w:w="90" w:type="dxa"/>
              <w:bottom w:w="90" w:type="dxa"/>
              <w:right w:w="90" w:type="dxa"/>
            </w:tcMar>
          </w:tcPr>
          <w:p>
            <w:pPr>
              <w:spacing w:after="40" w:line="276" w:lineRule="auto"/>
            </w:pPr>
            <w:r>
              <w:rPr>
                <w:b w:val="0"/>
                <w:i w:val="0"/>
                <w:sz w:val="18"/>
              </w:rPr>
              <w:t>11</w:t>
            </w:r>
          </w:p>
        </w:tc>
        <w:tc>
          <w:tcPr>
            <w:tcW w:type="dxa" w:w="2113"/>
            <w:vAlign w:val="center"/>
            <w:tcMar>
              <w:top w:w="90" w:type="dxa"/>
              <w:left w:w="90" w:type="dxa"/>
              <w:bottom w:w="90" w:type="dxa"/>
              <w:right w:w="90" w:type="dxa"/>
            </w:tcMar>
          </w:tcPr>
          <w:p>
            <w:pPr>
              <w:spacing w:after="40" w:line="276" w:lineRule="auto"/>
            </w:pPr>
            <w:r>
              <w:rPr>
                <w:b w:val="0"/>
                <w:i w:val="0"/>
                <w:sz w:val="18"/>
              </w:rPr>
              <w:t>14,711.65</w:t>
            </w:r>
          </w:p>
        </w:tc>
        <w:tc>
          <w:tcPr>
            <w:tcW w:type="dxa" w:w="2449"/>
            <w:vAlign w:val="center"/>
            <w:tcMar>
              <w:top w:w="90" w:type="dxa"/>
              <w:left w:w="90" w:type="dxa"/>
              <w:bottom w:w="90" w:type="dxa"/>
              <w:right w:w="90" w:type="dxa"/>
            </w:tcMar>
          </w:tcPr>
          <w:p>
            <w:pPr>
              <w:spacing w:after="40" w:line="276" w:lineRule="auto"/>
            </w:pPr>
            <w:r>
              <w:rPr>
                <w:b w:val="0"/>
                <w:i w:val="0"/>
                <w:sz w:val="18"/>
              </w:rPr>
              <w:t>—</w:t>
            </w:r>
          </w:p>
        </w:tc>
      </w:tr>
      <w:tr>
        <w:trPr>
          <w:cantSplit/>
        </w:trPr>
        <w:tc>
          <w:tcPr>
            <w:tcW w:type="dxa" w:w="3263"/>
            <w:vAlign w:val="center"/>
            <w:tcMar>
              <w:top w:w="90" w:type="dxa"/>
              <w:left w:w="90" w:type="dxa"/>
              <w:bottom w:w="90" w:type="dxa"/>
              <w:right w:w="90" w:type="dxa"/>
            </w:tcMar>
          </w:tcPr>
          <w:p>
            <w:pPr>
              <w:spacing w:after="40" w:line="276" w:lineRule="auto"/>
            </w:pPr>
            <w:r>
              <w:rPr>
                <w:b w:val="0"/>
                <w:i w:val="0"/>
                <w:sz w:val="18"/>
              </w:rPr>
              <w:t>Solar</w:t>
            </w:r>
          </w:p>
        </w:tc>
        <w:tc>
          <w:tcPr>
            <w:tcW w:type="dxa" w:w="1967"/>
            <w:vAlign w:val="center"/>
            <w:tcMar>
              <w:top w:w="90" w:type="dxa"/>
              <w:left w:w="90" w:type="dxa"/>
              <w:bottom w:w="90" w:type="dxa"/>
              <w:right w:w="90" w:type="dxa"/>
            </w:tcMar>
          </w:tcPr>
          <w:p>
            <w:pPr>
              <w:spacing w:after="40" w:line="276" w:lineRule="auto"/>
            </w:pPr>
            <w:r>
              <w:rPr>
                <w:b w:val="0"/>
                <w:i w:val="0"/>
                <w:sz w:val="18"/>
              </w:rPr>
              <w:t>11</w:t>
            </w:r>
          </w:p>
        </w:tc>
        <w:tc>
          <w:tcPr>
            <w:tcW w:type="dxa" w:w="2113"/>
            <w:vAlign w:val="center"/>
            <w:tcMar>
              <w:top w:w="90" w:type="dxa"/>
              <w:left w:w="90" w:type="dxa"/>
              <w:bottom w:w="90" w:type="dxa"/>
              <w:right w:w="90" w:type="dxa"/>
            </w:tcMar>
          </w:tcPr>
          <w:p>
            <w:pPr>
              <w:spacing w:after="40" w:line="276" w:lineRule="auto"/>
            </w:pPr>
            <w:r>
              <w:rPr>
                <w:b w:val="0"/>
                <w:i w:val="0"/>
                <w:sz w:val="18"/>
              </w:rPr>
              <w:t>10,066.98</w:t>
            </w:r>
          </w:p>
        </w:tc>
        <w:tc>
          <w:tcPr>
            <w:tcW w:type="dxa" w:w="2449"/>
            <w:vAlign w:val="center"/>
            <w:tcMar>
              <w:top w:w="90" w:type="dxa"/>
              <w:left w:w="90" w:type="dxa"/>
              <w:bottom w:w="90" w:type="dxa"/>
              <w:right w:w="90" w:type="dxa"/>
            </w:tcMar>
          </w:tcPr>
          <w:p>
            <w:pPr>
              <w:spacing w:after="40" w:line="276" w:lineRule="auto"/>
            </w:pPr>
            <w:r>
              <w:rPr>
                <w:b w:val="0"/>
                <w:i w:val="0"/>
                <w:sz w:val="18"/>
              </w:rPr>
              <w:t>—</w:t>
            </w:r>
          </w:p>
        </w:tc>
      </w:tr>
      <w:tr>
        <w:trPr>
          <w:cantSplit/>
        </w:trPr>
        <w:tc>
          <w:tcPr>
            <w:tcW w:type="dxa" w:w="3263"/>
            <w:vAlign w:val="center"/>
            <w:tcMar>
              <w:top w:w="90" w:type="dxa"/>
              <w:left w:w="90" w:type="dxa"/>
              <w:bottom w:w="90" w:type="dxa"/>
              <w:right w:w="90" w:type="dxa"/>
            </w:tcMar>
          </w:tcPr>
          <w:p>
            <w:pPr>
              <w:spacing w:after="40" w:line="276" w:lineRule="auto"/>
            </w:pPr>
            <w:r>
              <w:rPr>
                <w:b w:val="0"/>
                <w:i w:val="0"/>
                <w:sz w:val="18"/>
              </w:rPr>
              <w:t>0.25C battery</w:t>
            </w:r>
          </w:p>
        </w:tc>
        <w:tc>
          <w:tcPr>
            <w:tcW w:type="dxa" w:w="1967"/>
            <w:vAlign w:val="center"/>
            <w:tcMar>
              <w:top w:w="90" w:type="dxa"/>
              <w:left w:w="90" w:type="dxa"/>
              <w:bottom w:w="90" w:type="dxa"/>
              <w:right w:w="90" w:type="dxa"/>
            </w:tcMar>
          </w:tcPr>
          <w:p>
            <w:pPr>
              <w:spacing w:after="40" w:line="276" w:lineRule="auto"/>
            </w:pPr>
            <w:r>
              <w:rPr>
                <w:b w:val="0"/>
                <w:i w:val="0"/>
                <w:sz w:val="18"/>
              </w:rPr>
              <w:t>1</w:t>
            </w:r>
          </w:p>
        </w:tc>
        <w:tc>
          <w:tcPr>
            <w:tcW w:type="dxa" w:w="2113"/>
            <w:vAlign w:val="center"/>
            <w:tcMar>
              <w:top w:w="90" w:type="dxa"/>
              <w:left w:w="90" w:type="dxa"/>
              <w:bottom w:w="90" w:type="dxa"/>
              <w:right w:w="90" w:type="dxa"/>
            </w:tcMar>
          </w:tcPr>
          <w:p>
            <w:pPr>
              <w:spacing w:after="40" w:line="276" w:lineRule="auto"/>
            </w:pPr>
            <w:r>
              <w:rPr>
                <w:b w:val="0"/>
                <w:i w:val="0"/>
                <w:sz w:val="18"/>
              </w:rPr>
              <w:t>299.984165</w:t>
            </w:r>
          </w:p>
        </w:tc>
        <w:tc>
          <w:tcPr>
            <w:tcW w:type="dxa" w:w="2449"/>
            <w:vAlign w:val="center"/>
            <w:tcMar>
              <w:top w:w="90" w:type="dxa"/>
              <w:left w:w="90" w:type="dxa"/>
              <w:bottom w:w="90" w:type="dxa"/>
              <w:right w:w="90" w:type="dxa"/>
            </w:tcMar>
          </w:tcPr>
          <w:p>
            <w:pPr>
              <w:spacing w:after="40" w:line="276" w:lineRule="auto"/>
            </w:pPr>
            <w:r>
              <w:rPr>
                <w:b w:val="0"/>
                <w:i w:val="0"/>
                <w:sz w:val="18"/>
              </w:rPr>
              <w:t>1,199.936659</w:t>
            </w:r>
          </w:p>
        </w:tc>
      </w:tr>
      <w:tr>
        <w:trPr>
          <w:cantSplit/>
        </w:trPr>
        <w:tc>
          <w:tcPr>
            <w:tcW w:type="dxa" w:w="3263"/>
            <w:vAlign w:val="center"/>
            <w:tcMar>
              <w:top w:w="90" w:type="dxa"/>
              <w:left w:w="90" w:type="dxa"/>
              <w:bottom w:w="90" w:type="dxa"/>
              <w:right w:w="90" w:type="dxa"/>
            </w:tcMar>
          </w:tcPr>
          <w:p>
            <w:pPr>
              <w:spacing w:after="40" w:line="276" w:lineRule="auto"/>
            </w:pPr>
            <w:r>
              <w:rPr>
                <w:b w:val="0"/>
                <w:i w:val="0"/>
                <w:sz w:val="18"/>
              </w:rPr>
              <w:t>0.5C battery</w:t>
            </w:r>
          </w:p>
        </w:tc>
        <w:tc>
          <w:tcPr>
            <w:tcW w:type="dxa" w:w="1967"/>
            <w:vAlign w:val="center"/>
            <w:tcMar>
              <w:top w:w="90" w:type="dxa"/>
              <w:left w:w="90" w:type="dxa"/>
              <w:bottom w:w="90" w:type="dxa"/>
              <w:right w:w="90" w:type="dxa"/>
            </w:tcMar>
          </w:tcPr>
          <w:p>
            <w:pPr>
              <w:spacing w:after="40" w:line="276" w:lineRule="auto"/>
            </w:pPr>
            <w:r>
              <w:rPr>
                <w:b w:val="0"/>
                <w:i w:val="0"/>
                <w:sz w:val="18"/>
              </w:rPr>
              <w:t>1</w:t>
            </w:r>
          </w:p>
        </w:tc>
        <w:tc>
          <w:tcPr>
            <w:tcW w:type="dxa" w:w="2113"/>
            <w:vAlign w:val="center"/>
            <w:tcMar>
              <w:top w:w="90" w:type="dxa"/>
              <w:left w:w="90" w:type="dxa"/>
              <w:bottom w:w="90" w:type="dxa"/>
              <w:right w:w="90" w:type="dxa"/>
            </w:tcMar>
          </w:tcPr>
          <w:p>
            <w:pPr>
              <w:spacing w:after="40" w:line="276" w:lineRule="auto"/>
            </w:pPr>
            <w:r>
              <w:rPr>
                <w:b w:val="0"/>
                <w:i w:val="0"/>
                <w:sz w:val="18"/>
              </w:rPr>
              <w:t>2,465.869834</w:t>
            </w:r>
          </w:p>
        </w:tc>
        <w:tc>
          <w:tcPr>
            <w:tcW w:type="dxa" w:w="2449"/>
            <w:vAlign w:val="center"/>
            <w:tcMar>
              <w:top w:w="90" w:type="dxa"/>
              <w:left w:w="90" w:type="dxa"/>
              <w:bottom w:w="90" w:type="dxa"/>
              <w:right w:w="90" w:type="dxa"/>
            </w:tcMar>
          </w:tcPr>
          <w:p>
            <w:pPr>
              <w:spacing w:after="40" w:line="276" w:lineRule="auto"/>
            </w:pPr>
            <w:r>
              <w:rPr>
                <w:b w:val="0"/>
                <w:i w:val="0"/>
                <w:sz w:val="18"/>
              </w:rPr>
              <w:t>4,931.739667</w:t>
            </w:r>
          </w:p>
        </w:tc>
      </w:tr>
      <w:tr>
        <w:trPr>
          <w:cantSplit/>
        </w:trPr>
        <w:tc>
          <w:tcPr>
            <w:tcW w:type="dxa" w:w="3263"/>
            <w:vAlign w:val="center"/>
            <w:tcMar>
              <w:top w:w="90" w:type="dxa"/>
              <w:left w:w="90" w:type="dxa"/>
              <w:bottom w:w="90" w:type="dxa"/>
              <w:right w:w="90" w:type="dxa"/>
            </w:tcMar>
          </w:tcPr>
          <w:p>
            <w:pPr>
              <w:spacing w:after="40" w:line="276" w:lineRule="auto"/>
            </w:pPr>
            <w:r>
              <w:rPr>
                <w:b w:val="0"/>
                <w:i w:val="0"/>
                <w:sz w:val="18"/>
              </w:rPr>
              <w:t>1C battery</w:t>
            </w:r>
          </w:p>
        </w:tc>
        <w:tc>
          <w:tcPr>
            <w:tcW w:type="dxa" w:w="1967"/>
            <w:vAlign w:val="center"/>
            <w:tcMar>
              <w:top w:w="90" w:type="dxa"/>
              <w:left w:w="90" w:type="dxa"/>
              <w:bottom w:w="90" w:type="dxa"/>
              <w:right w:w="90" w:type="dxa"/>
            </w:tcMar>
          </w:tcPr>
          <w:p>
            <w:pPr>
              <w:spacing w:after="40" w:line="276" w:lineRule="auto"/>
            </w:pPr>
            <w:r>
              <w:rPr>
                <w:b w:val="0"/>
                <w:i w:val="0"/>
                <w:sz w:val="18"/>
              </w:rPr>
              <w:t>1</w:t>
            </w:r>
          </w:p>
        </w:tc>
        <w:tc>
          <w:tcPr>
            <w:tcW w:type="dxa" w:w="2113"/>
            <w:vAlign w:val="center"/>
            <w:tcMar>
              <w:top w:w="90" w:type="dxa"/>
              <w:left w:w="90" w:type="dxa"/>
              <w:bottom w:w="90" w:type="dxa"/>
              <w:right w:w="90" w:type="dxa"/>
            </w:tcMar>
          </w:tcPr>
          <w:p>
            <w:pPr>
              <w:spacing w:after="40" w:line="276" w:lineRule="auto"/>
            </w:pPr>
            <w:r>
              <w:rPr>
                <w:b w:val="0"/>
                <w:i w:val="0"/>
                <w:sz w:val="18"/>
              </w:rPr>
              <w:t>74.996041</w:t>
            </w:r>
          </w:p>
        </w:tc>
        <w:tc>
          <w:tcPr>
            <w:tcW w:type="dxa" w:w="2449"/>
            <w:vAlign w:val="center"/>
            <w:tcMar>
              <w:top w:w="90" w:type="dxa"/>
              <w:left w:w="90" w:type="dxa"/>
              <w:bottom w:w="90" w:type="dxa"/>
              <w:right w:w="90" w:type="dxa"/>
            </w:tcMar>
          </w:tcPr>
          <w:p>
            <w:pPr>
              <w:spacing w:after="40" w:line="276" w:lineRule="auto"/>
            </w:pPr>
            <w:r>
              <w:rPr>
                <w:b w:val="0"/>
                <w:i w:val="0"/>
                <w:sz w:val="18"/>
              </w:rPr>
              <w:t>74.996041</w:t>
            </w:r>
          </w:p>
        </w:tc>
      </w:tr>
      <w:tr>
        <w:trPr>
          <w:cantSplit/>
        </w:trPr>
        <w:tc>
          <w:tcPr>
            <w:tcW w:type="dxa" w:w="3263"/>
            <w:vAlign w:val="center"/>
            <w:tcMar>
              <w:top w:w="90" w:type="dxa"/>
              <w:left w:w="90" w:type="dxa"/>
              <w:bottom w:w="90" w:type="dxa"/>
              <w:right w:w="90" w:type="dxa"/>
            </w:tcMar>
          </w:tcPr>
          <w:p>
            <w:pPr>
              <w:spacing w:after="40" w:line="276" w:lineRule="auto"/>
            </w:pPr>
            <w:r>
              <w:rPr>
                <w:b w:val="0"/>
                <w:i w:val="0"/>
                <w:sz w:val="18"/>
              </w:rPr>
              <w:t>Hydrogen storage</w:t>
            </w:r>
          </w:p>
        </w:tc>
        <w:tc>
          <w:tcPr>
            <w:tcW w:type="dxa" w:w="1967"/>
            <w:vAlign w:val="center"/>
            <w:tcMar>
              <w:top w:w="90" w:type="dxa"/>
              <w:left w:w="90" w:type="dxa"/>
              <w:bottom w:w="90" w:type="dxa"/>
              <w:right w:w="90" w:type="dxa"/>
            </w:tcMar>
          </w:tcPr>
          <w:p>
            <w:pPr>
              <w:spacing w:after="40" w:line="276" w:lineRule="auto"/>
            </w:pPr>
            <w:r>
              <w:rPr>
                <w:b w:val="0"/>
                <w:i w:val="0"/>
                <w:sz w:val="18"/>
              </w:rPr>
              <w:t>1</w:t>
            </w:r>
          </w:p>
        </w:tc>
        <w:tc>
          <w:tcPr>
            <w:tcW w:type="dxa" w:w="2113"/>
            <w:vAlign w:val="center"/>
            <w:tcMar>
              <w:top w:w="90" w:type="dxa"/>
              <w:left w:w="90" w:type="dxa"/>
              <w:bottom w:w="90" w:type="dxa"/>
              <w:right w:w="90" w:type="dxa"/>
            </w:tcMar>
          </w:tcPr>
          <w:p>
            <w:pPr>
              <w:spacing w:after="40" w:line="276" w:lineRule="auto"/>
            </w:pPr>
            <w:r>
              <w:rPr>
                <w:b w:val="0"/>
                <w:i w:val="0"/>
                <w:sz w:val="18"/>
              </w:rPr>
              <w:t>0.749960</w:t>
            </w:r>
          </w:p>
        </w:tc>
        <w:tc>
          <w:tcPr>
            <w:tcW w:type="dxa" w:w="2449"/>
            <w:vAlign w:val="center"/>
            <w:tcMar>
              <w:top w:w="90" w:type="dxa"/>
              <w:left w:w="90" w:type="dxa"/>
              <w:bottom w:w="90" w:type="dxa"/>
              <w:right w:w="90" w:type="dxa"/>
            </w:tcMar>
          </w:tcPr>
          <w:p>
            <w:pPr>
              <w:spacing w:after="40" w:line="276" w:lineRule="auto"/>
            </w:pPr>
            <w:r>
              <w:rPr>
                <w:b w:val="0"/>
                <w:i w:val="0"/>
                <w:sz w:val="18"/>
              </w:rPr>
              <w:t>187.490103</w:t>
            </w:r>
          </w:p>
        </w:tc>
      </w:tr>
      <w:tr>
        <w:trPr>
          <w:cantSplit/>
        </w:trPr>
        <w:tc>
          <w:tcPr>
            <w:tcW w:type="dxa" w:w="3263"/>
            <w:vAlign w:val="center"/>
            <w:tcMar>
              <w:top w:w="90" w:type="dxa"/>
              <w:left w:w="90" w:type="dxa"/>
              <w:bottom w:w="90" w:type="dxa"/>
              <w:right w:w="90" w:type="dxa"/>
            </w:tcMar>
          </w:tcPr>
          <w:p>
            <w:pPr>
              <w:spacing w:after="40" w:line="276" w:lineRule="auto"/>
            </w:pPr>
            <w:r>
              <w:rPr>
                <w:b w:val="0"/>
                <w:i w:val="0"/>
                <w:sz w:val="18"/>
              </w:rPr>
              <w:t>Pumped hydro</w:t>
            </w:r>
          </w:p>
        </w:tc>
        <w:tc>
          <w:tcPr>
            <w:tcW w:type="dxa" w:w="1967"/>
            <w:vAlign w:val="center"/>
            <w:tcMar>
              <w:top w:w="90" w:type="dxa"/>
              <w:left w:w="90" w:type="dxa"/>
              <w:bottom w:w="90" w:type="dxa"/>
              <w:right w:w="90" w:type="dxa"/>
            </w:tcMar>
          </w:tcPr>
          <w:p>
            <w:pPr>
              <w:spacing w:after="40" w:line="276" w:lineRule="auto"/>
            </w:pPr>
            <w:r>
              <w:rPr>
                <w:b w:val="0"/>
                <w:i w:val="0"/>
                <w:sz w:val="18"/>
              </w:rPr>
              <w:t>1</w:t>
            </w:r>
          </w:p>
        </w:tc>
        <w:tc>
          <w:tcPr>
            <w:tcW w:type="dxa" w:w="2113"/>
            <w:vAlign w:val="center"/>
            <w:tcMar>
              <w:top w:w="90" w:type="dxa"/>
              <w:left w:w="90" w:type="dxa"/>
              <w:bottom w:w="90" w:type="dxa"/>
              <w:right w:w="90" w:type="dxa"/>
            </w:tcMar>
          </w:tcPr>
          <w:p>
            <w:pPr>
              <w:spacing w:after="40" w:line="276" w:lineRule="auto"/>
            </w:pPr>
            <w:r>
              <w:rPr>
                <w:b w:val="0"/>
                <w:i w:val="0"/>
                <w:sz w:val="18"/>
              </w:rPr>
              <w:t>2,828</w:t>
            </w:r>
          </w:p>
        </w:tc>
        <w:tc>
          <w:tcPr>
            <w:tcW w:type="dxa" w:w="2449"/>
            <w:vAlign w:val="center"/>
            <w:tcMar>
              <w:top w:w="90" w:type="dxa"/>
              <w:left w:w="90" w:type="dxa"/>
              <w:bottom w:w="90" w:type="dxa"/>
              <w:right w:w="90" w:type="dxa"/>
            </w:tcMar>
          </w:tcPr>
          <w:p>
            <w:pPr>
              <w:spacing w:after="40" w:line="276" w:lineRule="auto"/>
            </w:pPr>
            <w:r>
              <w:rPr>
                <w:b w:val="0"/>
                <w:i w:val="0"/>
                <w:sz w:val="18"/>
              </w:rPr>
              <w:t>26,700</w:t>
            </w:r>
          </w:p>
        </w:tc>
      </w:tr>
    </w:tbl>
    <w:p>
      <w:pPr>
        <w:spacing w:after="20"/>
      </w:pPr>
    </w:p>
    <w:p>
      <w:r>
        <w:rPr>
          <w:b w:val="0"/>
          <w:i w:val="0"/>
        </w:rPr>
        <w:t xml:space="preserve">Planning inputs specify success probabilities by technology and region and duration distributions by technology and stage. </w:t>
      </w:r>
      <w:r>
        <w:rPr>
          <w:rFonts w:ascii="DejaVu Sans Mono" w:hAnsi="DejaVu Sans Mono"/>
          <w:b w:val="0"/>
          <w:i w:val="0"/>
          <w:sz w:val="17"/>
        </w:rPr>
        <w:t>regional_​technology_​success_​rates.csv</w:t>
      </w:r>
      <w:r>
        <w:rPr>
          <w:b w:val="0"/>
          <w:i w:val="0"/>
        </w:rPr>
        <w:t xml:space="preserve"> contains 46 records; </w:t>
      </w:r>
      <w:r>
        <w:rPr>
          <w:rFonts w:ascii="DejaVu Sans Mono" w:hAnsi="DejaVu Sans Mono"/>
          <w:b w:val="0"/>
          <w:i w:val="0"/>
          <w:sz w:val="17"/>
        </w:rPr>
        <w:t>planning_timelines.json</w:t>
      </w:r>
      <w:r>
        <w:rPr>
          <w:b w:val="0"/>
          <w:i w:val="0"/>
        </w:rPr>
        <w:t xml:space="preserve"> supplies stage durations in months. Both tables govern REPD projects and endogenous investment. The model freezes </w:t>
      </w:r>
      <w:r>
        <w:rPr>
          <w:rFonts w:ascii="DejaVu Sans Mono" w:hAnsi="DejaVu Sans Mono"/>
          <w:b w:val="0"/>
          <w:i w:val="0"/>
          <w:sz w:val="17"/>
        </w:rPr>
        <w:t>development_​stage_​timelines</w:t>
      </w:r>
      <w:r>
        <w:rPr>
          <w:b w:val="0"/>
          <w:i w:val="0"/>
        </w:rPr>
        <w:t xml:space="preserve">, </w:t>
      </w:r>
      <w:r>
        <w:rPr>
          <w:rFonts w:ascii="DejaVu Sans Mono" w:hAnsi="DejaVu Sans Mono"/>
          <w:b w:val="0"/>
          <w:i w:val="0"/>
          <w:sz w:val="17"/>
        </w:rPr>
        <w:t>repd_status_to_timeline</w:t>
      </w:r>
      <w:r>
        <w:rPr>
          <w:b w:val="0"/>
          <w:i w:val="0"/>
        </w:rPr>
        <w:t xml:space="preserve"> and </w:t>
      </w:r>
      <w:r>
        <w:rPr>
          <w:rFonts w:ascii="DejaVu Sans Mono" w:hAnsi="DejaVu Sans Mono"/>
          <w:b w:val="0"/>
          <w:i w:val="0"/>
          <w:sz w:val="17"/>
        </w:rPr>
        <w:t>success_rates</w:t>
      </w:r>
      <w:r>
        <w:rPr>
          <w:b w:val="0"/>
          <w:i w:val="0"/>
        </w:rPr>
        <w:t xml:space="preserve"> in the initial state.</w:t>
      </w:r>
    </w:p>
    <w:p>
      <w:r>
        <w:rPr>
          <w:b w:val="0"/>
          <w:i w:val="0"/>
        </w:rPr>
        <w:t xml:space="preserve">Endogenous proposals obtain their development duration and probability from these frozen tables under both methodology profiles. Technology labels, regional matching, deterministic month displacement, commissioning dates and expected-capacity or seeded-stochastic admission follow Chapters 4 and 6. </w:t>
      </w:r>
      <w:r>
        <w:rPr>
          <w:rFonts w:ascii="DejaVu Sans Mono" w:hAnsi="DejaVu Sans Mono"/>
          <w:b w:val="0"/>
          <w:i w:val="0"/>
          <w:sz w:val="17"/>
        </w:rPr>
        <w:t>endogenous_​planning._​success_​rate</w:t>
      </w:r>
      <w:r>
        <w:rPr>
          <w:b w:val="0"/>
          <w:i w:val="0"/>
        </w:rPr>
        <w:t xml:space="preserve"> takes the rate for the technology label and region, then the mean across that label's regions, then 0.75. The input development and construction medians are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84"/>
        <w:gridCol w:w="3567"/>
        <w:gridCol w:w="3641"/>
      </w:tblGrid>
      <w:tr>
        <w:trPr>
          <w:cantSplit/>
          <w:tblHeader w:val="true"/>
        </w:trPr>
        <w:tc>
          <w:tcPr>
            <w:tcW w:type="dxa" w:w="2584"/>
            <w:vAlign w:val="center"/>
            <w:tcMar>
              <w:top w:w="90" w:type="dxa"/>
              <w:left w:w="90" w:type="dxa"/>
              <w:bottom w:w="90" w:type="dxa"/>
              <w:right w:w="90" w:type="dxa"/>
            </w:tcMar>
            <w:shd w:fill="EEEEEE"/>
          </w:tcPr>
          <w:p>
            <w:pPr>
              <w:spacing w:after="40" w:line="276" w:lineRule="auto"/>
            </w:pPr>
            <w:r>
              <w:rPr>
                <w:b/>
                <w:i w:val="0"/>
                <w:sz w:val="18"/>
              </w:rPr>
              <w:t>Technology</w:t>
            </w:r>
          </w:p>
        </w:tc>
        <w:tc>
          <w:tcPr>
            <w:tcW w:type="dxa" w:w="3567"/>
            <w:vAlign w:val="center"/>
            <w:tcMar>
              <w:top w:w="90" w:type="dxa"/>
              <w:left w:w="90" w:type="dxa"/>
              <w:bottom w:w="90" w:type="dxa"/>
              <w:right w:w="90" w:type="dxa"/>
            </w:tcMar>
            <w:shd w:fill="EEEEEE"/>
          </w:tcPr>
          <w:p>
            <w:pPr>
              <w:spacing w:after="40" w:line="276" w:lineRule="auto"/>
            </w:pPr>
            <w:r>
              <w:rPr>
                <w:b/>
                <w:i w:val="0"/>
                <w:sz w:val="18"/>
              </w:rPr>
              <w:t>Median development months</w:t>
            </w:r>
          </w:p>
        </w:tc>
        <w:tc>
          <w:tcPr>
            <w:tcW w:type="dxa" w:w="3641"/>
            <w:vAlign w:val="center"/>
            <w:tcMar>
              <w:top w:w="90" w:type="dxa"/>
              <w:left w:w="90" w:type="dxa"/>
              <w:bottom w:w="90" w:type="dxa"/>
              <w:right w:w="90" w:type="dxa"/>
            </w:tcMar>
            <w:shd w:fill="EEEEEE"/>
          </w:tcPr>
          <w:p>
            <w:pPr>
              <w:spacing w:after="40" w:line="276" w:lineRule="auto"/>
            </w:pPr>
            <w:r>
              <w:rPr>
                <w:b/>
                <w:i w:val="0"/>
                <w:sz w:val="18"/>
              </w:rPr>
              <w:t>Median construction months</w:t>
            </w:r>
          </w:p>
        </w:tc>
      </w:tr>
      <w:tr>
        <w:trPr>
          <w:cantSplit/>
        </w:trPr>
        <w:tc>
          <w:tcPr>
            <w:tcW w:type="dxa" w:w="2584"/>
            <w:vAlign w:val="center"/>
            <w:tcMar>
              <w:top w:w="90" w:type="dxa"/>
              <w:left w:w="90" w:type="dxa"/>
              <w:bottom w:w="90" w:type="dxa"/>
              <w:right w:w="90" w:type="dxa"/>
            </w:tcMar>
          </w:tcPr>
          <w:p>
            <w:pPr>
              <w:spacing w:after="40" w:line="276" w:lineRule="auto"/>
            </w:pPr>
            <w:r>
              <w:rPr>
                <w:b w:val="0"/>
                <w:i w:val="0"/>
                <w:sz w:val="18"/>
              </w:rPr>
              <w:t>Solar</w:t>
            </w:r>
          </w:p>
        </w:tc>
        <w:tc>
          <w:tcPr>
            <w:tcW w:type="dxa" w:w="3567"/>
            <w:vAlign w:val="center"/>
            <w:tcMar>
              <w:top w:w="90" w:type="dxa"/>
              <w:left w:w="90" w:type="dxa"/>
              <w:bottom w:w="90" w:type="dxa"/>
              <w:right w:w="90" w:type="dxa"/>
            </w:tcMar>
          </w:tcPr>
          <w:p>
            <w:pPr>
              <w:spacing w:after="40" w:line="276" w:lineRule="auto"/>
            </w:pPr>
            <w:r>
              <w:rPr>
                <w:b w:val="0"/>
                <w:i w:val="0"/>
                <w:sz w:val="18"/>
              </w:rPr>
              <w:t>27.8</w:t>
            </w:r>
          </w:p>
        </w:tc>
        <w:tc>
          <w:tcPr>
            <w:tcW w:type="dxa" w:w="3641"/>
            <w:vAlign w:val="center"/>
            <w:tcMar>
              <w:top w:w="90" w:type="dxa"/>
              <w:left w:w="90" w:type="dxa"/>
              <w:bottom w:w="90" w:type="dxa"/>
              <w:right w:w="90" w:type="dxa"/>
            </w:tcMar>
          </w:tcPr>
          <w:p>
            <w:pPr>
              <w:spacing w:after="40" w:line="276" w:lineRule="auto"/>
            </w:pPr>
            <w:r>
              <w:rPr>
                <w:b w:val="0"/>
                <w:i w:val="0"/>
                <w:sz w:val="18"/>
              </w:rPr>
              <w:t>4.9</w:t>
            </w:r>
          </w:p>
        </w:tc>
      </w:tr>
      <w:tr>
        <w:trPr>
          <w:cantSplit/>
        </w:trPr>
        <w:tc>
          <w:tcPr>
            <w:tcW w:type="dxa" w:w="2584"/>
            <w:vAlign w:val="center"/>
            <w:tcMar>
              <w:top w:w="90" w:type="dxa"/>
              <w:left w:w="90" w:type="dxa"/>
              <w:bottom w:w="90" w:type="dxa"/>
              <w:right w:w="90" w:type="dxa"/>
            </w:tcMar>
          </w:tcPr>
          <w:p>
            <w:pPr>
              <w:spacing w:after="40" w:line="276" w:lineRule="auto"/>
            </w:pPr>
            <w:r>
              <w:rPr>
                <w:b w:val="0"/>
                <w:i w:val="0"/>
                <w:sz w:val="18"/>
              </w:rPr>
              <w:t>Onshore wind</w:t>
            </w:r>
          </w:p>
        </w:tc>
        <w:tc>
          <w:tcPr>
            <w:tcW w:type="dxa" w:w="3567"/>
            <w:vAlign w:val="center"/>
            <w:tcMar>
              <w:top w:w="90" w:type="dxa"/>
              <w:left w:w="90" w:type="dxa"/>
              <w:bottom w:w="90" w:type="dxa"/>
              <w:right w:w="90" w:type="dxa"/>
            </w:tcMar>
          </w:tcPr>
          <w:p>
            <w:pPr>
              <w:spacing w:after="40" w:line="276" w:lineRule="auto"/>
            </w:pPr>
            <w:r>
              <w:rPr>
                <w:b w:val="0"/>
                <w:i w:val="0"/>
                <w:sz w:val="18"/>
              </w:rPr>
              <w:t>62.5</w:t>
            </w:r>
          </w:p>
        </w:tc>
        <w:tc>
          <w:tcPr>
            <w:tcW w:type="dxa" w:w="3641"/>
            <w:vAlign w:val="center"/>
            <w:tcMar>
              <w:top w:w="90" w:type="dxa"/>
              <w:left w:w="90" w:type="dxa"/>
              <w:bottom w:w="90" w:type="dxa"/>
              <w:right w:w="90" w:type="dxa"/>
            </w:tcMar>
          </w:tcPr>
          <w:p>
            <w:pPr>
              <w:spacing w:after="40" w:line="276" w:lineRule="auto"/>
            </w:pPr>
            <w:r>
              <w:rPr>
                <w:b w:val="0"/>
                <w:i w:val="0"/>
                <w:sz w:val="18"/>
              </w:rPr>
              <w:t>15.0</w:t>
            </w:r>
          </w:p>
        </w:tc>
      </w:tr>
      <w:tr>
        <w:trPr>
          <w:cantSplit/>
        </w:trPr>
        <w:tc>
          <w:tcPr>
            <w:tcW w:type="dxa" w:w="2584"/>
            <w:vAlign w:val="center"/>
            <w:tcMar>
              <w:top w:w="90" w:type="dxa"/>
              <w:left w:w="90" w:type="dxa"/>
              <w:bottom w:w="90" w:type="dxa"/>
              <w:right w:w="90" w:type="dxa"/>
            </w:tcMar>
          </w:tcPr>
          <w:p>
            <w:pPr>
              <w:spacing w:after="40" w:line="276" w:lineRule="auto"/>
            </w:pPr>
            <w:r>
              <w:rPr>
                <w:b w:val="0"/>
                <w:i w:val="0"/>
                <w:sz w:val="18"/>
              </w:rPr>
              <w:t>Offshore wind</w:t>
            </w:r>
          </w:p>
        </w:tc>
        <w:tc>
          <w:tcPr>
            <w:tcW w:type="dxa" w:w="3567"/>
            <w:vAlign w:val="center"/>
            <w:tcMar>
              <w:top w:w="90" w:type="dxa"/>
              <w:left w:w="90" w:type="dxa"/>
              <w:bottom w:w="90" w:type="dxa"/>
              <w:right w:w="90" w:type="dxa"/>
            </w:tcMar>
          </w:tcPr>
          <w:p>
            <w:pPr>
              <w:spacing w:after="40" w:line="276" w:lineRule="auto"/>
            </w:pPr>
            <w:r>
              <w:rPr>
                <w:b w:val="0"/>
                <w:i w:val="0"/>
                <w:sz w:val="18"/>
              </w:rPr>
              <w:t>110.1</w:t>
            </w:r>
          </w:p>
        </w:tc>
        <w:tc>
          <w:tcPr>
            <w:tcW w:type="dxa" w:w="3641"/>
            <w:vAlign w:val="center"/>
            <w:tcMar>
              <w:top w:w="90" w:type="dxa"/>
              <w:left w:w="90" w:type="dxa"/>
              <w:bottom w:w="90" w:type="dxa"/>
              <w:right w:w="90" w:type="dxa"/>
            </w:tcMar>
          </w:tcPr>
          <w:p>
            <w:pPr>
              <w:spacing w:after="40" w:line="276" w:lineRule="auto"/>
            </w:pPr>
            <w:r>
              <w:rPr>
                <w:b w:val="0"/>
                <w:i w:val="0"/>
                <w:sz w:val="18"/>
              </w:rPr>
              <w:t>32.2</w:t>
            </w:r>
          </w:p>
        </w:tc>
      </w:tr>
      <w:tr>
        <w:trPr>
          <w:cantSplit/>
        </w:trPr>
        <w:tc>
          <w:tcPr>
            <w:tcW w:type="dxa" w:w="2584"/>
            <w:vAlign w:val="center"/>
            <w:tcMar>
              <w:top w:w="90" w:type="dxa"/>
              <w:left w:w="90" w:type="dxa"/>
              <w:bottom w:w="90" w:type="dxa"/>
              <w:right w:w="90" w:type="dxa"/>
            </w:tcMar>
          </w:tcPr>
          <w:p>
            <w:pPr>
              <w:spacing w:after="40" w:line="276" w:lineRule="auto"/>
            </w:pPr>
            <w:r>
              <w:rPr>
                <w:b w:val="0"/>
                <w:i w:val="0"/>
                <w:sz w:val="18"/>
              </w:rPr>
              <w:t>Battery</w:t>
            </w:r>
          </w:p>
        </w:tc>
        <w:tc>
          <w:tcPr>
            <w:tcW w:type="dxa" w:w="3567"/>
            <w:vAlign w:val="center"/>
            <w:tcMar>
              <w:top w:w="90" w:type="dxa"/>
              <w:left w:w="90" w:type="dxa"/>
              <w:bottom w:w="90" w:type="dxa"/>
              <w:right w:w="90" w:type="dxa"/>
            </w:tcMar>
          </w:tcPr>
          <w:p>
            <w:pPr>
              <w:spacing w:after="40" w:line="276" w:lineRule="auto"/>
            </w:pPr>
            <w:r>
              <w:rPr>
                <w:b w:val="0"/>
                <w:i w:val="0"/>
                <w:sz w:val="18"/>
              </w:rPr>
              <w:t>31.3</w:t>
            </w:r>
          </w:p>
        </w:tc>
        <w:tc>
          <w:tcPr>
            <w:tcW w:type="dxa" w:w="3641"/>
            <w:vAlign w:val="center"/>
            <w:tcMar>
              <w:top w:w="90" w:type="dxa"/>
              <w:left w:w="90" w:type="dxa"/>
              <w:bottom w:w="90" w:type="dxa"/>
              <w:right w:w="90" w:type="dxa"/>
            </w:tcMar>
          </w:tcPr>
          <w:p>
            <w:pPr>
              <w:spacing w:after="40" w:line="276" w:lineRule="auto"/>
            </w:pPr>
            <w:r>
              <w:rPr>
                <w:b w:val="0"/>
                <w:i w:val="0"/>
                <w:sz w:val="18"/>
              </w:rPr>
              <w:t>10.1</w:t>
            </w:r>
          </w:p>
        </w:tc>
      </w:tr>
    </w:tbl>
    <w:p>
      <w:pPr>
        <w:spacing w:after="20"/>
      </w:pPr>
    </w:p>
    <w:p>
      <w:pPr>
        <w:pStyle w:val="Heading2"/>
      </w:pPr>
      <w:r>
        <w:rPr>
          <w:b w:val="0"/>
          <w:i w:val="0"/>
        </w:rPr>
        <w:t>Costs and storage parameters</w:t>
      </w:r>
    </w:p>
    <w:p>
      <w:r>
        <w:rPr>
          <w:b w:val="0"/>
          <w:i w:val="0"/>
        </w:rPr>
        <w:t xml:space="preserve">Investment inputs specify unit capital costs, payback targets and technical operating parameters separately. R029 uses </w:t>
      </w:r>
      <w:r>
        <w:rPr>
          <w:rFonts w:ascii="DejaVu Sans Mono" w:hAnsi="DejaVu Sans Mono"/>
          <w:b w:val="0"/>
          <w:i w:val="0"/>
          <w:sz w:val="17"/>
        </w:rPr>
        <w:t>capital_costs.json</w:t>
      </w:r>
      <w:r>
        <w:rPr>
          <w:b w:val="0"/>
          <w:i w:val="0"/>
        </w:rPr>
        <w:t xml:space="preserve"> and </w:t>
      </w:r>
      <w:r>
        <w:rPr>
          <w:rFonts w:ascii="DejaVu Sans Mono" w:hAnsi="DejaVu Sans Mono"/>
          <w:b w:val="0"/>
          <w:i w:val="0"/>
          <w:sz w:val="17"/>
        </w:rPr>
        <w:t>model_parameters.json</w:t>
      </w:r>
      <w:r>
        <w:rPr>
          <w:b w:val="0"/>
          <w:i w:val="0"/>
        </w:rPr>
        <w:t xml:space="preserve"> from its study configuration. Upstream capital-cost sources include BEIS Electricity Generation Costs 2020 and Arup material; the table reports the parameters adopted by the model. The default rate for annual capital recovery is 0.05; investment decisions compare undiscounted return and payback. The table gives the base-configuration payback targets and </w:t>
      </w:r>
      <w:r>
        <w:rPr>
          <w:rFonts w:ascii="DejaVu Sans Mono" w:hAnsi="DejaVu Sans Mono"/>
          <w:b w:val="0"/>
          <w:i w:val="0"/>
          <w:sz w:val="17"/>
        </w:rPr>
        <w:t>preferred_rate</w:t>
      </w:r>
      <w:r>
        <w:rPr>
          <w:b w:val="0"/>
          <w:i w:val="0"/>
        </w:rPr>
        <w:t xml:space="preserve"> parameters. R029's investment rule sets the effective threshold for all four expandable storage technologies to 0.12; Chapter 6 defines its profit ratio and decision rules.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20"/>
        <w:gridCol w:w="2543"/>
        <w:gridCol w:w="2226"/>
        <w:gridCol w:w="2604"/>
      </w:tblGrid>
      <w:tr>
        <w:trPr>
          <w:cantSplit/>
          <w:tblHeader w:val="true"/>
        </w:trPr>
        <w:tc>
          <w:tcPr>
            <w:tcW w:type="dxa" w:w="2420"/>
            <w:vAlign w:val="center"/>
            <w:tcMar>
              <w:top w:w="90" w:type="dxa"/>
              <w:left w:w="90" w:type="dxa"/>
              <w:bottom w:w="90" w:type="dxa"/>
              <w:right w:w="90" w:type="dxa"/>
            </w:tcMar>
            <w:shd w:fill="EEEEEE"/>
          </w:tcPr>
          <w:p>
            <w:pPr>
              <w:spacing w:after="40" w:line="276" w:lineRule="auto"/>
            </w:pPr>
            <w:r>
              <w:rPr>
                <w:b/>
                <w:i w:val="0"/>
                <w:sz w:val="18"/>
              </w:rPr>
              <w:t>Technology</w:t>
            </w:r>
          </w:p>
        </w:tc>
        <w:tc>
          <w:tcPr>
            <w:tcW w:type="dxa" w:w="2543"/>
            <w:vAlign w:val="center"/>
            <w:tcMar>
              <w:top w:w="90" w:type="dxa"/>
              <w:left w:w="90" w:type="dxa"/>
              <w:bottom w:w="90" w:type="dxa"/>
              <w:right w:w="90" w:type="dxa"/>
            </w:tcMar>
            <w:shd w:fill="EEEEEE"/>
          </w:tcPr>
          <w:p>
            <w:pPr>
              <w:spacing w:after="40" w:line="276" w:lineRule="auto"/>
            </w:pPr>
            <w:r>
              <w:rPr>
                <w:b/>
                <w:i w:val="0"/>
                <w:sz w:val="18"/>
              </w:rPr>
              <w:t>Capital cost GBP/MW</w:t>
            </w:r>
          </w:p>
        </w:tc>
        <w:tc>
          <w:tcPr>
            <w:tcW w:type="dxa" w:w="2226"/>
            <w:vAlign w:val="center"/>
            <w:tcMar>
              <w:top w:w="90" w:type="dxa"/>
              <w:left w:w="90" w:type="dxa"/>
              <w:bottom w:w="90" w:type="dxa"/>
              <w:right w:w="90" w:type="dxa"/>
            </w:tcMar>
            <w:shd w:fill="EEEEEE"/>
          </w:tcPr>
          <w:p>
            <w:pPr>
              <w:spacing w:after="40" w:line="276" w:lineRule="auto"/>
            </w:pPr>
            <w:r>
              <w:rPr>
                <w:rFonts w:ascii="DejaVu Sans Mono" w:hAnsi="DejaVu Sans Mono"/>
                <w:b/>
                <w:i w:val="0"/>
                <w:sz w:val="18"/>
              </w:rPr>
              <w:t>preferred_rate</w:t>
            </w:r>
          </w:p>
        </w:tc>
        <w:tc>
          <w:tcPr>
            <w:tcW w:type="dxa" w:w="2604"/>
            <w:vAlign w:val="center"/>
            <w:tcMar>
              <w:top w:w="90" w:type="dxa"/>
              <w:left w:w="90" w:type="dxa"/>
              <w:bottom w:w="90" w:type="dxa"/>
              <w:right w:w="90" w:type="dxa"/>
            </w:tcMar>
            <w:shd w:fill="EEEEEE"/>
          </w:tcPr>
          <w:p>
            <w:pPr>
              <w:spacing w:after="40" w:line="276" w:lineRule="auto"/>
            </w:pPr>
            <w:r>
              <w:rPr>
                <w:b/>
                <w:i w:val="0"/>
                <w:sz w:val="18"/>
              </w:rPr>
              <w:t>Target payback years</w:t>
            </w:r>
          </w:p>
        </w:tc>
      </w:tr>
      <w:tr>
        <w:trPr>
          <w:cantSplit/>
        </w:trPr>
        <w:tc>
          <w:tcPr>
            <w:tcW w:type="dxa" w:w="2420"/>
            <w:vAlign w:val="center"/>
            <w:tcMar>
              <w:top w:w="90" w:type="dxa"/>
              <w:left w:w="90" w:type="dxa"/>
              <w:bottom w:w="90" w:type="dxa"/>
              <w:right w:w="90" w:type="dxa"/>
            </w:tcMar>
          </w:tcPr>
          <w:p>
            <w:pPr>
              <w:spacing w:after="40" w:line="276" w:lineRule="auto"/>
            </w:pPr>
            <w:r>
              <w:rPr>
                <w:b w:val="0"/>
                <w:i w:val="0"/>
                <w:sz w:val="18"/>
              </w:rPr>
              <w:t>Solar</w:t>
            </w:r>
          </w:p>
        </w:tc>
        <w:tc>
          <w:tcPr>
            <w:tcW w:type="dxa" w:w="2543"/>
            <w:vAlign w:val="center"/>
            <w:tcMar>
              <w:top w:w="90" w:type="dxa"/>
              <w:left w:w="90" w:type="dxa"/>
              <w:bottom w:w="90" w:type="dxa"/>
              <w:right w:w="90" w:type="dxa"/>
            </w:tcMar>
          </w:tcPr>
          <w:p>
            <w:pPr>
              <w:spacing w:after="40" w:line="276" w:lineRule="auto"/>
            </w:pPr>
            <w:r>
              <w:rPr>
                <w:b w:val="0"/>
                <w:i w:val="0"/>
                <w:sz w:val="18"/>
              </w:rPr>
              <w:t>659,000</w:t>
            </w:r>
          </w:p>
        </w:tc>
        <w:tc>
          <w:tcPr>
            <w:tcW w:type="dxa" w:w="2226"/>
            <w:vAlign w:val="center"/>
            <w:tcMar>
              <w:top w:w="90" w:type="dxa"/>
              <w:left w:w="90" w:type="dxa"/>
              <w:bottom w:w="90" w:type="dxa"/>
              <w:right w:w="90" w:type="dxa"/>
            </w:tcMar>
          </w:tcPr>
          <w:p>
            <w:pPr>
              <w:spacing w:after="40" w:line="276" w:lineRule="auto"/>
            </w:pPr>
            <w:r>
              <w:rPr>
                <w:b w:val="0"/>
                <w:i w:val="0"/>
                <w:sz w:val="18"/>
              </w:rPr>
              <w:t>0.076</w:t>
            </w:r>
          </w:p>
        </w:tc>
        <w:tc>
          <w:tcPr>
            <w:tcW w:type="dxa" w:w="2604"/>
            <w:vAlign w:val="center"/>
            <w:tcMar>
              <w:top w:w="90" w:type="dxa"/>
              <w:left w:w="90" w:type="dxa"/>
              <w:bottom w:w="90" w:type="dxa"/>
              <w:right w:w="90" w:type="dxa"/>
            </w:tcMar>
          </w:tcPr>
          <w:p>
            <w:pPr>
              <w:spacing w:after="40" w:line="276" w:lineRule="auto"/>
            </w:pPr>
            <w:r>
              <w:rPr>
                <w:b w:val="0"/>
                <w:i w:val="0"/>
                <w:sz w:val="18"/>
              </w:rPr>
              <w:t>25</w:t>
            </w:r>
          </w:p>
        </w:tc>
      </w:tr>
      <w:tr>
        <w:trPr>
          <w:cantSplit/>
        </w:trPr>
        <w:tc>
          <w:tcPr>
            <w:tcW w:type="dxa" w:w="2420"/>
            <w:vAlign w:val="center"/>
            <w:tcMar>
              <w:top w:w="90" w:type="dxa"/>
              <w:left w:w="90" w:type="dxa"/>
              <w:bottom w:w="90" w:type="dxa"/>
              <w:right w:w="90" w:type="dxa"/>
            </w:tcMar>
          </w:tcPr>
          <w:p>
            <w:pPr>
              <w:spacing w:after="40" w:line="276" w:lineRule="auto"/>
            </w:pPr>
            <w:r>
              <w:rPr>
                <w:b w:val="0"/>
                <w:i w:val="0"/>
                <w:sz w:val="18"/>
              </w:rPr>
              <w:t>Onshore wind</w:t>
            </w:r>
          </w:p>
        </w:tc>
        <w:tc>
          <w:tcPr>
            <w:tcW w:type="dxa" w:w="2543"/>
            <w:vAlign w:val="center"/>
            <w:tcMar>
              <w:top w:w="90" w:type="dxa"/>
              <w:left w:w="90" w:type="dxa"/>
              <w:bottom w:w="90" w:type="dxa"/>
              <w:right w:w="90" w:type="dxa"/>
            </w:tcMar>
          </w:tcPr>
          <w:p>
            <w:pPr>
              <w:spacing w:after="40" w:line="276" w:lineRule="auto"/>
            </w:pPr>
            <w:r>
              <w:rPr>
                <w:b w:val="0"/>
                <w:i w:val="0"/>
                <w:sz w:val="18"/>
              </w:rPr>
              <w:t>1,588,000</w:t>
            </w:r>
          </w:p>
        </w:tc>
        <w:tc>
          <w:tcPr>
            <w:tcW w:type="dxa" w:w="2226"/>
            <w:vAlign w:val="center"/>
            <w:tcMar>
              <w:top w:w="90" w:type="dxa"/>
              <w:left w:w="90" w:type="dxa"/>
              <w:bottom w:w="90" w:type="dxa"/>
              <w:right w:w="90" w:type="dxa"/>
            </w:tcMar>
          </w:tcPr>
          <w:p>
            <w:pPr>
              <w:spacing w:after="40" w:line="276" w:lineRule="auto"/>
            </w:pPr>
            <w:r>
              <w:rPr>
                <w:b w:val="0"/>
                <w:i w:val="0"/>
                <w:sz w:val="18"/>
              </w:rPr>
              <w:t>0.076</w:t>
            </w:r>
          </w:p>
        </w:tc>
        <w:tc>
          <w:tcPr>
            <w:tcW w:type="dxa" w:w="2604"/>
            <w:vAlign w:val="center"/>
            <w:tcMar>
              <w:top w:w="90" w:type="dxa"/>
              <w:left w:w="90" w:type="dxa"/>
              <w:bottom w:w="90" w:type="dxa"/>
              <w:right w:w="90" w:type="dxa"/>
            </w:tcMar>
          </w:tcPr>
          <w:p>
            <w:pPr>
              <w:spacing w:after="40" w:line="276" w:lineRule="auto"/>
            </w:pPr>
            <w:r>
              <w:rPr>
                <w:b w:val="0"/>
                <w:i w:val="0"/>
                <w:sz w:val="18"/>
              </w:rPr>
              <w:t>30</w:t>
            </w:r>
          </w:p>
        </w:tc>
      </w:tr>
      <w:tr>
        <w:trPr>
          <w:cantSplit/>
        </w:trPr>
        <w:tc>
          <w:tcPr>
            <w:tcW w:type="dxa" w:w="2420"/>
            <w:vAlign w:val="center"/>
            <w:tcMar>
              <w:top w:w="90" w:type="dxa"/>
              <w:left w:w="90" w:type="dxa"/>
              <w:bottom w:w="90" w:type="dxa"/>
              <w:right w:w="90" w:type="dxa"/>
            </w:tcMar>
          </w:tcPr>
          <w:p>
            <w:pPr>
              <w:spacing w:after="40" w:line="276" w:lineRule="auto"/>
            </w:pPr>
            <w:r>
              <w:rPr>
                <w:b w:val="0"/>
                <w:i w:val="0"/>
                <w:sz w:val="18"/>
              </w:rPr>
              <w:t>Offshore wind</w:t>
            </w:r>
          </w:p>
        </w:tc>
        <w:tc>
          <w:tcPr>
            <w:tcW w:type="dxa" w:w="2543"/>
            <w:vAlign w:val="center"/>
            <w:tcMar>
              <w:top w:w="90" w:type="dxa"/>
              <w:left w:w="90" w:type="dxa"/>
              <w:bottom w:w="90" w:type="dxa"/>
              <w:right w:w="90" w:type="dxa"/>
            </w:tcMar>
          </w:tcPr>
          <w:p>
            <w:pPr>
              <w:spacing w:after="40" w:line="276" w:lineRule="auto"/>
            </w:pPr>
            <w:r>
              <w:rPr>
                <w:b w:val="0"/>
                <w:i w:val="0"/>
                <w:sz w:val="18"/>
              </w:rPr>
              <w:t>3,976,000</w:t>
            </w:r>
          </w:p>
        </w:tc>
        <w:tc>
          <w:tcPr>
            <w:tcW w:type="dxa" w:w="2226"/>
            <w:vAlign w:val="center"/>
            <w:tcMar>
              <w:top w:w="90" w:type="dxa"/>
              <w:left w:w="90" w:type="dxa"/>
              <w:bottom w:w="90" w:type="dxa"/>
              <w:right w:w="90" w:type="dxa"/>
            </w:tcMar>
          </w:tcPr>
          <w:p>
            <w:pPr>
              <w:spacing w:after="40" w:line="276" w:lineRule="auto"/>
            </w:pPr>
            <w:r>
              <w:rPr>
                <w:b w:val="0"/>
                <w:i w:val="0"/>
                <w:sz w:val="18"/>
              </w:rPr>
              <w:t>0.089</w:t>
            </w:r>
          </w:p>
        </w:tc>
        <w:tc>
          <w:tcPr>
            <w:tcW w:type="dxa" w:w="2604"/>
            <w:vAlign w:val="center"/>
            <w:tcMar>
              <w:top w:w="90" w:type="dxa"/>
              <w:left w:w="90" w:type="dxa"/>
              <w:bottom w:w="90" w:type="dxa"/>
              <w:right w:w="90" w:type="dxa"/>
            </w:tcMar>
          </w:tcPr>
          <w:p>
            <w:pPr>
              <w:spacing w:after="40" w:line="276" w:lineRule="auto"/>
            </w:pPr>
            <w:r>
              <w:rPr>
                <w:b w:val="0"/>
                <w:i w:val="0"/>
                <w:sz w:val="18"/>
              </w:rPr>
              <w:t>30</w:t>
            </w:r>
          </w:p>
        </w:tc>
      </w:tr>
      <w:tr>
        <w:trPr>
          <w:cantSplit/>
        </w:trPr>
        <w:tc>
          <w:tcPr>
            <w:tcW w:type="dxa" w:w="2420"/>
            <w:vAlign w:val="center"/>
            <w:tcMar>
              <w:top w:w="90" w:type="dxa"/>
              <w:left w:w="90" w:type="dxa"/>
              <w:bottom w:w="90" w:type="dxa"/>
              <w:right w:w="90" w:type="dxa"/>
            </w:tcMar>
          </w:tcPr>
          <w:p>
            <w:pPr>
              <w:spacing w:after="40" w:line="276" w:lineRule="auto"/>
            </w:pPr>
            <w:r>
              <w:rPr>
                <w:b w:val="0"/>
                <w:i w:val="0"/>
                <w:sz w:val="18"/>
              </w:rPr>
              <w:t>CCGT / OCGT</w:t>
            </w:r>
          </w:p>
        </w:tc>
        <w:tc>
          <w:tcPr>
            <w:tcW w:type="dxa" w:w="2543"/>
            <w:vAlign w:val="center"/>
            <w:tcMar>
              <w:top w:w="90" w:type="dxa"/>
              <w:left w:w="90" w:type="dxa"/>
              <w:bottom w:w="90" w:type="dxa"/>
              <w:right w:w="90" w:type="dxa"/>
            </w:tcMar>
          </w:tcPr>
          <w:p>
            <w:pPr>
              <w:spacing w:after="40" w:line="276" w:lineRule="auto"/>
            </w:pPr>
            <w:r>
              <w:rPr>
                <w:b w:val="0"/>
                <w:i w:val="0"/>
                <w:sz w:val="18"/>
              </w:rPr>
              <w:t>2,400,000</w:t>
            </w:r>
          </w:p>
        </w:tc>
        <w:tc>
          <w:tcPr>
            <w:tcW w:type="dxa" w:w="2226"/>
            <w:vAlign w:val="center"/>
            <w:tcMar>
              <w:top w:w="90" w:type="dxa"/>
              <w:left w:w="90" w:type="dxa"/>
              <w:bottom w:w="90" w:type="dxa"/>
              <w:right w:w="90" w:type="dxa"/>
            </w:tcMar>
          </w:tcPr>
          <w:p>
            <w:pPr>
              <w:spacing w:after="40" w:line="276" w:lineRule="auto"/>
            </w:pPr>
            <w:r>
              <w:rPr>
                <w:b w:val="0"/>
                <w:i w:val="0"/>
                <w:sz w:val="18"/>
              </w:rPr>
              <w:t>0.089</w:t>
            </w:r>
          </w:p>
        </w:tc>
        <w:tc>
          <w:tcPr>
            <w:tcW w:type="dxa" w:w="2604"/>
            <w:vAlign w:val="center"/>
            <w:tcMar>
              <w:top w:w="90" w:type="dxa"/>
              <w:left w:w="90" w:type="dxa"/>
              <w:bottom w:w="90" w:type="dxa"/>
              <w:right w:w="90" w:type="dxa"/>
            </w:tcMar>
          </w:tcPr>
          <w:p>
            <w:pPr>
              <w:spacing w:after="40" w:line="276" w:lineRule="auto"/>
            </w:pPr>
            <w:r>
              <w:rPr>
                <w:b w:val="0"/>
                <w:i w:val="0"/>
                <w:sz w:val="18"/>
              </w:rPr>
              <w:t>25</w:t>
            </w:r>
          </w:p>
        </w:tc>
      </w:tr>
      <w:tr>
        <w:trPr>
          <w:cantSplit/>
        </w:trPr>
        <w:tc>
          <w:tcPr>
            <w:tcW w:type="dxa" w:w="2420"/>
            <w:vAlign w:val="center"/>
            <w:tcMar>
              <w:top w:w="90" w:type="dxa"/>
              <w:left w:w="90" w:type="dxa"/>
              <w:bottom w:w="90" w:type="dxa"/>
              <w:right w:w="90" w:type="dxa"/>
            </w:tcMar>
          </w:tcPr>
          <w:p>
            <w:pPr>
              <w:spacing w:after="40" w:line="276" w:lineRule="auto"/>
            </w:pPr>
            <w:r>
              <w:rPr>
                <w:b w:val="0"/>
                <w:i w:val="0"/>
                <w:sz w:val="18"/>
              </w:rPr>
              <w:t>Biomass and waste</w:t>
            </w:r>
          </w:p>
        </w:tc>
        <w:tc>
          <w:tcPr>
            <w:tcW w:type="dxa" w:w="2543"/>
            <w:vAlign w:val="center"/>
            <w:tcMar>
              <w:top w:w="90" w:type="dxa"/>
              <w:left w:w="90" w:type="dxa"/>
              <w:bottom w:w="90" w:type="dxa"/>
              <w:right w:w="90" w:type="dxa"/>
            </w:tcMar>
          </w:tcPr>
          <w:p>
            <w:pPr>
              <w:spacing w:after="40" w:line="276" w:lineRule="auto"/>
            </w:pPr>
            <w:r>
              <w:rPr>
                <w:b w:val="0"/>
                <w:i w:val="0"/>
                <w:sz w:val="18"/>
              </w:rPr>
              <w:t>1,500,000</w:t>
            </w:r>
          </w:p>
        </w:tc>
        <w:tc>
          <w:tcPr>
            <w:tcW w:type="dxa" w:w="2226"/>
            <w:vAlign w:val="center"/>
            <w:tcMar>
              <w:top w:w="90" w:type="dxa"/>
              <w:left w:w="90" w:type="dxa"/>
              <w:bottom w:w="90" w:type="dxa"/>
              <w:right w:w="90" w:type="dxa"/>
            </w:tcMar>
          </w:tcPr>
          <w:p>
            <w:pPr>
              <w:spacing w:after="40" w:line="276" w:lineRule="auto"/>
            </w:pPr>
            <w:r>
              <w:rPr>
                <w:b w:val="0"/>
                <w:i w:val="0"/>
                <w:sz w:val="18"/>
              </w:rPr>
              <w:t>0.089</w:t>
            </w:r>
          </w:p>
        </w:tc>
        <w:tc>
          <w:tcPr>
            <w:tcW w:type="dxa" w:w="2604"/>
            <w:vAlign w:val="center"/>
            <w:tcMar>
              <w:top w:w="90" w:type="dxa"/>
              <w:left w:w="90" w:type="dxa"/>
              <w:bottom w:w="90" w:type="dxa"/>
              <w:right w:w="90" w:type="dxa"/>
            </w:tcMar>
          </w:tcPr>
          <w:p>
            <w:pPr>
              <w:spacing w:after="40" w:line="276" w:lineRule="auto"/>
            </w:pPr>
            <w:r>
              <w:rPr>
                <w:b w:val="0"/>
                <w:i w:val="0"/>
                <w:sz w:val="18"/>
              </w:rPr>
              <w:t>20</w:t>
            </w:r>
          </w:p>
        </w:tc>
      </w:tr>
      <w:tr>
        <w:trPr>
          <w:cantSplit/>
        </w:trPr>
        <w:tc>
          <w:tcPr>
            <w:tcW w:type="dxa" w:w="2420"/>
            <w:vAlign w:val="center"/>
            <w:tcMar>
              <w:top w:w="90" w:type="dxa"/>
              <w:left w:w="90" w:type="dxa"/>
              <w:bottom w:w="90" w:type="dxa"/>
              <w:right w:w="90" w:type="dxa"/>
            </w:tcMar>
          </w:tcPr>
          <w:p>
            <w:pPr>
              <w:spacing w:after="40" w:line="276" w:lineRule="auto"/>
            </w:pPr>
            <w:r>
              <w:rPr>
                <w:b w:val="0"/>
                <w:i w:val="0"/>
                <w:sz w:val="18"/>
              </w:rPr>
              <w:t>1C battery</w:t>
            </w:r>
          </w:p>
        </w:tc>
        <w:tc>
          <w:tcPr>
            <w:tcW w:type="dxa" w:w="2543"/>
            <w:vAlign w:val="center"/>
            <w:tcMar>
              <w:top w:w="90" w:type="dxa"/>
              <w:left w:w="90" w:type="dxa"/>
              <w:bottom w:w="90" w:type="dxa"/>
              <w:right w:w="90" w:type="dxa"/>
            </w:tcMar>
          </w:tcPr>
          <w:p>
            <w:pPr>
              <w:spacing w:after="40" w:line="276" w:lineRule="auto"/>
            </w:pPr>
            <w:r>
              <w:rPr>
                <w:b w:val="0"/>
                <w:i w:val="0"/>
                <w:sz w:val="18"/>
              </w:rPr>
              <w:t>330,000</w:t>
            </w:r>
          </w:p>
        </w:tc>
        <w:tc>
          <w:tcPr>
            <w:tcW w:type="dxa" w:w="2226"/>
            <w:vAlign w:val="center"/>
            <w:tcMar>
              <w:top w:w="90" w:type="dxa"/>
              <w:left w:w="90" w:type="dxa"/>
              <w:bottom w:w="90" w:type="dxa"/>
              <w:right w:w="90" w:type="dxa"/>
            </w:tcMar>
          </w:tcPr>
          <w:p>
            <w:pPr>
              <w:spacing w:after="40" w:line="276" w:lineRule="auto"/>
            </w:pPr>
            <w:r>
              <w:rPr>
                <w:b w:val="0"/>
                <w:i w:val="0"/>
                <w:sz w:val="18"/>
              </w:rPr>
              <w:t>0.0825</w:t>
            </w:r>
          </w:p>
        </w:tc>
        <w:tc>
          <w:tcPr>
            <w:tcW w:type="dxa" w:w="2604"/>
            <w:vAlign w:val="center"/>
            <w:tcMar>
              <w:top w:w="90" w:type="dxa"/>
              <w:left w:w="90" w:type="dxa"/>
              <w:bottom w:w="90" w:type="dxa"/>
              <w:right w:w="90" w:type="dxa"/>
            </w:tcMar>
          </w:tcPr>
          <w:p>
            <w:pPr>
              <w:spacing w:after="40" w:line="276" w:lineRule="auto"/>
            </w:pPr>
            <w:r>
              <w:rPr>
                <w:b w:val="0"/>
                <w:i w:val="0"/>
                <w:sz w:val="18"/>
              </w:rPr>
              <w:t>10</w:t>
            </w:r>
          </w:p>
        </w:tc>
      </w:tr>
      <w:tr>
        <w:trPr>
          <w:cantSplit/>
        </w:trPr>
        <w:tc>
          <w:tcPr>
            <w:tcW w:type="dxa" w:w="2420"/>
            <w:vAlign w:val="center"/>
            <w:tcMar>
              <w:top w:w="90" w:type="dxa"/>
              <w:left w:w="90" w:type="dxa"/>
              <w:bottom w:w="90" w:type="dxa"/>
              <w:right w:w="90" w:type="dxa"/>
            </w:tcMar>
          </w:tcPr>
          <w:p>
            <w:pPr>
              <w:spacing w:after="40" w:line="276" w:lineRule="auto"/>
            </w:pPr>
            <w:r>
              <w:rPr>
                <w:b w:val="0"/>
                <w:i w:val="0"/>
                <w:sz w:val="18"/>
              </w:rPr>
              <w:t>0.5C battery</w:t>
            </w:r>
          </w:p>
        </w:tc>
        <w:tc>
          <w:tcPr>
            <w:tcW w:type="dxa" w:w="2543"/>
            <w:vAlign w:val="center"/>
            <w:tcMar>
              <w:top w:w="90" w:type="dxa"/>
              <w:left w:w="90" w:type="dxa"/>
              <w:bottom w:w="90" w:type="dxa"/>
              <w:right w:w="90" w:type="dxa"/>
            </w:tcMar>
          </w:tcPr>
          <w:p>
            <w:pPr>
              <w:spacing w:after="40" w:line="276" w:lineRule="auto"/>
            </w:pPr>
            <w:r>
              <w:rPr>
                <w:b w:val="0"/>
                <w:i w:val="0"/>
                <w:sz w:val="18"/>
              </w:rPr>
              <w:t>350,000</w:t>
            </w:r>
          </w:p>
        </w:tc>
        <w:tc>
          <w:tcPr>
            <w:tcW w:type="dxa" w:w="2226"/>
            <w:vAlign w:val="center"/>
            <w:tcMar>
              <w:top w:w="90" w:type="dxa"/>
              <w:left w:w="90" w:type="dxa"/>
              <w:bottom w:w="90" w:type="dxa"/>
              <w:right w:w="90" w:type="dxa"/>
            </w:tcMar>
          </w:tcPr>
          <w:p>
            <w:pPr>
              <w:spacing w:after="40" w:line="276" w:lineRule="auto"/>
            </w:pPr>
            <w:r>
              <w:rPr>
                <w:b w:val="0"/>
                <w:i w:val="0"/>
                <w:sz w:val="18"/>
              </w:rPr>
              <w:t>0.165</w:t>
            </w:r>
          </w:p>
        </w:tc>
        <w:tc>
          <w:tcPr>
            <w:tcW w:type="dxa" w:w="2604"/>
            <w:vAlign w:val="center"/>
            <w:tcMar>
              <w:top w:w="90" w:type="dxa"/>
              <w:left w:w="90" w:type="dxa"/>
              <w:bottom w:w="90" w:type="dxa"/>
              <w:right w:w="90" w:type="dxa"/>
            </w:tcMar>
          </w:tcPr>
          <w:p>
            <w:pPr>
              <w:spacing w:after="40" w:line="276" w:lineRule="auto"/>
            </w:pPr>
            <w:r>
              <w:rPr>
                <w:b w:val="0"/>
                <w:i w:val="0"/>
                <w:sz w:val="18"/>
              </w:rPr>
              <w:t>10</w:t>
            </w:r>
          </w:p>
        </w:tc>
      </w:tr>
      <w:tr>
        <w:trPr>
          <w:cantSplit/>
        </w:trPr>
        <w:tc>
          <w:tcPr>
            <w:tcW w:type="dxa" w:w="2420"/>
            <w:vAlign w:val="center"/>
            <w:tcMar>
              <w:top w:w="90" w:type="dxa"/>
              <w:left w:w="90" w:type="dxa"/>
              <w:bottom w:w="90" w:type="dxa"/>
              <w:right w:w="90" w:type="dxa"/>
            </w:tcMar>
          </w:tcPr>
          <w:p>
            <w:pPr>
              <w:spacing w:after="40" w:line="276" w:lineRule="auto"/>
            </w:pPr>
            <w:r>
              <w:rPr>
                <w:b w:val="0"/>
                <w:i w:val="0"/>
                <w:sz w:val="18"/>
              </w:rPr>
              <w:t>0.25C battery</w:t>
            </w:r>
          </w:p>
        </w:tc>
        <w:tc>
          <w:tcPr>
            <w:tcW w:type="dxa" w:w="2543"/>
            <w:vAlign w:val="center"/>
            <w:tcMar>
              <w:top w:w="90" w:type="dxa"/>
              <w:left w:w="90" w:type="dxa"/>
              <w:bottom w:w="90" w:type="dxa"/>
              <w:right w:w="90" w:type="dxa"/>
            </w:tcMar>
          </w:tcPr>
          <w:p>
            <w:pPr>
              <w:spacing w:after="40" w:line="276" w:lineRule="auto"/>
            </w:pPr>
            <w:r>
              <w:rPr>
                <w:b w:val="0"/>
                <w:i w:val="0"/>
                <w:sz w:val="18"/>
              </w:rPr>
              <w:t>415,000</w:t>
            </w:r>
          </w:p>
        </w:tc>
        <w:tc>
          <w:tcPr>
            <w:tcW w:type="dxa" w:w="2226"/>
            <w:vAlign w:val="center"/>
            <w:tcMar>
              <w:top w:w="90" w:type="dxa"/>
              <w:left w:w="90" w:type="dxa"/>
              <w:bottom w:w="90" w:type="dxa"/>
              <w:right w:w="90" w:type="dxa"/>
            </w:tcMar>
          </w:tcPr>
          <w:p>
            <w:pPr>
              <w:spacing w:after="40" w:line="276" w:lineRule="auto"/>
            </w:pPr>
            <w:r>
              <w:rPr>
                <w:b w:val="0"/>
                <w:i w:val="0"/>
                <w:sz w:val="18"/>
              </w:rPr>
              <w:t>0.0825</w:t>
            </w:r>
          </w:p>
        </w:tc>
        <w:tc>
          <w:tcPr>
            <w:tcW w:type="dxa" w:w="2604"/>
            <w:vAlign w:val="center"/>
            <w:tcMar>
              <w:top w:w="90" w:type="dxa"/>
              <w:left w:w="90" w:type="dxa"/>
              <w:bottom w:w="90" w:type="dxa"/>
              <w:right w:w="90" w:type="dxa"/>
            </w:tcMar>
          </w:tcPr>
          <w:p>
            <w:pPr>
              <w:spacing w:after="40" w:line="276" w:lineRule="auto"/>
            </w:pPr>
            <w:r>
              <w:rPr>
                <w:b w:val="0"/>
                <w:i w:val="0"/>
                <w:sz w:val="18"/>
              </w:rPr>
              <w:t>10</w:t>
            </w:r>
          </w:p>
        </w:tc>
      </w:tr>
      <w:tr>
        <w:trPr>
          <w:cantSplit/>
        </w:trPr>
        <w:tc>
          <w:tcPr>
            <w:tcW w:type="dxa" w:w="2420"/>
            <w:vAlign w:val="center"/>
            <w:tcMar>
              <w:top w:w="90" w:type="dxa"/>
              <w:left w:w="90" w:type="dxa"/>
              <w:bottom w:w="90" w:type="dxa"/>
              <w:right w:w="90" w:type="dxa"/>
            </w:tcMar>
          </w:tcPr>
          <w:p>
            <w:pPr>
              <w:spacing w:after="40" w:line="276" w:lineRule="auto"/>
            </w:pPr>
            <w:r>
              <w:rPr>
                <w:b w:val="0"/>
                <w:i w:val="0"/>
                <w:sz w:val="18"/>
              </w:rPr>
              <w:t>Hydrogen storage</w:t>
            </w:r>
          </w:p>
        </w:tc>
        <w:tc>
          <w:tcPr>
            <w:tcW w:type="dxa" w:w="2543"/>
            <w:vAlign w:val="center"/>
            <w:tcMar>
              <w:top w:w="90" w:type="dxa"/>
              <w:left w:w="90" w:type="dxa"/>
              <w:bottom w:w="90" w:type="dxa"/>
              <w:right w:w="90" w:type="dxa"/>
            </w:tcMar>
          </w:tcPr>
          <w:p>
            <w:pPr>
              <w:spacing w:after="40" w:line="276" w:lineRule="auto"/>
            </w:pPr>
            <w:r>
              <w:rPr>
                <w:b w:val="0"/>
                <w:i w:val="0"/>
                <w:sz w:val="18"/>
              </w:rPr>
              <w:t>600,000</w:t>
            </w:r>
          </w:p>
        </w:tc>
        <w:tc>
          <w:tcPr>
            <w:tcW w:type="dxa" w:w="2226"/>
            <w:vAlign w:val="center"/>
            <w:tcMar>
              <w:top w:w="90" w:type="dxa"/>
              <w:left w:w="90" w:type="dxa"/>
              <w:bottom w:w="90" w:type="dxa"/>
              <w:right w:w="90" w:type="dxa"/>
            </w:tcMar>
          </w:tcPr>
          <w:p>
            <w:pPr>
              <w:spacing w:after="40" w:line="276" w:lineRule="auto"/>
            </w:pPr>
            <w:r>
              <w:rPr>
                <w:b w:val="0"/>
                <w:i w:val="0"/>
                <w:sz w:val="18"/>
              </w:rPr>
              <w:t>0.01375</w:t>
            </w:r>
          </w:p>
        </w:tc>
        <w:tc>
          <w:tcPr>
            <w:tcW w:type="dxa" w:w="2604"/>
            <w:vAlign w:val="center"/>
            <w:tcMar>
              <w:top w:w="90" w:type="dxa"/>
              <w:left w:w="90" w:type="dxa"/>
              <w:bottom w:w="90" w:type="dxa"/>
              <w:right w:w="90" w:type="dxa"/>
            </w:tcMar>
          </w:tcPr>
          <w:p>
            <w:pPr>
              <w:spacing w:after="40" w:line="276" w:lineRule="auto"/>
            </w:pPr>
            <w:r>
              <w:rPr>
                <w:b w:val="0"/>
                <w:i w:val="0"/>
                <w:sz w:val="18"/>
              </w:rPr>
              <w:t>25 (default)</w:t>
            </w:r>
          </w:p>
        </w:tc>
      </w:tr>
    </w:tbl>
    <w:p>
      <w:pPr>
        <w:spacing w:after="20"/>
      </w:pPr>
    </w:p>
    <w:p>
      <w:r>
        <w:rPr>
          <w:b w:val="0"/>
          <w:i w:val="0"/>
        </w:rPr>
        <w:t xml:space="preserve">Storage parameters assign charging efficiency, discharging efficiency, duration and lifetime to inventory and cost calculations. Round-trip efficiency is </w:t>
      </w:r>
      <w:r>
        <w:rPr>
          <w:rFonts w:ascii="DejaVu Sans Mono" w:hAnsi="DejaVu Sans Mono"/>
          <w:b w:val="0"/>
          <w:i w:val="0"/>
          <w:sz w:val="17"/>
        </w:rPr>
        <w:t>charge_efficiency * discharge_efficiency</w:t>
      </w:r>
      <w:r>
        <w:rPr>
          <w:b w:val="0"/>
          <w:i w:val="0"/>
        </w:rPr>
        <w:t xml:space="preserve">; for example, the 0.5C battery uses </w:t>
      </w:r>
      <w:r>
        <w:drawing>
          <wp:inline xmlns:a="http://schemas.openxmlformats.org/drawingml/2006/main" xmlns:pic="http://schemas.openxmlformats.org/drawingml/2006/picture">
            <wp:extent cx="1045133" cy="155565"/>
            <wp:docPr id="3" name="Picture 3"/>
            <wp:cNvGraphicFramePr>
              <a:graphicFrameLocks noChangeAspect="1"/>
            </wp:cNvGraphicFramePr>
            <a:graphic>
              <a:graphicData uri="http://schemas.openxmlformats.org/drawingml/2006/picture">
                <pic:pic>
                  <pic:nvPicPr>
                    <pic:cNvPr id="0" name="eq-003.png"/>
                    <pic:cNvPicPr/>
                  </pic:nvPicPr>
                  <pic:blipFill>
                    <a:blip r:embed="rId13"/>
                    <a:stretch>
                      <a:fillRect/>
                    </a:stretch>
                  </pic:blipFill>
                  <pic:spPr>
                    <a:xfrm>
                      <a:off x="0" y="0"/>
                      <a:ext cx="1045133" cy="155565"/>
                    </a:xfrm>
                    <a:prstGeom prst="rect"/>
                  </pic:spPr>
                </pic:pic>
              </a:graphicData>
            </a:graphic>
          </wp:inline>
        </w:drawing>
      </w:r>
      <w:r>
        <w:rPr>
          <w:b w:val="0"/>
          <w:i w:val="0"/>
        </w:rPr>
        <w:t xml:space="preserve">. Catalogue economic lifetimes and the payback targets above enter the calculations as separate parameters. The cycle parameter </w:t>
      </w:r>
      <w:r>
        <w:rPr>
          <w:rFonts w:ascii="DejaVu Sans Mono" w:hAnsi="DejaVu Sans Mono"/>
          <w:b w:val="0"/>
          <w:i w:val="0"/>
          <w:sz w:val="17"/>
        </w:rPr>
        <w:t>maximum_cycles</w:t>
      </w:r>
      <w:r>
        <w:rPr>
          <w:b w:val="0"/>
          <w:i w:val="0"/>
        </w:rPr>
        <w:t xml:space="preserve"> determines reference annual cycles. The three battery technologies also use it for cycle depreciation. The dynamic storage-cost module uses time recovery for pumped hydro and hydrogen storage; the corrected default dispatch uses the cycle-only offer rule described in Chapter 5.</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5"/>
        <w:gridCol w:w="1574"/>
        <w:gridCol w:w="1550"/>
        <w:gridCol w:w="1621"/>
        <w:gridCol w:w="1776"/>
        <w:gridCol w:w="1797"/>
      </w:tblGrid>
      <w:tr>
        <w:trPr>
          <w:cantSplit/>
          <w:tblHeader w:val="true"/>
        </w:trPr>
        <w:tc>
          <w:tcPr>
            <w:tcW w:type="dxa" w:w="1475"/>
            <w:vAlign w:val="center"/>
            <w:tcMar>
              <w:top w:w="90" w:type="dxa"/>
              <w:left w:w="90" w:type="dxa"/>
              <w:bottom w:w="90" w:type="dxa"/>
              <w:right w:w="90" w:type="dxa"/>
            </w:tcMar>
            <w:shd w:fill="EEEEEE"/>
          </w:tcPr>
          <w:p>
            <w:pPr>
              <w:spacing w:after="40" w:line="276" w:lineRule="auto"/>
            </w:pPr>
            <w:r>
              <w:rPr>
                <w:b/>
                <w:i w:val="0"/>
                <w:sz w:val="18"/>
              </w:rPr>
              <w:t>Technology</w:t>
            </w:r>
          </w:p>
        </w:tc>
        <w:tc>
          <w:tcPr>
            <w:tcW w:type="dxa" w:w="1574"/>
            <w:vAlign w:val="center"/>
            <w:tcMar>
              <w:top w:w="90" w:type="dxa"/>
              <w:left w:w="90" w:type="dxa"/>
              <w:bottom w:w="90" w:type="dxa"/>
              <w:right w:w="90" w:type="dxa"/>
            </w:tcMar>
            <w:shd w:fill="EEEEEE"/>
          </w:tcPr>
          <w:p>
            <w:pPr>
              <w:spacing w:after="40" w:line="276" w:lineRule="auto"/>
            </w:pPr>
            <w:r>
              <w:rPr>
                <w:b/>
                <w:i w:val="0"/>
                <w:sz w:val="18"/>
              </w:rPr>
              <w:t>Catalogue duration h</w:t>
            </w:r>
          </w:p>
        </w:tc>
        <w:tc>
          <w:tcPr>
            <w:tcW w:type="dxa" w:w="1550"/>
            <w:vAlign w:val="center"/>
            <w:tcMar>
              <w:top w:w="90" w:type="dxa"/>
              <w:left w:w="90" w:type="dxa"/>
              <w:bottom w:w="90" w:type="dxa"/>
              <w:right w:w="90" w:type="dxa"/>
            </w:tcMar>
            <w:shd w:fill="EEEEEE"/>
          </w:tcPr>
          <w:p>
            <w:pPr>
              <w:spacing w:after="40" w:line="276" w:lineRule="auto"/>
            </w:pPr>
            <w:r>
              <w:rPr>
                <w:b/>
                <w:i w:val="0"/>
                <w:sz w:val="18"/>
              </w:rPr>
              <w:t>Charging efficiency</w:t>
            </w:r>
          </w:p>
        </w:tc>
        <w:tc>
          <w:tcPr>
            <w:tcW w:type="dxa" w:w="1621"/>
            <w:vAlign w:val="center"/>
            <w:tcMar>
              <w:top w:w="90" w:type="dxa"/>
              <w:left w:w="90" w:type="dxa"/>
              <w:bottom w:w="90" w:type="dxa"/>
              <w:right w:w="90" w:type="dxa"/>
            </w:tcMar>
            <w:shd w:fill="EEEEEE"/>
          </w:tcPr>
          <w:p>
            <w:pPr>
              <w:spacing w:after="40" w:line="276" w:lineRule="auto"/>
            </w:pPr>
            <w:r>
              <w:rPr>
                <w:b/>
                <w:i w:val="0"/>
                <w:sz w:val="18"/>
              </w:rPr>
              <w:t>Discharging efficiency</w:t>
            </w:r>
          </w:p>
        </w:tc>
        <w:tc>
          <w:tcPr>
            <w:tcW w:type="dxa" w:w="1776"/>
            <w:vAlign w:val="center"/>
            <w:tcMar>
              <w:top w:w="90" w:type="dxa"/>
              <w:left w:w="90" w:type="dxa"/>
              <w:bottom w:w="90" w:type="dxa"/>
              <w:right w:w="90" w:type="dxa"/>
            </w:tcMar>
            <w:shd w:fill="EEEEEE"/>
          </w:tcPr>
          <w:p>
            <w:pPr>
              <w:spacing w:after="40" w:line="276" w:lineRule="auto"/>
            </w:pPr>
            <w:r>
              <w:rPr>
                <w:b/>
                <w:i w:val="0"/>
                <w:sz w:val="18"/>
              </w:rPr>
              <w:t>Catalogue economic life years</w:t>
            </w:r>
          </w:p>
        </w:tc>
        <w:tc>
          <w:tcPr>
            <w:tcW w:type="dxa" w:w="1797"/>
            <w:vAlign w:val="center"/>
            <w:tcMar>
              <w:top w:w="90" w:type="dxa"/>
              <w:left w:w="90" w:type="dxa"/>
              <w:bottom w:w="90" w:type="dxa"/>
              <w:right w:w="90" w:type="dxa"/>
            </w:tcMar>
            <w:shd w:fill="EEEEEE"/>
          </w:tcPr>
          <w:p>
            <w:pPr>
              <w:spacing w:after="40" w:line="276" w:lineRule="auto"/>
            </w:pPr>
            <w:r>
              <w:rPr>
                <w:b/>
                <w:i w:val="0"/>
                <w:sz w:val="18"/>
              </w:rPr>
              <w:t xml:space="preserve">Cycle parameter </w:t>
            </w:r>
            <w:r>
              <w:rPr>
                <w:rFonts w:ascii="DejaVu Sans Mono" w:hAnsi="DejaVu Sans Mono"/>
                <w:b/>
                <w:i w:val="0"/>
                <w:sz w:val="18"/>
              </w:rPr>
              <w:t>maximum_cycles</w:t>
            </w:r>
          </w:p>
        </w:tc>
      </w:tr>
      <w:tr>
        <w:trPr>
          <w:cantSplit/>
        </w:trPr>
        <w:tc>
          <w:tcPr>
            <w:tcW w:type="dxa" w:w="1475"/>
            <w:vAlign w:val="center"/>
            <w:tcMar>
              <w:top w:w="90" w:type="dxa"/>
              <w:left w:w="90" w:type="dxa"/>
              <w:bottom w:w="90" w:type="dxa"/>
              <w:right w:w="90" w:type="dxa"/>
            </w:tcMar>
          </w:tcPr>
          <w:p>
            <w:pPr>
              <w:spacing w:after="40" w:line="276" w:lineRule="auto"/>
            </w:pPr>
            <w:r>
              <w:rPr>
                <w:b w:val="0"/>
                <w:i w:val="0"/>
                <w:sz w:val="18"/>
              </w:rPr>
              <w:t>Pumped hydro</w:t>
            </w:r>
          </w:p>
        </w:tc>
        <w:tc>
          <w:tcPr>
            <w:tcW w:type="dxa" w:w="1574"/>
            <w:vAlign w:val="center"/>
            <w:tcMar>
              <w:top w:w="90" w:type="dxa"/>
              <w:left w:w="90" w:type="dxa"/>
              <w:bottom w:w="90" w:type="dxa"/>
              <w:right w:w="90" w:type="dxa"/>
            </w:tcMar>
          </w:tcPr>
          <w:p>
            <w:pPr>
              <w:spacing w:after="40" w:line="276" w:lineRule="auto"/>
            </w:pPr>
            <w:r>
              <w:rPr>
                <w:b w:val="0"/>
                <w:i w:val="0"/>
                <w:sz w:val="18"/>
              </w:rPr>
              <w:t>4</w:t>
            </w:r>
          </w:p>
        </w:tc>
        <w:tc>
          <w:tcPr>
            <w:tcW w:type="dxa" w:w="1550"/>
            <w:vAlign w:val="center"/>
            <w:tcMar>
              <w:top w:w="90" w:type="dxa"/>
              <w:left w:w="90" w:type="dxa"/>
              <w:bottom w:w="90" w:type="dxa"/>
              <w:right w:w="90" w:type="dxa"/>
            </w:tcMar>
          </w:tcPr>
          <w:p>
            <w:pPr>
              <w:spacing w:after="40" w:line="276" w:lineRule="auto"/>
            </w:pPr>
            <w:r>
              <w:rPr>
                <w:b w:val="0"/>
                <w:i w:val="0"/>
                <w:sz w:val="18"/>
              </w:rPr>
              <w:t>0.87</w:t>
            </w:r>
          </w:p>
        </w:tc>
        <w:tc>
          <w:tcPr>
            <w:tcW w:type="dxa" w:w="1621"/>
            <w:vAlign w:val="center"/>
            <w:tcMar>
              <w:top w:w="90" w:type="dxa"/>
              <w:left w:w="90" w:type="dxa"/>
              <w:bottom w:w="90" w:type="dxa"/>
              <w:right w:w="90" w:type="dxa"/>
            </w:tcMar>
          </w:tcPr>
          <w:p>
            <w:pPr>
              <w:spacing w:after="40" w:line="276" w:lineRule="auto"/>
            </w:pPr>
            <w:r>
              <w:rPr>
                <w:b w:val="0"/>
                <w:i w:val="0"/>
                <w:sz w:val="18"/>
              </w:rPr>
              <w:t>0.87</w:t>
            </w:r>
          </w:p>
        </w:tc>
        <w:tc>
          <w:tcPr>
            <w:tcW w:type="dxa" w:w="1776"/>
            <w:vAlign w:val="center"/>
            <w:tcMar>
              <w:top w:w="90" w:type="dxa"/>
              <w:left w:w="90" w:type="dxa"/>
              <w:bottom w:w="90" w:type="dxa"/>
              <w:right w:w="90" w:type="dxa"/>
            </w:tcMar>
          </w:tcPr>
          <w:p>
            <w:pPr>
              <w:spacing w:after="40" w:line="276" w:lineRule="auto"/>
            </w:pPr>
            <w:r>
              <w:rPr>
                <w:b w:val="0"/>
                <w:i w:val="0"/>
                <w:sz w:val="18"/>
              </w:rPr>
              <w:t>30</w:t>
            </w:r>
          </w:p>
        </w:tc>
        <w:tc>
          <w:tcPr>
            <w:tcW w:type="dxa" w:w="1797"/>
            <w:vAlign w:val="center"/>
            <w:tcMar>
              <w:top w:w="90" w:type="dxa"/>
              <w:left w:w="90" w:type="dxa"/>
              <w:bottom w:w="90" w:type="dxa"/>
              <w:right w:w="90" w:type="dxa"/>
            </w:tcMar>
          </w:tcPr>
          <w:p>
            <w:pPr>
              <w:spacing w:after="40" w:line="276" w:lineRule="auto"/>
            </w:pPr>
            <w:r>
              <w:rPr>
                <w:b w:val="0"/>
                <w:i w:val="0"/>
                <w:sz w:val="18"/>
              </w:rPr>
              <w:t>1,000,000</w:t>
            </w:r>
          </w:p>
        </w:tc>
      </w:tr>
      <w:tr>
        <w:trPr>
          <w:cantSplit/>
        </w:trPr>
        <w:tc>
          <w:tcPr>
            <w:tcW w:type="dxa" w:w="1475"/>
            <w:vAlign w:val="center"/>
            <w:tcMar>
              <w:top w:w="90" w:type="dxa"/>
              <w:left w:w="90" w:type="dxa"/>
              <w:bottom w:w="90" w:type="dxa"/>
              <w:right w:w="90" w:type="dxa"/>
            </w:tcMar>
          </w:tcPr>
          <w:p>
            <w:pPr>
              <w:spacing w:after="40" w:line="276" w:lineRule="auto"/>
            </w:pPr>
            <w:r>
              <w:rPr>
                <w:b w:val="0"/>
                <w:i w:val="0"/>
                <w:sz w:val="18"/>
              </w:rPr>
              <w:t>1C battery</w:t>
            </w:r>
          </w:p>
        </w:tc>
        <w:tc>
          <w:tcPr>
            <w:tcW w:type="dxa" w:w="1574"/>
            <w:vAlign w:val="center"/>
            <w:tcMar>
              <w:top w:w="90" w:type="dxa"/>
              <w:left w:w="90" w:type="dxa"/>
              <w:bottom w:w="90" w:type="dxa"/>
              <w:right w:w="90" w:type="dxa"/>
            </w:tcMar>
          </w:tcPr>
          <w:p>
            <w:pPr>
              <w:spacing w:after="40" w:line="276" w:lineRule="auto"/>
            </w:pPr>
            <w:r>
              <w:rPr>
                <w:b w:val="0"/>
                <w:i w:val="0"/>
                <w:sz w:val="18"/>
              </w:rPr>
              <w:t>1</w:t>
            </w:r>
          </w:p>
        </w:tc>
        <w:tc>
          <w:tcPr>
            <w:tcW w:type="dxa" w:w="1550"/>
            <w:vAlign w:val="center"/>
            <w:tcMar>
              <w:top w:w="90" w:type="dxa"/>
              <w:left w:w="90" w:type="dxa"/>
              <w:bottom w:w="90" w:type="dxa"/>
              <w:right w:w="90" w:type="dxa"/>
            </w:tcMar>
          </w:tcPr>
          <w:p>
            <w:pPr>
              <w:spacing w:after="40" w:line="276" w:lineRule="auto"/>
            </w:pPr>
            <w:r>
              <w:rPr>
                <w:b w:val="0"/>
                <w:i w:val="0"/>
                <w:sz w:val="18"/>
              </w:rPr>
              <w:t>0.81</w:t>
            </w:r>
          </w:p>
        </w:tc>
        <w:tc>
          <w:tcPr>
            <w:tcW w:type="dxa" w:w="1621"/>
            <w:vAlign w:val="center"/>
            <w:tcMar>
              <w:top w:w="90" w:type="dxa"/>
              <w:left w:w="90" w:type="dxa"/>
              <w:bottom w:w="90" w:type="dxa"/>
              <w:right w:w="90" w:type="dxa"/>
            </w:tcMar>
          </w:tcPr>
          <w:p>
            <w:pPr>
              <w:spacing w:after="40" w:line="276" w:lineRule="auto"/>
            </w:pPr>
            <w:r>
              <w:rPr>
                <w:b w:val="0"/>
                <w:i w:val="0"/>
                <w:sz w:val="18"/>
              </w:rPr>
              <w:t>0.81</w:t>
            </w:r>
          </w:p>
        </w:tc>
        <w:tc>
          <w:tcPr>
            <w:tcW w:type="dxa" w:w="1776"/>
            <w:vAlign w:val="center"/>
            <w:tcMar>
              <w:top w:w="90" w:type="dxa"/>
              <w:left w:w="90" w:type="dxa"/>
              <w:bottom w:w="90" w:type="dxa"/>
              <w:right w:w="90" w:type="dxa"/>
            </w:tcMar>
          </w:tcPr>
          <w:p>
            <w:pPr>
              <w:spacing w:after="40" w:line="276" w:lineRule="auto"/>
            </w:pPr>
            <w:r>
              <w:rPr>
                <w:b w:val="0"/>
                <w:i w:val="0"/>
                <w:sz w:val="18"/>
              </w:rPr>
              <w:t>15</w:t>
            </w:r>
          </w:p>
        </w:tc>
        <w:tc>
          <w:tcPr>
            <w:tcW w:type="dxa" w:w="1797"/>
            <w:vAlign w:val="center"/>
            <w:tcMar>
              <w:top w:w="90" w:type="dxa"/>
              <w:left w:w="90" w:type="dxa"/>
              <w:bottom w:w="90" w:type="dxa"/>
              <w:right w:w="90" w:type="dxa"/>
            </w:tcMar>
          </w:tcPr>
          <w:p>
            <w:pPr>
              <w:spacing w:after="40" w:line="276" w:lineRule="auto"/>
            </w:pPr>
            <w:r>
              <w:rPr>
                <w:b w:val="0"/>
                <w:i w:val="0"/>
                <w:sz w:val="18"/>
              </w:rPr>
              <w:t>3,000</w:t>
            </w:r>
          </w:p>
        </w:tc>
      </w:tr>
      <w:tr>
        <w:trPr>
          <w:cantSplit/>
        </w:trPr>
        <w:tc>
          <w:tcPr>
            <w:tcW w:type="dxa" w:w="1475"/>
            <w:vAlign w:val="center"/>
            <w:tcMar>
              <w:top w:w="90" w:type="dxa"/>
              <w:left w:w="90" w:type="dxa"/>
              <w:bottom w:w="90" w:type="dxa"/>
              <w:right w:w="90" w:type="dxa"/>
            </w:tcMar>
          </w:tcPr>
          <w:p>
            <w:pPr>
              <w:spacing w:after="40" w:line="276" w:lineRule="auto"/>
            </w:pPr>
            <w:r>
              <w:rPr>
                <w:b w:val="0"/>
                <w:i w:val="0"/>
                <w:sz w:val="18"/>
              </w:rPr>
              <w:t>0.5C battery</w:t>
            </w:r>
          </w:p>
        </w:tc>
        <w:tc>
          <w:tcPr>
            <w:tcW w:type="dxa" w:w="1574"/>
            <w:vAlign w:val="center"/>
            <w:tcMar>
              <w:top w:w="90" w:type="dxa"/>
              <w:left w:w="90" w:type="dxa"/>
              <w:bottom w:w="90" w:type="dxa"/>
              <w:right w:w="90" w:type="dxa"/>
            </w:tcMar>
          </w:tcPr>
          <w:p>
            <w:pPr>
              <w:spacing w:after="40" w:line="276" w:lineRule="auto"/>
            </w:pPr>
            <w:r>
              <w:rPr>
                <w:b w:val="0"/>
                <w:i w:val="0"/>
                <w:sz w:val="18"/>
              </w:rPr>
              <w:t>2</w:t>
            </w:r>
          </w:p>
        </w:tc>
        <w:tc>
          <w:tcPr>
            <w:tcW w:type="dxa" w:w="1550"/>
            <w:vAlign w:val="center"/>
            <w:tcMar>
              <w:top w:w="90" w:type="dxa"/>
              <w:left w:w="90" w:type="dxa"/>
              <w:bottom w:w="90" w:type="dxa"/>
              <w:right w:w="90" w:type="dxa"/>
            </w:tcMar>
          </w:tcPr>
          <w:p>
            <w:pPr>
              <w:spacing w:after="40" w:line="276" w:lineRule="auto"/>
            </w:pPr>
            <w:r>
              <w:rPr>
                <w:b w:val="0"/>
                <w:i w:val="0"/>
                <w:sz w:val="18"/>
              </w:rPr>
              <w:t>0.98</w:t>
            </w:r>
          </w:p>
        </w:tc>
        <w:tc>
          <w:tcPr>
            <w:tcW w:type="dxa" w:w="1621"/>
            <w:vAlign w:val="center"/>
            <w:tcMar>
              <w:top w:w="90" w:type="dxa"/>
              <w:left w:w="90" w:type="dxa"/>
              <w:bottom w:w="90" w:type="dxa"/>
              <w:right w:w="90" w:type="dxa"/>
            </w:tcMar>
          </w:tcPr>
          <w:p>
            <w:pPr>
              <w:spacing w:after="40" w:line="276" w:lineRule="auto"/>
            </w:pPr>
            <w:r>
              <w:rPr>
                <w:b w:val="0"/>
                <w:i w:val="0"/>
                <w:sz w:val="18"/>
              </w:rPr>
              <w:t>0.98</w:t>
            </w:r>
          </w:p>
        </w:tc>
        <w:tc>
          <w:tcPr>
            <w:tcW w:type="dxa" w:w="1776"/>
            <w:vAlign w:val="center"/>
            <w:tcMar>
              <w:top w:w="90" w:type="dxa"/>
              <w:left w:w="90" w:type="dxa"/>
              <w:bottom w:w="90" w:type="dxa"/>
              <w:right w:w="90" w:type="dxa"/>
            </w:tcMar>
          </w:tcPr>
          <w:p>
            <w:pPr>
              <w:spacing w:after="40" w:line="276" w:lineRule="auto"/>
            </w:pPr>
            <w:r>
              <w:rPr>
                <w:b w:val="0"/>
                <w:i w:val="0"/>
                <w:sz w:val="18"/>
              </w:rPr>
              <w:t>15</w:t>
            </w:r>
          </w:p>
        </w:tc>
        <w:tc>
          <w:tcPr>
            <w:tcW w:type="dxa" w:w="1797"/>
            <w:vAlign w:val="center"/>
            <w:tcMar>
              <w:top w:w="90" w:type="dxa"/>
              <w:left w:w="90" w:type="dxa"/>
              <w:bottom w:w="90" w:type="dxa"/>
              <w:right w:w="90" w:type="dxa"/>
            </w:tcMar>
          </w:tcPr>
          <w:p>
            <w:pPr>
              <w:spacing w:after="40" w:line="276" w:lineRule="auto"/>
            </w:pPr>
            <w:r>
              <w:rPr>
                <w:b w:val="0"/>
                <w:i w:val="0"/>
                <w:sz w:val="18"/>
              </w:rPr>
              <w:t>5,000</w:t>
            </w:r>
          </w:p>
        </w:tc>
      </w:tr>
      <w:tr>
        <w:trPr>
          <w:cantSplit/>
        </w:trPr>
        <w:tc>
          <w:tcPr>
            <w:tcW w:type="dxa" w:w="1475"/>
            <w:vAlign w:val="center"/>
            <w:tcMar>
              <w:top w:w="90" w:type="dxa"/>
              <w:left w:w="90" w:type="dxa"/>
              <w:bottom w:w="90" w:type="dxa"/>
              <w:right w:w="90" w:type="dxa"/>
            </w:tcMar>
          </w:tcPr>
          <w:p>
            <w:pPr>
              <w:spacing w:after="40" w:line="276" w:lineRule="auto"/>
            </w:pPr>
            <w:r>
              <w:rPr>
                <w:b w:val="0"/>
                <w:i w:val="0"/>
                <w:sz w:val="18"/>
              </w:rPr>
              <w:t>0.25C battery</w:t>
            </w:r>
          </w:p>
        </w:tc>
        <w:tc>
          <w:tcPr>
            <w:tcW w:type="dxa" w:w="1574"/>
            <w:vAlign w:val="center"/>
            <w:tcMar>
              <w:top w:w="90" w:type="dxa"/>
              <w:left w:w="90" w:type="dxa"/>
              <w:bottom w:w="90" w:type="dxa"/>
              <w:right w:w="90" w:type="dxa"/>
            </w:tcMar>
          </w:tcPr>
          <w:p>
            <w:pPr>
              <w:spacing w:after="40" w:line="276" w:lineRule="auto"/>
            </w:pPr>
            <w:r>
              <w:rPr>
                <w:b w:val="0"/>
                <w:i w:val="0"/>
                <w:sz w:val="18"/>
              </w:rPr>
              <w:t>4</w:t>
            </w:r>
          </w:p>
        </w:tc>
        <w:tc>
          <w:tcPr>
            <w:tcW w:type="dxa" w:w="1550"/>
            <w:vAlign w:val="center"/>
            <w:tcMar>
              <w:top w:w="90" w:type="dxa"/>
              <w:left w:w="90" w:type="dxa"/>
              <w:bottom w:w="90" w:type="dxa"/>
              <w:right w:w="90" w:type="dxa"/>
            </w:tcMar>
          </w:tcPr>
          <w:p>
            <w:pPr>
              <w:spacing w:after="40" w:line="276" w:lineRule="auto"/>
            </w:pPr>
            <w:r>
              <w:rPr>
                <w:b w:val="0"/>
                <w:i w:val="0"/>
                <w:sz w:val="18"/>
              </w:rPr>
              <w:t>0.81</w:t>
            </w:r>
          </w:p>
        </w:tc>
        <w:tc>
          <w:tcPr>
            <w:tcW w:type="dxa" w:w="1621"/>
            <w:vAlign w:val="center"/>
            <w:tcMar>
              <w:top w:w="90" w:type="dxa"/>
              <w:left w:w="90" w:type="dxa"/>
              <w:bottom w:w="90" w:type="dxa"/>
              <w:right w:w="90" w:type="dxa"/>
            </w:tcMar>
          </w:tcPr>
          <w:p>
            <w:pPr>
              <w:spacing w:after="40" w:line="276" w:lineRule="auto"/>
            </w:pPr>
            <w:r>
              <w:rPr>
                <w:b w:val="0"/>
                <w:i w:val="0"/>
                <w:sz w:val="18"/>
              </w:rPr>
              <w:t>0.81</w:t>
            </w:r>
          </w:p>
        </w:tc>
        <w:tc>
          <w:tcPr>
            <w:tcW w:type="dxa" w:w="1776"/>
            <w:vAlign w:val="center"/>
            <w:tcMar>
              <w:top w:w="90" w:type="dxa"/>
              <w:left w:w="90" w:type="dxa"/>
              <w:bottom w:w="90" w:type="dxa"/>
              <w:right w:w="90" w:type="dxa"/>
            </w:tcMar>
          </w:tcPr>
          <w:p>
            <w:pPr>
              <w:spacing w:after="40" w:line="276" w:lineRule="auto"/>
            </w:pPr>
            <w:r>
              <w:rPr>
                <w:b w:val="0"/>
                <w:i w:val="0"/>
                <w:sz w:val="18"/>
              </w:rPr>
              <w:t>15</w:t>
            </w:r>
          </w:p>
        </w:tc>
        <w:tc>
          <w:tcPr>
            <w:tcW w:type="dxa" w:w="1797"/>
            <w:vAlign w:val="center"/>
            <w:tcMar>
              <w:top w:w="90" w:type="dxa"/>
              <w:left w:w="90" w:type="dxa"/>
              <w:bottom w:w="90" w:type="dxa"/>
              <w:right w:w="90" w:type="dxa"/>
            </w:tcMar>
          </w:tcPr>
          <w:p>
            <w:pPr>
              <w:spacing w:after="40" w:line="276" w:lineRule="auto"/>
            </w:pPr>
            <w:r>
              <w:rPr>
                <w:b w:val="0"/>
                <w:i w:val="0"/>
                <w:sz w:val="18"/>
              </w:rPr>
              <w:t>8,000</w:t>
            </w:r>
          </w:p>
        </w:tc>
      </w:tr>
      <w:tr>
        <w:trPr>
          <w:cantSplit/>
        </w:trPr>
        <w:tc>
          <w:tcPr>
            <w:tcW w:type="dxa" w:w="1475"/>
            <w:vAlign w:val="center"/>
            <w:tcMar>
              <w:top w:w="90" w:type="dxa"/>
              <w:left w:w="90" w:type="dxa"/>
              <w:bottom w:w="90" w:type="dxa"/>
              <w:right w:w="90" w:type="dxa"/>
            </w:tcMar>
          </w:tcPr>
          <w:p>
            <w:pPr>
              <w:spacing w:after="40" w:line="276" w:lineRule="auto"/>
            </w:pPr>
            <w:r>
              <w:rPr>
                <w:b w:val="0"/>
                <w:i w:val="0"/>
                <w:sz w:val="18"/>
              </w:rPr>
              <w:t>Hydrogen storage</w:t>
            </w:r>
          </w:p>
        </w:tc>
        <w:tc>
          <w:tcPr>
            <w:tcW w:type="dxa" w:w="1574"/>
            <w:vAlign w:val="center"/>
            <w:tcMar>
              <w:top w:w="90" w:type="dxa"/>
              <w:left w:w="90" w:type="dxa"/>
              <w:bottom w:w="90" w:type="dxa"/>
              <w:right w:w="90" w:type="dxa"/>
            </w:tcMar>
          </w:tcPr>
          <w:p>
            <w:pPr>
              <w:spacing w:after="40" w:line="276" w:lineRule="auto"/>
            </w:pPr>
            <w:r>
              <w:rPr>
                <w:b w:val="0"/>
                <w:i w:val="0"/>
                <w:sz w:val="18"/>
              </w:rPr>
              <w:t>250</w:t>
            </w:r>
          </w:p>
        </w:tc>
        <w:tc>
          <w:tcPr>
            <w:tcW w:type="dxa" w:w="1550"/>
            <w:vAlign w:val="center"/>
            <w:tcMar>
              <w:top w:w="90" w:type="dxa"/>
              <w:left w:w="90" w:type="dxa"/>
              <w:bottom w:w="90" w:type="dxa"/>
              <w:right w:w="90" w:type="dxa"/>
            </w:tcMar>
          </w:tcPr>
          <w:p>
            <w:pPr>
              <w:spacing w:after="40" w:line="276" w:lineRule="auto"/>
            </w:pPr>
            <w:r>
              <w:rPr>
                <w:b w:val="0"/>
                <w:i w:val="0"/>
                <w:sz w:val="18"/>
              </w:rPr>
              <w:t>0.57</w:t>
            </w:r>
          </w:p>
        </w:tc>
        <w:tc>
          <w:tcPr>
            <w:tcW w:type="dxa" w:w="1621"/>
            <w:vAlign w:val="center"/>
            <w:tcMar>
              <w:top w:w="90" w:type="dxa"/>
              <w:left w:w="90" w:type="dxa"/>
              <w:bottom w:w="90" w:type="dxa"/>
              <w:right w:w="90" w:type="dxa"/>
            </w:tcMar>
          </w:tcPr>
          <w:p>
            <w:pPr>
              <w:spacing w:after="40" w:line="276" w:lineRule="auto"/>
            </w:pPr>
            <w:r>
              <w:rPr>
                <w:b w:val="0"/>
                <w:i w:val="0"/>
                <w:sz w:val="18"/>
              </w:rPr>
              <w:t>0.57</w:t>
            </w:r>
          </w:p>
        </w:tc>
        <w:tc>
          <w:tcPr>
            <w:tcW w:type="dxa" w:w="1776"/>
            <w:vAlign w:val="center"/>
            <w:tcMar>
              <w:top w:w="90" w:type="dxa"/>
              <w:left w:w="90" w:type="dxa"/>
              <w:bottom w:w="90" w:type="dxa"/>
              <w:right w:w="90" w:type="dxa"/>
            </w:tcMar>
          </w:tcPr>
          <w:p>
            <w:pPr>
              <w:spacing w:after="40" w:line="276" w:lineRule="auto"/>
            </w:pPr>
            <w:r>
              <w:rPr>
                <w:b w:val="0"/>
                <w:i w:val="0"/>
                <w:sz w:val="18"/>
              </w:rPr>
              <w:t>10</w:t>
            </w:r>
          </w:p>
        </w:tc>
        <w:tc>
          <w:tcPr>
            <w:tcW w:type="dxa" w:w="1797"/>
            <w:vAlign w:val="center"/>
            <w:tcMar>
              <w:top w:w="90" w:type="dxa"/>
              <w:left w:w="90" w:type="dxa"/>
              <w:bottom w:w="90" w:type="dxa"/>
              <w:right w:w="90" w:type="dxa"/>
            </w:tcMar>
          </w:tcPr>
          <w:p>
            <w:pPr>
              <w:spacing w:after="40" w:line="276" w:lineRule="auto"/>
            </w:pPr>
            <w:r>
              <w:rPr>
                <w:b w:val="0"/>
                <w:i w:val="0"/>
                <w:sz w:val="18"/>
              </w:rPr>
              <w:t>1,000</w:t>
            </w:r>
          </w:p>
        </w:tc>
      </w:tr>
    </w:tbl>
    <w:p>
      <w:pPr>
        <w:spacing w:after="20"/>
      </w:pPr>
    </w:p>
    <w:p>
      <w:r>
        <w:rPr>
          <w:b w:val="0"/>
          <w:i w:val="0"/>
        </w:rPr>
        <w:t>Annual asset schedules can specify storage power and energy directly. The 2025 pumped-hydro asset state therefore uses 2,828 MW and 26,700 MWh.</w:t>
      </w:r>
    </w:p>
    <w:p>
      <w:r>
        <w:rPr>
          <w:b w:val="0"/>
          <w:i w:val="0"/>
        </w:rPr>
        <w:t>Initial stored energy follows the dispatch pathway. The experimental R029 chronology starts from zero; general chronological inputs default to 50% of maximum inventory unless specified. The default national PSM constructs storage objects at each annual boundary, as described in Chapter 5.</w:t>
      </w:r>
    </w:p>
    <w:p>
      <w:r>
        <w:rPr>
          <w:b w:val="0"/>
          <w:i w:val="0"/>
        </w:rPr>
        <w:t>Financial calculations select time parameters by computational purpose and technology configuration. Biomass uses an economic life of 25 years and a payback target of 20 years. The gas prototype has a 20-year payback target, while the R029 run configuration sets CCGT and OCGT to 25 years.</w:t>
      </w:r>
    </w:p>
    <w:p>
      <w:r>
        <w:rPr>
          <w:b w:val="0"/>
          <w:i w:val="0"/>
        </w:rPr>
        <w:t>Amounts are interpreted in constant start-year money; the supplied studies begin in 2025. The storage catalogue, pumped-hydro capital cost and policy budgets explicitly use 2025 GBP. Fuel and carbon prices are treated on that basis, while restart costs use the conversion documented in Chapter 5. BEIS 2020 costs, the 2022 euro price series and nuclear-policy entries labelled 2015 or 2024 retain their source-year values after any currency conversion. Thus the common monetary convention includes inputs of different price vintages; the reader applies the declared currency conversion.</w:t>
      </w:r>
    </w:p>
    <w:p>
      <w:r>
        <w:rPr>
          <w:b w:val="0"/>
          <w:i w:val="0"/>
        </w:rPr>
        <w:t xml:space="preserve">Policy expenditure inputs combine historical aggregation with forward assumptions. </w:t>
      </w:r>
      <w:r>
        <w:rPr>
          <w:rFonts w:ascii="DejaVu Sans Mono" w:hAnsi="DejaVu Sans Mono"/>
          <w:b w:val="0"/>
          <w:i w:val="0"/>
          <w:sz w:val="17"/>
        </w:rPr>
        <w:t>mechansim cost.xlsx</w:t>
      </w:r>
      <w:r>
        <w:rPr>
          <w:b w:val="0"/>
          <w:i w:val="0"/>
        </w:rPr>
        <w:t xml:space="preserve"> assembles NESO Capacity Market and balancing-cost data, Ofgem RO/FIT/REGO material and LCCC CfD data for annual policy expenditure calculations.</w:t>
      </w:r>
    </w:p>
    <w:p>
      <w:pPr>
        <w:pStyle w:val="Heading2"/>
      </w:pPr>
      <w:r>
        <w:rPr>
          <w:b w:val="0"/>
          <w:i w:val="0"/>
        </w:rPr>
        <w:t>Interconnectors and zonal demand</w:t>
      </w:r>
    </w:p>
    <w:p>
      <w:r>
        <w:rPr>
          <w:b w:val="0"/>
          <w:i w:val="0"/>
        </w:rPr>
        <w:t xml:space="preserve">External market inputs describe cross-border exchange opportunities through flow limits and prices for each half-hour. R029 provides one 17,520-row file for each of France, Belgium, the Netherlands, Norway and Ireland, binding each file to both flow and price roles. Fields include </w:t>
      </w:r>
      <w:r>
        <w:rPr>
          <w:rFonts w:ascii="DejaVu Sans Mono" w:hAnsi="DejaVu Sans Mono"/>
          <w:b w:val="0"/>
          <w:i w:val="0"/>
          <w:sz w:val="17"/>
        </w:rPr>
        <w:t>period</w:t>
      </w:r>
      <w:r>
        <w:rPr>
          <w:b w:val="0"/>
          <w:i w:val="0"/>
        </w:rPr>
        <w:t xml:space="preserve">, </w:t>
      </w:r>
      <w:r>
        <w:rPr>
          <w:rFonts w:ascii="DejaVu Sans Mono" w:hAnsi="DejaVu Sans Mono"/>
          <w:b w:val="0"/>
          <w:i w:val="0"/>
          <w:sz w:val="17"/>
        </w:rPr>
        <w:t>flow_mw</w:t>
      </w:r>
      <w:r>
        <w:rPr>
          <w:b w:val="0"/>
          <w:i w:val="0"/>
        </w:rPr>
        <w:t xml:space="preserve">, </w:t>
      </w:r>
      <w:r>
        <w:rPr>
          <w:rFonts w:ascii="DejaVu Sans Mono" w:hAnsi="DejaVu Sans Mono"/>
          <w:b w:val="0"/>
          <w:i w:val="0"/>
          <w:sz w:val="17"/>
        </w:rPr>
        <w:t>price_gbp_per_mwh</w:t>
      </w:r>
      <w:r>
        <w:rPr>
          <w:b w:val="0"/>
          <w:i w:val="0"/>
        </w:rPr>
        <w:t>, the source price hour, a half-hour marker, and source row numbers for flows and prices.</w:t>
      </w:r>
    </w:p>
    <w:p>
      <w:r>
        <w:rPr>
          <w:b w:val="0"/>
          <w:i w:val="0"/>
        </w:rPr>
        <w:t>Boundary prices use European day-ahead prices assembled by Ember from ENTSO-E data. France, Belgium, the Netherlands and Norway use 2022 prices, while Ireland uses 2021. Each hourly price is repeated twice and saved in GBP/MWh after dividing EUR/MWh by 1.1 EUR/GBP. The corrected methodology preserves negative boundary prices. The doctoral reproduction profile clips general chronological prices at zero; the experimental R029 pathway preserves negative prices.</w:t>
      </w:r>
    </w:p>
    <w:p>
      <w:r>
        <w:rPr>
          <w:b w:val="0"/>
          <w:i w:val="0"/>
        </w:rPr>
        <w:t xml:space="preserve">Each boundary uses its NESO line identity. </w:t>
      </w:r>
      <w:r>
        <w:rPr>
          <w:rFonts w:ascii="DejaVu Sans Mono" w:hAnsi="DejaVu Sans Mono"/>
          <w:b w:val="0"/>
          <w:i w:val="0"/>
          <w:sz w:val="17"/>
        </w:rPr>
        <w:t>NEMO_FLOW</w:t>
      </w:r>
      <w:r>
        <w:rPr>
          <w:b w:val="0"/>
          <w:i w:val="0"/>
        </w:rPr>
        <w:t xml:space="preserve"> supplies Belgium, </w:t>
      </w:r>
      <w:r>
        <w:rPr>
          <w:rFonts w:ascii="DejaVu Sans Mono" w:hAnsi="DejaVu Sans Mono"/>
          <w:b w:val="0"/>
          <w:i w:val="0"/>
          <w:sz w:val="17"/>
        </w:rPr>
        <w:t>BRITNED_FLOW</w:t>
      </w:r>
      <w:r>
        <w:rPr>
          <w:b w:val="0"/>
          <w:i w:val="0"/>
        </w:rPr>
        <w:t xml:space="preserve"> the Netherlands and </w:t>
      </w:r>
      <w:r>
        <w:rPr>
          <w:rFonts w:ascii="DejaVu Sans Mono" w:hAnsi="DejaVu Sans Mono"/>
          <w:b w:val="0"/>
          <w:i w:val="0"/>
          <w:sz w:val="17"/>
        </w:rPr>
        <w:t>NSL_FLOW</w:t>
      </w:r>
      <w:r>
        <w:rPr>
          <w:b w:val="0"/>
          <w:i w:val="0"/>
        </w:rPr>
        <w:t xml:space="preserve"> Norway. The registered GBP1 file </w:t>
      </w:r>
      <w:r>
        <w:rPr>
          <w:rFonts w:ascii="DejaVu Sans Mono" w:hAnsi="DejaVu Sans Mono"/>
          <w:b w:val="0"/>
          <w:i w:val="0"/>
          <w:sz w:val="17"/>
        </w:rPr>
        <w:t>Belgium_price.csv</w:t>
      </w:r>
      <w:r>
        <w:rPr>
          <w:b w:val="0"/>
          <w:i w:val="0"/>
        </w:rPr>
        <w:t xml:space="preserve"> supplies its </w:t>
      </w:r>
      <w:r>
        <w:rPr>
          <w:rFonts w:ascii="DejaVu Sans Mono" w:hAnsi="DejaVu Sans Mono"/>
          <w:b w:val="0"/>
          <w:i w:val="0"/>
          <w:sz w:val="17"/>
        </w:rPr>
        <w:t>Price (EUR/MWhe)</w:t>
      </w:r>
      <w:r>
        <w:rPr>
          <w:b w:val="0"/>
          <w:i w:val="0"/>
        </w:rPr>
        <w:t xml:space="preserve"> column as hourly EUR/MWh. </w:t>
      </w:r>
      <w:r>
        <w:rPr>
          <w:rFonts w:ascii="DejaVu Sans Mono" w:hAnsi="DejaVu Sans Mono"/>
          <w:b w:val="0"/>
          <w:i w:val="0"/>
          <w:sz w:val="17"/>
        </w:rPr>
        <w:t>read_series</w:t>
      </w:r>
      <w:r>
        <w:rPr>
          <w:b w:val="0"/>
          <w:i w:val="0"/>
        </w:rPr>
        <w:t xml:space="preserve"> divides </w:t>
      </w:r>
      <w:r>
        <w:rPr>
          <w:rFonts w:ascii="DejaVu Sans Mono" w:hAnsi="DejaVu Sans Mono"/>
          <w:b w:val="0"/>
          <w:i w:val="0"/>
          <w:sz w:val="17"/>
        </w:rPr>
        <w:t>values</w:t>
      </w:r>
      <w:r>
        <w:rPr>
          <w:b w:val="0"/>
          <w:i w:val="0"/>
        </w:rPr>
        <w:t xml:space="preserve"> by </w:t>
      </w:r>
      <w:r>
        <w:rPr>
          <w:rFonts w:ascii="DejaVu Sans Mono" w:hAnsi="DejaVu Sans Mono"/>
          <w:b w:val="0"/>
          <w:i w:val="0"/>
          <w:sz w:val="17"/>
        </w:rPr>
        <w:t>spec.eur_per_gbp = 1.1</w:t>
      </w:r>
      <w:r>
        <w:rPr>
          <w:b w:val="0"/>
          <w:i w:val="0"/>
        </w:rPr>
        <w:t xml:space="preserve"> once and repeats each converted hour into two half-hours. The kernel reads the flow corresponding to each period.</w:t>
      </w:r>
    </w:p>
    <w:p>
      <w:r>
        <w:rPr>
          <w:b w:val="0"/>
          <w:i w:val="0"/>
        </w:rPr>
        <w:t>These rules apply to both profiles. GBP1 flow values are read as MW despite their retained MWh/period labels.</w:t>
      </w:r>
    </w:p>
    <w:p>
      <w:pPr>
        <w:keepNext/>
      </w:pPr>
      <w:r>
        <w:rPr>
          <w:b w:val="0"/>
          <w:i w:val="0"/>
        </w:rPr>
        <w:t xml:space="preserve">Boundary flows provide exogenous exchange limits in source-period order. The field </w:t>
      </w:r>
      <w:r>
        <w:rPr>
          <w:rFonts w:ascii="DejaVu Sans Mono" w:hAnsi="DejaVu Sans Mono"/>
          <w:b w:val="0"/>
          <w:i w:val="0"/>
          <w:sz w:val="17"/>
        </w:rPr>
        <w:t>flow_mw</w:t>
      </w:r>
      <w:r>
        <w:rPr>
          <w:b w:val="0"/>
          <w:i w:val="0"/>
        </w:rPr>
        <w:t xml:space="preserve"> uses positive values for imports and negative values for exports. </w:t>
      </w:r>
      <w:r>
        <w:rPr>
          <w:rFonts w:ascii="DejaVu Sans Mono" w:hAnsi="DejaVu Sans Mono"/>
          <w:b w:val="0"/>
          <w:i w:val="0"/>
          <w:sz w:val="17"/>
        </w:rPr>
        <w:t>canonical_psm_data</w:t>
      </w:r>
      <w:r>
        <w:rPr>
          <w:b w:val="0"/>
          <w:i w:val="0"/>
        </w:rPr>
        <w:t xml:space="preserve"> converts it to signed MWh as </w:t>
      </w:r>
      <w:r>
        <w:rPr>
          <w:rFonts w:ascii="DejaVu Sans Mono" w:hAnsi="DejaVu Sans Mono"/>
          <w:b w:val="0"/>
          <w:i w:val="0"/>
          <w:sz w:val="17"/>
        </w:rPr>
        <w:t>raw_availability</w:t>
      </w:r>
      <w:r>
        <w:rPr>
          <w:b w:val="0"/>
          <w:i w:val="0"/>
        </w:rPr>
        <w:t xml:space="preserve">; the non-negative energy limits </w:t>
      </w:r>
      <w:r>
        <w:rPr>
          <w:rFonts w:ascii="DejaVu Sans Mono" w:hAnsi="DejaVu Sans Mono"/>
          <w:b w:val="0"/>
          <w:i w:val="0"/>
          <w:sz w:val="17"/>
        </w:rPr>
        <w:t>import_energy</w:t>
      </w:r>
      <w:r>
        <w:rPr>
          <w:b w:val="0"/>
          <w:i w:val="0"/>
        </w:rPr>
        <w:t xml:space="preserve"> and </w:t>
      </w:r>
      <w:r>
        <w:rPr>
          <w:rFonts w:ascii="DejaVu Sans Mono" w:hAnsi="DejaVu Sans Mono"/>
          <w:b w:val="0"/>
          <w:i w:val="0"/>
          <w:sz w:val="17"/>
        </w:rPr>
        <w:t>export_energy</w:t>
      </w:r>
      <w:r>
        <w:rPr>
          <w:b w:val="0"/>
          <w:i w:val="0"/>
        </w:rPr>
        <w:t xml:space="preserve"> are</w:t>
      </w:r>
    </w:p>
    <w:p>
      <w:pPr>
        <w:spacing w:after="160"/>
        <w:jc w:val="center"/>
      </w:pPr>
      <w:r>
        <w:drawing>
          <wp:inline xmlns:a="http://schemas.openxmlformats.org/drawingml/2006/main" xmlns:pic="http://schemas.openxmlformats.org/drawingml/2006/picture">
            <wp:extent cx="4242206" cy="621703"/>
            <wp:docPr id="4" name="Picture 4"/>
            <wp:cNvGraphicFramePr>
              <a:graphicFrameLocks noChangeAspect="1"/>
            </wp:cNvGraphicFramePr>
            <a:graphic>
              <a:graphicData uri="http://schemas.openxmlformats.org/drawingml/2006/picture">
                <pic:pic>
                  <pic:nvPicPr>
                    <pic:cNvPr id="0" name="eq-004.png"/>
                    <pic:cNvPicPr/>
                  </pic:nvPicPr>
                  <pic:blipFill>
                    <a:blip r:embed="rId14"/>
                    <a:stretch>
                      <a:fillRect/>
                    </a:stretch>
                  </pic:blipFill>
                  <pic:spPr>
                    <a:xfrm>
                      <a:off x="0" y="0"/>
                      <a:ext cx="4242206" cy="621703"/>
                    </a:xfrm>
                    <a:prstGeom prst="rect"/>
                  </pic:spPr>
                </pic:pic>
              </a:graphicData>
            </a:graphic>
          </wp:inline>
        </w:drawing>
      </w:r>
    </w:p>
    <w:p>
      <w:r>
        <w:rPr>
          <w:b w:val="0"/>
          <w:i w:val="0"/>
        </w:rPr>
        <w:t xml:space="preserve">The corrected default national PSM offers import capacity in day-ahead clearing; the doctoral reproduction profile offers it only in balancing (Chapter 5). The public2 revisions retain the declared sign convention, positive for import and negative for export, with status </w:t>
      </w:r>
      <w:r>
        <w:rPr>
          <w:rFonts w:ascii="DejaVu Sans Mono" w:hAnsi="DejaVu Sans Mono"/>
          <w:b w:val="0"/>
          <w:i w:val="0"/>
          <w:sz w:val="17"/>
        </w:rPr>
        <w:t>declared_unverified</w:t>
      </w:r>
      <w:r>
        <w:rPr>
          <w:b w:val="0"/>
          <w:i w:val="0"/>
        </w:rPr>
        <w:t>: source verification of country-level annual net flow remains pending. The input ranges and mean prices below describe the R029 files.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5"/>
        <w:gridCol w:w="2622"/>
        <w:gridCol w:w="2148"/>
        <w:gridCol w:w="2787"/>
      </w:tblGrid>
      <w:tr>
        <w:trPr>
          <w:cantSplit/>
          <w:tblHeader w:val="true"/>
        </w:trPr>
        <w:tc>
          <w:tcPr>
            <w:tcW w:type="dxa" w:w="2235"/>
            <w:vAlign w:val="center"/>
            <w:tcMar>
              <w:top w:w="90" w:type="dxa"/>
              <w:left w:w="90" w:type="dxa"/>
              <w:bottom w:w="90" w:type="dxa"/>
              <w:right w:w="90" w:type="dxa"/>
            </w:tcMar>
            <w:shd w:fill="EEEEEE"/>
          </w:tcPr>
          <w:p>
            <w:pPr>
              <w:spacing w:after="40" w:line="276" w:lineRule="auto"/>
            </w:pPr>
            <w:r>
              <w:rPr>
                <w:b/>
                <w:i w:val="0"/>
                <w:sz w:val="18"/>
              </w:rPr>
              <w:t>Boundary</w:t>
            </w:r>
          </w:p>
        </w:tc>
        <w:tc>
          <w:tcPr>
            <w:tcW w:type="dxa" w:w="2622"/>
            <w:vAlign w:val="center"/>
            <w:tcMar>
              <w:top w:w="90" w:type="dxa"/>
              <w:left w:w="90" w:type="dxa"/>
              <w:bottom w:w="90" w:type="dxa"/>
              <w:right w:w="90" w:type="dxa"/>
            </w:tcMar>
            <w:shd w:fill="EEEEEE"/>
          </w:tcPr>
          <w:p>
            <w:pPr>
              <w:spacing w:after="40" w:line="276" w:lineRule="auto"/>
            </w:pPr>
            <w:r>
              <w:rPr>
                <w:b/>
                <w:i w:val="0"/>
                <w:sz w:val="18"/>
              </w:rPr>
              <w:t>Flow range MW</w:t>
            </w:r>
          </w:p>
        </w:tc>
        <w:tc>
          <w:tcPr>
            <w:tcW w:type="dxa" w:w="2148"/>
            <w:vAlign w:val="center"/>
            <w:tcMar>
              <w:top w:w="90" w:type="dxa"/>
              <w:left w:w="90" w:type="dxa"/>
              <w:bottom w:w="90" w:type="dxa"/>
              <w:right w:w="90" w:type="dxa"/>
            </w:tcMar>
            <w:shd w:fill="EEEEEE"/>
          </w:tcPr>
          <w:p>
            <w:pPr>
              <w:spacing w:after="40" w:line="276" w:lineRule="auto"/>
            </w:pPr>
            <w:r>
              <w:rPr>
                <w:b/>
                <w:i w:val="0"/>
                <w:sz w:val="18"/>
              </w:rPr>
              <w:t>Price year</w:t>
            </w:r>
          </w:p>
        </w:tc>
        <w:tc>
          <w:tcPr>
            <w:tcW w:type="dxa" w:w="2787"/>
            <w:vAlign w:val="center"/>
            <w:tcMar>
              <w:top w:w="90" w:type="dxa"/>
              <w:left w:w="90" w:type="dxa"/>
              <w:bottom w:w="90" w:type="dxa"/>
              <w:right w:w="90" w:type="dxa"/>
            </w:tcMar>
            <w:shd w:fill="EEEEEE"/>
          </w:tcPr>
          <w:p>
            <w:pPr>
              <w:spacing w:after="40" w:line="276" w:lineRule="auto"/>
            </w:pPr>
            <w:r>
              <w:rPr>
                <w:b/>
                <w:i w:val="0"/>
                <w:sz w:val="18"/>
              </w:rPr>
              <w:t>Mean price GBP/MWh</w:t>
            </w:r>
          </w:p>
        </w:tc>
      </w:tr>
      <w:tr>
        <w:trPr>
          <w:cantSplit/>
        </w:trPr>
        <w:tc>
          <w:tcPr>
            <w:tcW w:type="dxa" w:w="2235"/>
            <w:vAlign w:val="center"/>
            <w:tcMar>
              <w:top w:w="90" w:type="dxa"/>
              <w:left w:w="90" w:type="dxa"/>
              <w:bottom w:w="90" w:type="dxa"/>
              <w:right w:w="90" w:type="dxa"/>
            </w:tcMar>
          </w:tcPr>
          <w:p>
            <w:pPr>
              <w:spacing w:after="40" w:line="276" w:lineRule="auto"/>
            </w:pPr>
            <w:r>
              <w:rPr>
                <w:b w:val="0"/>
                <w:i w:val="0"/>
                <w:sz w:val="18"/>
              </w:rPr>
              <w:t>Belgium</w:t>
            </w:r>
          </w:p>
        </w:tc>
        <w:tc>
          <w:tcPr>
            <w:tcW w:type="dxa" w:w="2622"/>
            <w:vAlign w:val="center"/>
            <w:tcMar>
              <w:top w:w="90" w:type="dxa"/>
              <w:left w:w="90" w:type="dxa"/>
              <w:bottom w:w="90" w:type="dxa"/>
              <w:right w:w="90" w:type="dxa"/>
            </w:tcMar>
          </w:tcPr>
          <w:p>
            <w:pPr>
              <w:spacing w:after="40" w:line="276" w:lineRule="auto"/>
            </w:pPr>
            <w:r>
              <w:rPr>
                <w:b w:val="0"/>
                <w:i w:val="0"/>
                <w:sz w:val="18"/>
              </w:rPr>
              <w:t>−1,022 to 1,020</w:t>
            </w:r>
          </w:p>
        </w:tc>
        <w:tc>
          <w:tcPr>
            <w:tcW w:type="dxa" w:w="2148"/>
            <w:vAlign w:val="center"/>
            <w:tcMar>
              <w:top w:w="90" w:type="dxa"/>
              <w:left w:w="90" w:type="dxa"/>
              <w:bottom w:w="90" w:type="dxa"/>
              <w:right w:w="90" w:type="dxa"/>
            </w:tcMar>
          </w:tcPr>
          <w:p>
            <w:pPr>
              <w:spacing w:after="40" w:line="276" w:lineRule="auto"/>
            </w:pPr>
            <w:r>
              <w:rPr>
                <w:b w:val="0"/>
                <w:i w:val="0"/>
                <w:sz w:val="18"/>
              </w:rPr>
              <w:t>2022</w:t>
            </w:r>
          </w:p>
        </w:tc>
        <w:tc>
          <w:tcPr>
            <w:tcW w:type="dxa" w:w="2787"/>
            <w:vAlign w:val="center"/>
            <w:tcMar>
              <w:top w:w="90" w:type="dxa"/>
              <w:left w:w="90" w:type="dxa"/>
              <w:bottom w:w="90" w:type="dxa"/>
              <w:right w:w="90" w:type="dxa"/>
            </w:tcMar>
          </w:tcPr>
          <w:p>
            <w:pPr>
              <w:spacing w:after="40" w:line="276" w:lineRule="auto"/>
            </w:pPr>
            <w:r>
              <w:rPr>
                <w:b w:val="0"/>
                <w:i w:val="0"/>
                <w:sz w:val="18"/>
              </w:rPr>
              <w:t>222.292608</w:t>
            </w:r>
          </w:p>
        </w:tc>
      </w:tr>
      <w:tr>
        <w:trPr>
          <w:cantSplit/>
        </w:trPr>
        <w:tc>
          <w:tcPr>
            <w:tcW w:type="dxa" w:w="2235"/>
            <w:vAlign w:val="center"/>
            <w:tcMar>
              <w:top w:w="90" w:type="dxa"/>
              <w:left w:w="90" w:type="dxa"/>
              <w:bottom w:w="90" w:type="dxa"/>
              <w:right w:w="90" w:type="dxa"/>
            </w:tcMar>
          </w:tcPr>
          <w:p>
            <w:pPr>
              <w:spacing w:after="40" w:line="276" w:lineRule="auto"/>
            </w:pPr>
            <w:r>
              <w:rPr>
                <w:b w:val="0"/>
                <w:i w:val="0"/>
                <w:sz w:val="18"/>
              </w:rPr>
              <w:t>France</w:t>
            </w:r>
          </w:p>
        </w:tc>
        <w:tc>
          <w:tcPr>
            <w:tcW w:type="dxa" w:w="2622"/>
            <w:vAlign w:val="center"/>
            <w:tcMar>
              <w:top w:w="90" w:type="dxa"/>
              <w:left w:w="90" w:type="dxa"/>
              <w:bottom w:w="90" w:type="dxa"/>
              <w:right w:w="90" w:type="dxa"/>
            </w:tcMar>
          </w:tcPr>
          <w:p>
            <w:pPr>
              <w:spacing w:after="40" w:line="276" w:lineRule="auto"/>
            </w:pPr>
            <w:r>
              <w:rPr>
                <w:b w:val="0"/>
                <w:i w:val="0"/>
                <w:sz w:val="18"/>
              </w:rPr>
              <w:t>−3,091 to 2,997</w:t>
            </w:r>
          </w:p>
        </w:tc>
        <w:tc>
          <w:tcPr>
            <w:tcW w:type="dxa" w:w="2148"/>
            <w:vAlign w:val="center"/>
            <w:tcMar>
              <w:top w:w="90" w:type="dxa"/>
              <w:left w:w="90" w:type="dxa"/>
              <w:bottom w:w="90" w:type="dxa"/>
              <w:right w:w="90" w:type="dxa"/>
            </w:tcMar>
          </w:tcPr>
          <w:p>
            <w:pPr>
              <w:spacing w:after="40" w:line="276" w:lineRule="auto"/>
            </w:pPr>
            <w:r>
              <w:rPr>
                <w:b w:val="0"/>
                <w:i w:val="0"/>
                <w:sz w:val="18"/>
              </w:rPr>
              <w:t>2022</w:t>
            </w:r>
          </w:p>
        </w:tc>
        <w:tc>
          <w:tcPr>
            <w:tcW w:type="dxa" w:w="2787"/>
            <w:vAlign w:val="center"/>
            <w:tcMar>
              <w:top w:w="90" w:type="dxa"/>
              <w:left w:w="90" w:type="dxa"/>
              <w:bottom w:w="90" w:type="dxa"/>
              <w:right w:w="90" w:type="dxa"/>
            </w:tcMar>
          </w:tcPr>
          <w:p>
            <w:pPr>
              <w:spacing w:after="40" w:line="276" w:lineRule="auto"/>
            </w:pPr>
            <w:r>
              <w:rPr>
                <w:b w:val="0"/>
                <w:i w:val="0"/>
                <w:sz w:val="18"/>
              </w:rPr>
              <w:t>250.789325</w:t>
            </w:r>
          </w:p>
        </w:tc>
      </w:tr>
      <w:tr>
        <w:trPr>
          <w:cantSplit/>
        </w:trPr>
        <w:tc>
          <w:tcPr>
            <w:tcW w:type="dxa" w:w="2235"/>
            <w:vAlign w:val="center"/>
            <w:tcMar>
              <w:top w:w="90" w:type="dxa"/>
              <w:left w:w="90" w:type="dxa"/>
              <w:bottom w:w="90" w:type="dxa"/>
              <w:right w:w="90" w:type="dxa"/>
            </w:tcMar>
          </w:tcPr>
          <w:p>
            <w:pPr>
              <w:spacing w:after="40" w:line="276" w:lineRule="auto"/>
            </w:pPr>
            <w:r>
              <w:rPr>
                <w:b w:val="0"/>
                <w:i w:val="0"/>
                <w:sz w:val="18"/>
              </w:rPr>
              <w:t>Ireland</w:t>
            </w:r>
          </w:p>
        </w:tc>
        <w:tc>
          <w:tcPr>
            <w:tcW w:type="dxa" w:w="2622"/>
            <w:vAlign w:val="center"/>
            <w:tcMar>
              <w:top w:w="90" w:type="dxa"/>
              <w:left w:w="90" w:type="dxa"/>
              <w:bottom w:w="90" w:type="dxa"/>
              <w:right w:w="90" w:type="dxa"/>
            </w:tcMar>
          </w:tcPr>
          <w:p>
            <w:pPr>
              <w:spacing w:after="40" w:line="276" w:lineRule="auto"/>
            </w:pPr>
            <w:r>
              <w:rPr>
                <w:b w:val="0"/>
                <w:i w:val="0"/>
                <w:sz w:val="18"/>
              </w:rPr>
              <w:t>−987 to 998</w:t>
            </w:r>
          </w:p>
        </w:tc>
        <w:tc>
          <w:tcPr>
            <w:tcW w:type="dxa" w:w="2148"/>
            <w:vAlign w:val="center"/>
            <w:tcMar>
              <w:top w:w="90" w:type="dxa"/>
              <w:left w:w="90" w:type="dxa"/>
              <w:bottom w:w="90" w:type="dxa"/>
              <w:right w:w="90" w:type="dxa"/>
            </w:tcMar>
          </w:tcPr>
          <w:p>
            <w:pPr>
              <w:spacing w:after="40" w:line="276" w:lineRule="auto"/>
            </w:pPr>
            <w:r>
              <w:rPr>
                <w:b w:val="0"/>
                <w:i w:val="0"/>
                <w:sz w:val="18"/>
              </w:rPr>
              <w:t>2021</w:t>
            </w:r>
          </w:p>
        </w:tc>
        <w:tc>
          <w:tcPr>
            <w:tcW w:type="dxa" w:w="2787"/>
            <w:vAlign w:val="center"/>
            <w:tcMar>
              <w:top w:w="90" w:type="dxa"/>
              <w:left w:w="90" w:type="dxa"/>
              <w:bottom w:w="90" w:type="dxa"/>
              <w:right w:w="90" w:type="dxa"/>
            </w:tcMar>
          </w:tcPr>
          <w:p>
            <w:pPr>
              <w:spacing w:after="40" w:line="276" w:lineRule="auto"/>
            </w:pPr>
            <w:r>
              <w:rPr>
                <w:b w:val="0"/>
                <w:i w:val="0"/>
                <w:sz w:val="18"/>
              </w:rPr>
              <w:t>123.937076</w:t>
            </w:r>
          </w:p>
        </w:tc>
      </w:tr>
      <w:tr>
        <w:trPr>
          <w:cantSplit/>
        </w:trPr>
        <w:tc>
          <w:tcPr>
            <w:tcW w:type="dxa" w:w="2235"/>
            <w:vAlign w:val="center"/>
            <w:tcMar>
              <w:top w:w="90" w:type="dxa"/>
              <w:left w:w="90" w:type="dxa"/>
              <w:bottom w:w="90" w:type="dxa"/>
              <w:right w:w="90" w:type="dxa"/>
            </w:tcMar>
          </w:tcPr>
          <w:p>
            <w:pPr>
              <w:spacing w:after="40" w:line="276" w:lineRule="auto"/>
            </w:pPr>
            <w:r>
              <w:rPr>
                <w:b w:val="0"/>
                <w:i w:val="0"/>
                <w:sz w:val="18"/>
              </w:rPr>
              <w:t>Netherlands</w:t>
            </w:r>
          </w:p>
        </w:tc>
        <w:tc>
          <w:tcPr>
            <w:tcW w:type="dxa" w:w="2622"/>
            <w:vAlign w:val="center"/>
            <w:tcMar>
              <w:top w:w="90" w:type="dxa"/>
              <w:left w:w="90" w:type="dxa"/>
              <w:bottom w:w="90" w:type="dxa"/>
              <w:right w:w="90" w:type="dxa"/>
            </w:tcMar>
          </w:tcPr>
          <w:p>
            <w:pPr>
              <w:spacing w:after="40" w:line="276" w:lineRule="auto"/>
            </w:pPr>
            <w:r>
              <w:rPr>
                <w:b w:val="0"/>
                <w:i w:val="0"/>
                <w:sz w:val="18"/>
              </w:rPr>
              <w:t>−1,076 to 1,062</w:t>
            </w:r>
          </w:p>
        </w:tc>
        <w:tc>
          <w:tcPr>
            <w:tcW w:type="dxa" w:w="2148"/>
            <w:vAlign w:val="center"/>
            <w:tcMar>
              <w:top w:w="90" w:type="dxa"/>
              <w:left w:w="90" w:type="dxa"/>
              <w:bottom w:w="90" w:type="dxa"/>
              <w:right w:w="90" w:type="dxa"/>
            </w:tcMar>
          </w:tcPr>
          <w:p>
            <w:pPr>
              <w:spacing w:after="40" w:line="276" w:lineRule="auto"/>
            </w:pPr>
            <w:r>
              <w:rPr>
                <w:b w:val="0"/>
                <w:i w:val="0"/>
                <w:sz w:val="18"/>
              </w:rPr>
              <w:t>2022</w:t>
            </w:r>
          </w:p>
        </w:tc>
        <w:tc>
          <w:tcPr>
            <w:tcW w:type="dxa" w:w="2787"/>
            <w:vAlign w:val="center"/>
            <w:tcMar>
              <w:top w:w="90" w:type="dxa"/>
              <w:left w:w="90" w:type="dxa"/>
              <w:bottom w:w="90" w:type="dxa"/>
              <w:right w:w="90" w:type="dxa"/>
            </w:tcMar>
          </w:tcPr>
          <w:p>
            <w:pPr>
              <w:spacing w:after="40" w:line="276" w:lineRule="auto"/>
            </w:pPr>
            <w:r>
              <w:rPr>
                <w:b w:val="0"/>
                <w:i w:val="0"/>
                <w:sz w:val="18"/>
              </w:rPr>
              <w:t>219.917959</w:t>
            </w:r>
          </w:p>
        </w:tc>
      </w:tr>
      <w:tr>
        <w:trPr>
          <w:cantSplit/>
        </w:trPr>
        <w:tc>
          <w:tcPr>
            <w:tcW w:type="dxa" w:w="2235"/>
            <w:vAlign w:val="center"/>
            <w:tcMar>
              <w:top w:w="90" w:type="dxa"/>
              <w:left w:w="90" w:type="dxa"/>
              <w:bottom w:w="90" w:type="dxa"/>
              <w:right w:w="90" w:type="dxa"/>
            </w:tcMar>
          </w:tcPr>
          <w:p>
            <w:pPr>
              <w:spacing w:after="40" w:line="276" w:lineRule="auto"/>
            </w:pPr>
            <w:r>
              <w:rPr>
                <w:b w:val="0"/>
                <w:i w:val="0"/>
                <w:sz w:val="18"/>
              </w:rPr>
              <w:t>Norway</w:t>
            </w:r>
          </w:p>
        </w:tc>
        <w:tc>
          <w:tcPr>
            <w:tcW w:type="dxa" w:w="2622"/>
            <w:vAlign w:val="center"/>
            <w:tcMar>
              <w:top w:w="90" w:type="dxa"/>
              <w:left w:w="90" w:type="dxa"/>
              <w:bottom w:w="90" w:type="dxa"/>
              <w:right w:w="90" w:type="dxa"/>
            </w:tcMar>
          </w:tcPr>
          <w:p>
            <w:pPr>
              <w:spacing w:after="40" w:line="276" w:lineRule="auto"/>
            </w:pPr>
            <w:r>
              <w:rPr>
                <w:b w:val="0"/>
                <w:i w:val="0"/>
                <w:sz w:val="18"/>
              </w:rPr>
              <w:t>−1,263 to 1,399</w:t>
            </w:r>
          </w:p>
        </w:tc>
        <w:tc>
          <w:tcPr>
            <w:tcW w:type="dxa" w:w="2148"/>
            <w:vAlign w:val="center"/>
            <w:tcMar>
              <w:top w:w="90" w:type="dxa"/>
              <w:left w:w="90" w:type="dxa"/>
              <w:bottom w:w="90" w:type="dxa"/>
              <w:right w:w="90" w:type="dxa"/>
            </w:tcMar>
          </w:tcPr>
          <w:p>
            <w:pPr>
              <w:spacing w:after="40" w:line="276" w:lineRule="auto"/>
            </w:pPr>
            <w:r>
              <w:rPr>
                <w:b w:val="0"/>
                <w:i w:val="0"/>
                <w:sz w:val="18"/>
              </w:rPr>
              <w:t>2022</w:t>
            </w:r>
          </w:p>
        </w:tc>
        <w:tc>
          <w:tcPr>
            <w:tcW w:type="dxa" w:w="2787"/>
            <w:vAlign w:val="center"/>
            <w:tcMar>
              <w:top w:w="90" w:type="dxa"/>
              <w:left w:w="90" w:type="dxa"/>
              <w:bottom w:w="90" w:type="dxa"/>
              <w:right w:w="90" w:type="dxa"/>
            </w:tcMar>
          </w:tcPr>
          <w:p>
            <w:pPr>
              <w:spacing w:after="40" w:line="276" w:lineRule="auto"/>
            </w:pPr>
            <w:r>
              <w:rPr>
                <w:b w:val="0"/>
                <w:i w:val="0"/>
                <w:sz w:val="18"/>
              </w:rPr>
              <w:t>126.503575</w:t>
            </w:r>
          </w:p>
        </w:tc>
      </w:tr>
    </w:tbl>
    <w:p>
      <w:pPr>
        <w:spacing w:after="20"/>
      </w:pPr>
    </w:p>
    <w:p>
      <w:pPr>
        <w:keepNext/>
      </w:pPr>
      <w:r>
        <w:rPr>
          <w:b w:val="0"/>
          <w:i w:val="0"/>
        </w:rPr>
        <w:t xml:space="preserve">Zonal studies allocate national study demand using the network pack's period-specific regional shares. In </w:t>
      </w:r>
      <w:r>
        <w:rPr>
          <w:rFonts w:ascii="DejaVu Sans Mono" w:hAnsi="DejaVu Sans Mono"/>
          <w:b w:val="0"/>
          <w:i w:val="0"/>
          <w:sz w:val="17"/>
        </w:rPr>
        <w:t>align_zonal_demand</w:t>
      </w:r>
      <w:r>
        <w:rPr>
          <w:b w:val="0"/>
          <w:i w:val="0"/>
        </w:rPr>
        <w:t xml:space="preserve">, mode </w:t>
      </w:r>
      <w:r>
        <w:rPr>
          <w:rFonts w:ascii="DejaVu Sans Mono" w:hAnsi="DejaVu Sans Mono"/>
          <w:b w:val="0"/>
          <w:i w:val="0"/>
          <w:sz w:val="17"/>
        </w:rPr>
        <w:t>scenario_​scaled_​zonal_​shares</w:t>
      </w:r>
      <w:r>
        <w:rPr>
          <w:b w:val="0"/>
          <w:i w:val="0"/>
        </w:rPr>
        <w:t xml:space="preserve"> sets </w:t>
      </w:r>
      <w:r>
        <w:rPr>
          <w:rFonts w:ascii="DejaVu Sans Mono" w:hAnsi="DejaVu Sans Mono"/>
          <w:b w:val="0"/>
          <w:i w:val="0"/>
          <w:sz w:val="17"/>
        </w:rPr>
        <w:t>output_real</w:t>
      </w:r>
      <w:r>
        <w:rPr>
          <w:b w:val="0"/>
          <w:i w:val="0"/>
        </w:rPr>
        <w:t xml:space="preserve"> to study actual demand and reads </w:t>
      </w:r>
      <w:r>
        <w:rPr>
          <w:rFonts w:ascii="DejaVu Sans Mono" w:hAnsi="DejaVu Sans Mono"/>
          <w:b w:val="0"/>
          <w:i w:val="0"/>
          <w:sz w:val="17"/>
        </w:rPr>
        <w:t>network_national</w:t>
      </w:r>
      <w:r>
        <w:rPr>
          <w:b w:val="0"/>
          <w:i w:val="0"/>
        </w:rPr>
        <w:t xml:space="preserve"> from the network pack at each </w:t>
      </w:r>
      <w:r>
        <w:rPr>
          <w:rFonts w:ascii="DejaVu Sans Mono" w:hAnsi="DejaVu Sans Mono"/>
          <w:b w:val="0"/>
          <w:i w:val="0"/>
          <w:sz w:val="17"/>
        </w:rPr>
        <w:t>index</w:t>
      </w:r>
      <w:r>
        <w:rPr>
          <w:b w:val="0"/>
          <w:i w:val="0"/>
        </w:rPr>
        <w:t xml:space="preserve">. All demand quantities are MWh per period. Each zone receives </w:t>
      </w:r>
      <w:r>
        <w:rPr>
          <w:rFonts w:ascii="DejaVu Sans Mono" w:hAnsi="DejaVu Sans Mono"/>
          <w:b w:val="0"/>
          <w:i w:val="0"/>
          <w:sz w:val="17"/>
        </w:rPr>
        <w:t>value</w:t>
      </w:r>
      <w:r>
        <w:rPr>
          <w:b w:val="0"/>
          <w:i w:val="0"/>
        </w:rPr>
        <w:t xml:space="preserve">, appended to </w:t>
      </w:r>
      <w:r>
        <w:rPr>
          <w:rFonts w:ascii="DejaVu Sans Mono" w:hAnsi="DejaVu Sans Mono"/>
          <w:b w:val="0"/>
          <w:i w:val="0"/>
          <w:sz w:val="17"/>
        </w:rPr>
        <w:t>aligned[zone_id]</w:t>
      </w:r>
      <w:r>
        <w:rPr>
          <w:b w:val="0"/>
          <w:i w:val="0"/>
        </w:rPr>
        <w:t>:</w:t>
      </w:r>
    </w:p>
    <w:p>
      <w:pPr>
        <w:spacing w:after="160"/>
        <w:jc w:val="center"/>
      </w:pPr>
      <w:r>
        <w:drawing>
          <wp:inline xmlns:a="http://schemas.openxmlformats.org/drawingml/2006/main" xmlns:pic="http://schemas.openxmlformats.org/drawingml/2006/picture">
            <wp:extent cx="5024704" cy="610371"/>
            <wp:docPr id="5" name="Picture 5"/>
            <wp:cNvGraphicFramePr>
              <a:graphicFrameLocks noChangeAspect="1"/>
            </wp:cNvGraphicFramePr>
            <a:graphic>
              <a:graphicData uri="http://schemas.openxmlformats.org/drawingml/2006/picture">
                <pic:pic>
                  <pic:nvPicPr>
                    <pic:cNvPr id="0" name="eq-005.png"/>
                    <pic:cNvPicPr/>
                  </pic:nvPicPr>
                  <pic:blipFill>
                    <a:blip r:embed="rId15"/>
                    <a:stretch>
                      <a:fillRect/>
                    </a:stretch>
                  </pic:blipFill>
                  <pic:spPr>
                    <a:xfrm>
                      <a:off x="0" y="0"/>
                      <a:ext cx="5024704" cy="610371"/>
                    </a:xfrm>
                    <a:prstGeom prst="rect"/>
                  </pic:spPr>
                </pic:pic>
              </a:graphicData>
            </a:graphic>
          </wp:inline>
        </w:drawing>
      </w:r>
    </w:p>
    <w:p>
      <w:r>
        <w:rPr>
          <w:b w:val="0"/>
          <w:i w:val="0"/>
        </w:rPr>
        <w:t xml:space="preserve">The final zone receives national demand minus the sum of the other zones, conserving the spatial total. Loading terminates if network national demand is zero while study demand is non-zero. The alternative </w:t>
      </w:r>
      <w:r>
        <w:rPr>
          <w:rFonts w:ascii="DejaVu Sans Mono" w:hAnsi="DejaVu Sans Mono"/>
          <w:b w:val="0"/>
          <w:i w:val="0"/>
          <w:sz w:val="17"/>
        </w:rPr>
        <w:t>network_​pack_​absolute_​demand</w:t>
      </w:r>
      <w:r>
        <w:rPr>
          <w:b w:val="0"/>
          <w:i w:val="0"/>
        </w:rPr>
        <w:t xml:space="preserve"> uses network national demand directly and adjusts the forecast using the original forecast-to-actual ratio. Zone, corridor and asset-mapping constraints are defined in the transmission chapter.</w:t>
      </w:r>
    </w:p>
    <w:p>
      <w:pPr>
        <w:pStyle w:val="Heading2"/>
      </w:pPr>
      <w:r>
        <w:rPr>
          <w:b w:val="0"/>
          <w:i w:val="0"/>
        </w:rPr>
        <w:t>VALUE 101 synthetic inputs</w:t>
      </w:r>
    </w:p>
    <w:p>
      <w:pPr>
        <w:keepNext/>
      </w:pPr>
      <w:r>
        <w:rPr>
          <w:b w:val="0"/>
          <w:i w:val="0"/>
        </w:rPr>
        <w:t xml:space="preserve">VALUE 101 generates daily peaks, seasonal variation and two local demand disturbances with deterministic functions in </w:t>
      </w:r>
      <w:r>
        <w:rPr>
          <w:rFonts w:ascii="DejaVu Sans Mono" w:hAnsi="DejaVu Sans Mono"/>
          <w:b w:val="0"/>
          <w:i w:val="0"/>
          <w:sz w:val="17"/>
        </w:rPr>
        <w:t>build_value_101_packs</w:t>
      </w:r>
      <w:r>
        <w:rPr>
          <w:b w:val="0"/>
          <w:i w:val="0"/>
        </w:rPr>
        <w:t xml:space="preserve">. The function </w:t>
      </w:r>
      <w:r>
        <w:rPr>
          <w:rFonts w:ascii="DejaVu Sans Mono" w:hAnsi="DejaVu Sans Mono"/>
          <w:b w:val="0"/>
          <w:i w:val="0"/>
          <w:sz w:val="17"/>
        </w:rPr>
        <w:t>_demand</w:t>
      </w:r>
      <w:r>
        <w:rPr>
          <w:b w:val="0"/>
          <w:i w:val="0"/>
        </w:rPr>
        <w:t xml:space="preserve"> returns demand power in MW. It calculates </w:t>
      </w:r>
      <w:r>
        <w:rPr>
          <w:rFonts w:ascii="DejaVu Sans Mono" w:hAnsi="DejaVu Sans Mono"/>
          <w:b w:val="0"/>
          <w:i w:val="0"/>
          <w:sz w:val="17"/>
        </w:rPr>
        <w:t>day</w:t>
      </w:r>
      <w:r>
        <w:rPr>
          <w:b w:val="0"/>
          <w:i w:val="0"/>
        </w:rPr>
        <w:t xml:space="preserve"> and </w:t>
      </w:r>
      <w:r>
        <w:rPr>
          <w:rFonts w:ascii="DejaVu Sans Mono" w:hAnsi="DejaVu Sans Mono"/>
          <w:b w:val="0"/>
          <w:i w:val="0"/>
          <w:sz w:val="17"/>
        </w:rPr>
        <w:t>hour</w:t>
      </w:r>
      <w:r>
        <w:rPr>
          <w:b w:val="0"/>
          <w:i w:val="0"/>
        </w:rPr>
        <w:t xml:space="preserve"> from half-hour index </w:t>
      </w:r>
      <w:r>
        <w:rPr>
          <w:rFonts w:ascii="DejaVu Sans Mono" w:hAnsi="DejaVu Sans Mono"/>
          <w:b w:val="0"/>
          <w:i w:val="0"/>
          <w:sz w:val="17"/>
        </w:rPr>
        <w:t>period</w:t>
      </w:r>
      <w:r>
        <w:rPr>
          <w:b w:val="0"/>
          <w:i w:val="0"/>
        </w:rPr>
        <w:t xml:space="preserve">, and combines the following morning, evening, overnight and winter terms. </w:t>
      </w:r>
      <w:r>
        <w:rPr>
          <w:rFonts w:ascii="DejaVu Sans Mono" w:hAnsi="DejaVu Sans Mono"/>
          <w:b w:val="0"/>
          <w:i w:val="0"/>
          <w:sz w:val="17"/>
        </w:rPr>
        <w:t>weekday</w:t>
      </w:r>
      <w:r>
        <w:rPr>
          <w:b w:val="0"/>
          <w:i w:val="0"/>
        </w:rPr>
        <w:t xml:space="preserve"> is 1 when </w:t>
      </w:r>
      <w:r>
        <w:rPr>
          <w:rFonts w:ascii="DejaVu Sans Mono" w:hAnsi="DejaVu Sans Mono"/>
          <w:b w:val="0"/>
          <w:i w:val="0"/>
          <w:sz w:val="17"/>
        </w:rPr>
        <w:t>day % 7 &lt; 5</w:t>
      </w:r>
      <w:r>
        <w:rPr>
          <w:b w:val="0"/>
          <w:i w:val="0"/>
        </w:rPr>
        <w:t xml:space="preserve"> and 0.92 otherwise; </w:t>
      </w:r>
      <w:r>
        <w:rPr>
          <w:rFonts w:ascii="DejaVu Sans Mono" w:hAnsi="DejaVu Sans Mono"/>
          <w:b w:val="0"/>
          <w:i w:val="0"/>
          <w:sz w:val="17"/>
        </w:rPr>
        <w:t>teaching_peak</w:t>
      </w:r>
      <w:r>
        <w:rPr>
          <w:b w:val="0"/>
          <w:i w:val="0"/>
        </w:rPr>
        <w:t xml:space="preserve"> is 30 MW when </w:t>
      </w:r>
      <w:r>
        <w:rPr>
          <w:rFonts w:ascii="DejaVu Sans Mono" w:hAnsi="DejaVu Sans Mono"/>
          <w:b w:val="0"/>
          <w:i w:val="0"/>
          <w:sz w:val="17"/>
        </w:rPr>
        <w:t>day</w:t>
      </w:r>
      <w:r>
        <w:rPr>
          <w:b w:val="0"/>
          <w:i w:val="0"/>
        </w:rPr>
        <w:t xml:space="preserve"> is 0 or 182 and </w:t>
      </w:r>
      <w:r>
        <w:rPr>
          <w:rFonts w:ascii="DejaVu Sans Mono" w:hAnsi="DejaVu Sans Mono"/>
          <w:b w:val="0"/>
          <w:i w:val="0"/>
          <w:sz w:val="17"/>
        </w:rPr>
        <w:t>period % 48 == 31</w:t>
      </w:r>
      <w:r>
        <w:rPr>
          <w:b w:val="0"/>
          <w:i w:val="0"/>
        </w:rPr>
        <w:t>, and zero otherwise:</w:t>
      </w:r>
    </w:p>
    <w:p>
      <w:pPr>
        <w:spacing w:after="160"/>
        <w:jc w:val="center"/>
      </w:pPr>
      <w:r>
        <w:drawing>
          <wp:inline xmlns:a="http://schemas.openxmlformats.org/drawingml/2006/main" xmlns:pic="http://schemas.openxmlformats.org/drawingml/2006/picture">
            <wp:extent cx="4503953" cy="1188861"/>
            <wp:docPr id="6" name="Picture 6"/>
            <wp:cNvGraphicFramePr>
              <a:graphicFrameLocks noChangeAspect="1"/>
            </wp:cNvGraphicFramePr>
            <a:graphic>
              <a:graphicData uri="http://schemas.openxmlformats.org/drawingml/2006/picture">
                <pic:pic>
                  <pic:nvPicPr>
                    <pic:cNvPr id="0" name="eq-006.png"/>
                    <pic:cNvPicPr/>
                  </pic:nvPicPr>
                  <pic:blipFill>
                    <a:blip r:embed="rId16"/>
                    <a:stretch>
                      <a:fillRect/>
                    </a:stretch>
                  </pic:blipFill>
                  <pic:spPr>
                    <a:xfrm>
                      <a:off x="0" y="0"/>
                      <a:ext cx="4503953" cy="1188861"/>
                    </a:xfrm>
                    <a:prstGeom prst="rect"/>
                  </pic:spPr>
                </pic:pic>
              </a:graphicData>
            </a:graphic>
          </wp:inline>
        </w:drawing>
      </w:r>
    </w:p>
    <w:p>
      <w:pPr>
        <w:spacing w:after="160"/>
        <w:jc w:val="center"/>
      </w:pPr>
      <w:r>
        <w:drawing>
          <wp:inline xmlns:a="http://schemas.openxmlformats.org/drawingml/2006/main" xmlns:pic="http://schemas.openxmlformats.org/drawingml/2006/picture">
            <wp:extent cx="5365089" cy="464045"/>
            <wp:docPr id="7" name="Picture 7"/>
            <wp:cNvGraphicFramePr>
              <a:graphicFrameLocks noChangeAspect="1"/>
            </wp:cNvGraphicFramePr>
            <a:graphic>
              <a:graphicData uri="http://schemas.openxmlformats.org/drawingml/2006/picture">
                <pic:pic>
                  <pic:nvPicPr>
                    <pic:cNvPr id="0" name="eq-007.png"/>
                    <pic:cNvPicPr/>
                  </pic:nvPicPr>
                  <pic:blipFill>
                    <a:blip r:embed="rId17"/>
                    <a:stretch>
                      <a:fillRect/>
                    </a:stretch>
                  </pic:blipFill>
                  <pic:spPr>
                    <a:xfrm>
                      <a:off x="0" y="0"/>
                      <a:ext cx="5365089" cy="464045"/>
                    </a:xfrm>
                    <a:prstGeom prst="rect"/>
                  </pic:spPr>
                </pic:pic>
              </a:graphicData>
            </a:graphic>
          </wp:inline>
        </w:drawing>
      </w:r>
    </w:p>
    <w:p>
      <w:r>
        <w:rPr>
          <w:b w:val="0"/>
          <w:i w:val="0"/>
        </w:rPr>
        <w:t xml:space="preserve">The forecast function </w:t>
      </w:r>
      <w:r>
        <w:rPr>
          <w:rFonts w:ascii="DejaVu Sans Mono" w:hAnsi="DejaVu Sans Mono"/>
          <w:b w:val="0"/>
          <w:i w:val="0"/>
          <w:sz w:val="17"/>
        </w:rPr>
        <w:t>_forecast_demand</w:t>
      </w:r>
      <w:r>
        <w:rPr>
          <w:b w:val="0"/>
          <w:i w:val="0"/>
        </w:rPr>
        <w:t xml:space="preserve"> adds </w:t>
      </w:r>
      <w:r>
        <w:rPr>
          <w:rFonts w:ascii="DejaVu Sans Mono" w:hAnsi="DejaVu Sans Mono"/>
          <w:b w:val="0"/>
          <w:i w:val="0"/>
          <w:sz w:val="17"/>
        </w:rPr>
        <w:t>balancing_margin</w:t>
      </w:r>
      <w:r>
        <w:rPr>
          <w:b w:val="0"/>
          <w:i w:val="0"/>
        </w:rPr>
        <w:t xml:space="preserve"> to </w:t>
      </w:r>
      <w:r>
        <w:rPr>
          <w:rFonts w:ascii="DejaVu Sans Mono" w:hAnsi="DejaVu Sans Mono"/>
          <w:b w:val="0"/>
          <w:i w:val="0"/>
          <w:sz w:val="17"/>
        </w:rPr>
        <w:t>_demand(period)</w:t>
      </w:r>
      <w:r>
        <w:rPr>
          <w:b w:val="0"/>
          <w:i w:val="0"/>
        </w:rPr>
        <w:t xml:space="preserve"> and rounds to six decimal places. </w:t>
      </w:r>
      <w:r>
        <w:rPr>
          <w:rFonts w:ascii="DejaVu Sans Mono" w:hAnsi="DejaVu Sans Mono"/>
          <w:b w:val="0"/>
          <w:i w:val="0"/>
          <w:sz w:val="17"/>
        </w:rPr>
        <w:t>balancing_margin</w:t>
      </w:r>
      <w:r>
        <w:rPr>
          <w:b w:val="0"/>
          <w:i w:val="0"/>
        </w:rPr>
        <w:t xml:space="preserve"> is 12 MW when </w:t>
      </w:r>
      <w:r>
        <w:rPr>
          <w:rFonts w:ascii="DejaVu Sans Mono" w:hAnsi="DejaVu Sans Mono"/>
          <w:b w:val="0"/>
          <w:i w:val="0"/>
          <w:sz w:val="17"/>
        </w:rPr>
        <w:t>day</w:t>
      </w:r>
      <w:r>
        <w:rPr>
          <w:b w:val="0"/>
          <w:i w:val="0"/>
        </w:rPr>
        <w:t xml:space="preserve"> is 0 or 182 and </w:t>
      </w:r>
      <w:r>
        <w:rPr>
          <w:rFonts w:ascii="DejaVu Sans Mono" w:hAnsi="DejaVu Sans Mono"/>
          <w:b w:val="0"/>
          <w:i w:val="0"/>
          <w:sz w:val="17"/>
        </w:rPr>
        <w:t>period % 48 == 30</w:t>
      </w:r>
      <w:r>
        <w:rPr>
          <w:b w:val="0"/>
          <w:i w:val="0"/>
        </w:rPr>
        <w:t>; it is zero in the other periods.</w:t>
      </w:r>
    </w:p>
    <w:p>
      <w:pPr>
        <w:keepNext/>
      </w:pPr>
      <w:r>
        <w:rPr>
          <w:b w:val="0"/>
          <w:i w:val="0"/>
        </w:rPr>
        <w:t xml:space="preserve">The solar investment profile </w:t>
      </w:r>
      <w:r>
        <w:rPr>
          <w:rFonts w:ascii="DejaVu Sans Mono" w:hAnsi="DejaVu Sans Mono"/>
          <w:b w:val="0"/>
          <w:i w:val="0"/>
          <w:sz w:val="17"/>
        </w:rPr>
        <w:t>_solar_profile</w:t>
      </w:r>
      <w:r>
        <w:rPr>
          <w:b w:val="0"/>
          <w:i w:val="0"/>
        </w:rPr>
        <w:t xml:space="preserve"> multiplies daylight and seasonal factors. It returns zero for </w:t>
      </w:r>
      <w:r>
        <w:rPr>
          <w:rFonts w:ascii="DejaVu Sans Mono" w:hAnsi="DejaVu Sans Mono"/>
          <w:b w:val="0"/>
          <w:i w:val="0"/>
          <w:sz w:val="17"/>
        </w:rPr>
        <w:t>hour &lt; 6</w:t>
      </w:r>
      <w:r>
        <w:rPr>
          <w:b w:val="0"/>
          <w:i w:val="0"/>
        </w:rPr>
        <w:t xml:space="preserve"> or </w:t>
      </w:r>
      <w:r>
        <w:rPr>
          <w:rFonts w:ascii="DejaVu Sans Mono" w:hAnsi="DejaVu Sans Mono"/>
          <w:b w:val="0"/>
          <w:i w:val="0"/>
          <w:sz w:val="17"/>
        </w:rPr>
        <w:t>hour &gt; 18</w:t>
      </w:r>
      <w:r>
        <w:rPr>
          <w:b w:val="0"/>
          <w:i w:val="0"/>
        </w:rPr>
        <w:t xml:space="preserve">. Within that daylight window, using the same </w:t>
      </w:r>
      <w:r>
        <w:rPr>
          <w:rFonts w:ascii="DejaVu Sans Mono" w:hAnsi="DejaVu Sans Mono"/>
          <w:b w:val="0"/>
          <w:i w:val="0"/>
          <w:sz w:val="17"/>
        </w:rPr>
        <w:t>day</w:t>
      </w:r>
      <w:r>
        <w:rPr>
          <w:b w:val="0"/>
          <w:i w:val="0"/>
        </w:rPr>
        <w:t xml:space="preserve"> and </w:t>
      </w:r>
      <w:r>
        <w:rPr>
          <w:rFonts w:ascii="DejaVu Sans Mono" w:hAnsi="DejaVu Sans Mono"/>
          <w:b w:val="0"/>
          <w:i w:val="0"/>
          <w:sz w:val="17"/>
        </w:rPr>
        <w:t>hour</w:t>
      </w:r>
      <w:r>
        <w:rPr>
          <w:b w:val="0"/>
          <w:i w:val="0"/>
        </w:rPr>
        <w:t xml:space="preserve"> definitions,</w:t>
      </w:r>
    </w:p>
    <w:p>
      <w:pPr>
        <w:spacing w:after="160"/>
        <w:jc w:val="center"/>
      </w:pPr>
      <w:r>
        <w:drawing>
          <wp:inline xmlns:a="http://schemas.openxmlformats.org/drawingml/2006/main" xmlns:pic="http://schemas.openxmlformats.org/drawingml/2006/picture">
            <wp:extent cx="5693283" cy="679078"/>
            <wp:docPr id="8" name="Picture 8"/>
            <wp:cNvGraphicFramePr>
              <a:graphicFrameLocks noChangeAspect="1"/>
            </wp:cNvGraphicFramePr>
            <a:graphic>
              <a:graphicData uri="http://schemas.openxmlformats.org/drawingml/2006/picture">
                <pic:pic>
                  <pic:nvPicPr>
                    <pic:cNvPr id="0" name="eq-008.png"/>
                    <pic:cNvPicPr/>
                  </pic:nvPicPr>
                  <pic:blipFill>
                    <a:blip r:embed="rId18"/>
                    <a:stretch>
                      <a:fillRect/>
                    </a:stretch>
                  </pic:blipFill>
                  <pic:spPr>
                    <a:xfrm>
                      <a:off x="0" y="0"/>
                      <a:ext cx="5693283" cy="679078"/>
                    </a:xfrm>
                    <a:prstGeom prst="rect"/>
                  </pic:spPr>
                </pic:pic>
              </a:graphicData>
            </a:graphic>
          </wp:inline>
        </w:drawing>
      </w:r>
    </w:p>
    <w:p>
      <w:pPr>
        <w:keepNext/>
      </w:pPr>
      <w:r>
        <w:rPr>
          <w:b w:val="0"/>
          <w:i w:val="0"/>
        </w:rPr>
        <w:t xml:space="preserve">The wind investment profile </w:t>
      </w:r>
      <w:r>
        <w:rPr>
          <w:rFonts w:ascii="DejaVu Sans Mono" w:hAnsi="DejaVu Sans Mono"/>
          <w:b w:val="0"/>
          <w:i w:val="0"/>
          <w:sz w:val="17"/>
        </w:rPr>
        <w:t>_wind_profile</w:t>
      </w:r>
      <w:r>
        <w:rPr>
          <w:b w:val="0"/>
          <w:i w:val="0"/>
        </w:rPr>
        <w:t xml:space="preserve"> combines daily, 29-day and annual components and limits the coefficient to 0.08–0.92:</w:t>
      </w:r>
    </w:p>
    <w:p>
      <w:pPr>
        <w:spacing w:after="160"/>
        <w:jc w:val="center"/>
      </w:pPr>
      <w:r>
        <w:drawing>
          <wp:inline xmlns:a="http://schemas.openxmlformats.org/drawingml/2006/main" xmlns:pic="http://schemas.openxmlformats.org/drawingml/2006/picture">
            <wp:extent cx="5018074" cy="1104205"/>
            <wp:docPr id="9" name="Picture 9"/>
            <wp:cNvGraphicFramePr>
              <a:graphicFrameLocks noChangeAspect="1"/>
            </wp:cNvGraphicFramePr>
            <a:graphic>
              <a:graphicData uri="http://schemas.openxmlformats.org/drawingml/2006/picture">
                <pic:pic>
                  <pic:nvPicPr>
                    <pic:cNvPr id="0" name="eq-009.png"/>
                    <pic:cNvPicPr/>
                  </pic:nvPicPr>
                  <pic:blipFill>
                    <a:blip r:embed="rId19"/>
                    <a:stretch>
                      <a:fillRect/>
                    </a:stretch>
                  </pic:blipFill>
                  <pic:spPr>
                    <a:xfrm>
                      <a:off x="0" y="0"/>
                      <a:ext cx="5018074" cy="1104205"/>
                    </a:xfrm>
                    <a:prstGeom prst="rect"/>
                  </pic:spPr>
                </pic:pic>
              </a:graphicData>
            </a:graphic>
          </wp:inline>
        </w:drawing>
      </w:r>
    </w:p>
    <w:p>
      <w:r>
        <w:rPr>
          <w:b w:val="0"/>
          <w:i w:val="0"/>
        </w:rPr>
        <w:t xml:space="preserve">Offshore investment availability is 1.08 times </w:t>
      </w:r>
      <w:r>
        <w:rPr>
          <w:rFonts w:ascii="DejaVu Sans Mono" w:hAnsi="DejaVu Sans Mono"/>
          <w:b w:val="0"/>
          <w:i w:val="0"/>
          <w:sz w:val="17"/>
        </w:rPr>
        <w:t>_wind_profile(period)</w:t>
      </w:r>
      <w:r>
        <w:rPr>
          <w:b w:val="0"/>
          <w:i w:val="0"/>
        </w:rPr>
        <w:t xml:space="preserve">, capped at 1 and rounded to six decimal places. The three sequences are saved under </w:t>
      </w:r>
      <w:r>
        <w:rPr>
          <w:rFonts w:ascii="DejaVu Sans Mono" w:hAnsi="DejaVu Sans Mono"/>
          <w:b w:val="0"/>
          <w:i w:val="0"/>
          <w:sz w:val="17"/>
        </w:rPr>
        <w:t>profiles.vre_solar</w:t>
      </w:r>
      <w:r>
        <w:rPr>
          <w:b w:val="0"/>
          <w:i w:val="0"/>
        </w:rPr>
        <w:t xml:space="preserve">, </w:t>
      </w:r>
      <w:r>
        <w:rPr>
          <w:rFonts w:ascii="DejaVu Sans Mono" w:hAnsi="DejaVu Sans Mono"/>
          <w:b w:val="0"/>
          <w:i w:val="0"/>
          <w:sz w:val="17"/>
        </w:rPr>
        <w:t>profiles.vre_onshore</w:t>
      </w:r>
      <w:r>
        <w:rPr>
          <w:b w:val="0"/>
          <w:i w:val="0"/>
        </w:rPr>
        <w:t xml:space="preserve"> and </w:t>
      </w:r>
      <w:r>
        <w:rPr>
          <w:rFonts w:ascii="DejaVu Sans Mono" w:hAnsi="DejaVu Sans Mono"/>
          <w:b w:val="0"/>
          <w:i w:val="0"/>
          <w:sz w:val="17"/>
        </w:rPr>
        <w:t>profiles.vre_offshore</w:t>
      </w:r>
      <w:r>
        <w:rPr>
          <w:b w:val="0"/>
          <w:i w:val="0"/>
        </w:rPr>
        <w:t>.</w:t>
      </w:r>
    </w:p>
    <w:p>
      <w:pPr>
        <w:keepNext/>
      </w:pPr>
      <w:r>
        <w:rPr>
          <w:b w:val="0"/>
          <w:i w:val="0"/>
        </w:rPr>
        <w:t xml:space="preserve">Teaching weather is specified separately on one grid point at 52°N, 0°E for 8,760 hours. In this calculation, </w:t>
      </w:r>
      <w:r>
        <w:rPr>
          <w:rFonts w:ascii="DejaVu Sans Mono" w:hAnsi="DejaVu Sans Mono"/>
          <w:b w:val="0"/>
          <w:i w:val="0"/>
          <w:sz w:val="17"/>
        </w:rPr>
        <w:t>hour</w:t>
      </w:r>
      <w:r>
        <w:rPr>
          <w:b w:val="0"/>
          <w:i w:val="0"/>
        </w:rPr>
        <w:t xml:space="preserve"> is the zero-based index through the year. The solar array </w:t>
      </w:r>
      <w:r>
        <w:rPr>
          <w:rFonts w:ascii="DejaVu Sans Mono" w:hAnsi="DejaVu Sans Mono"/>
          <w:b w:val="0"/>
          <w:i w:val="0"/>
          <w:sz w:val="17"/>
        </w:rPr>
        <w:t>hourly_solar</w:t>
      </w:r>
      <w:r>
        <w:rPr>
          <w:b w:val="0"/>
          <w:i w:val="0"/>
        </w:rPr>
        <w:t xml:space="preserve"> is in J/m² and the wind-speed array </w:t>
      </w:r>
      <w:r>
        <w:rPr>
          <w:rFonts w:ascii="DejaVu Sans Mono" w:hAnsi="DejaVu Sans Mono"/>
          <w:b w:val="0"/>
          <w:i w:val="0"/>
          <w:sz w:val="17"/>
        </w:rPr>
        <w:t>hourly_wind</w:t>
      </w:r>
      <w:r>
        <w:rPr>
          <w:b w:val="0"/>
          <w:i w:val="0"/>
        </w:rPr>
        <w:t xml:space="preserve"> in m/s:</w:t>
      </w:r>
    </w:p>
    <w:p>
      <w:pPr>
        <w:spacing w:after="160"/>
        <w:jc w:val="center"/>
      </w:pPr>
      <w:r>
        <w:drawing>
          <wp:inline xmlns:a="http://schemas.openxmlformats.org/drawingml/2006/main" xmlns:pic="http://schemas.openxmlformats.org/drawingml/2006/picture">
            <wp:extent cx="4581296" cy="621813"/>
            <wp:docPr id="10" name="Picture 10"/>
            <wp:cNvGraphicFramePr>
              <a:graphicFrameLocks noChangeAspect="1"/>
            </wp:cNvGraphicFramePr>
            <a:graphic>
              <a:graphicData uri="http://schemas.openxmlformats.org/drawingml/2006/picture">
                <pic:pic>
                  <pic:nvPicPr>
                    <pic:cNvPr id="0" name="eq-010.png"/>
                    <pic:cNvPicPr/>
                  </pic:nvPicPr>
                  <pic:blipFill>
                    <a:blip r:embed="rId20"/>
                    <a:stretch>
                      <a:fillRect/>
                    </a:stretch>
                  </pic:blipFill>
                  <pic:spPr>
                    <a:xfrm>
                      <a:off x="0" y="0"/>
                      <a:ext cx="4581296" cy="621813"/>
                    </a:xfrm>
                    <a:prstGeom prst="rect"/>
                  </pic:spPr>
                </pic:pic>
              </a:graphicData>
            </a:graphic>
          </wp:inline>
        </w:drawing>
      </w:r>
    </w:p>
    <w:p>
      <w:r>
        <w:rPr>
          <w:b w:val="0"/>
          <w:i w:val="0"/>
        </w:rPr>
        <w:t xml:space="preserve">The weather wind speed passes through the generation curve for dispatch; the technology profiles supply the investment rule. The French boundary has a 12 MW import limit and a price of 82 GBP/MWh. The other four boundaries have zero exchange capacity and placeholder prices of 200 GBP/MWh. </w:t>
      </w:r>
      <w:r>
        <w:rPr>
          <w:rFonts w:ascii="DejaVu Sans Mono" w:hAnsi="DejaVu Sans Mono"/>
          <w:b w:val="0"/>
          <w:i w:val="0"/>
          <w:sz w:val="17"/>
        </w:rPr>
        <w:t>build_value_101_packs</w:t>
      </w:r>
      <w:r>
        <w:rPr>
          <w:b w:val="0"/>
          <w:i w:val="0"/>
        </w:rPr>
        <w:t xml:space="preserve"> writes these demand, weather and market sequences into the teaching package.</w:t>
      </w:r>
    </w:p>
    <w:p>
      <w:pPr>
        <w:pStyle w:val="Heading2"/>
      </w:pPr>
      <w:r>
        <w:rPr>
          <w:b w:val="0"/>
          <w:i w:val="0"/>
        </w:rPr>
        <w:t>Data eligibility and user mappings</w:t>
      </w:r>
    </w:p>
    <w:p>
      <w:r>
        <w:rPr>
          <w:b w:val="0"/>
          <w:i w:val="0"/>
        </w:rPr>
        <w:t xml:space="preserve">Package validation separates structural validity, chronology and physical plausibility. Structure determines whether a package can be installed. Chronology checks boundary identity, price currency, local-time demand, known row-order issues, forecast alignment and declared timestamps. Plausibility checks use the ranges in </w:t>
      </w:r>
      <w:r>
        <w:rPr>
          <w:rFonts w:ascii="DejaVu Sans Mono" w:hAnsi="DejaVu Sans Mono"/>
          <w:b w:val="0"/>
          <w:i w:val="0"/>
          <w:sz w:val="17"/>
        </w:rPr>
        <w:t>value_​data_​plausibility_​v1.json</w:t>
      </w:r>
      <w:r>
        <w:rPr>
          <w:b w:val="0"/>
          <w:i w:val="0"/>
        </w:rPr>
        <w:t>.</w:t>
      </w:r>
    </w:p>
    <w:p>
      <w:r>
        <w:rPr>
          <w:b w:val="0"/>
          <w:i w:val="0"/>
        </w:rPr>
        <w:t xml:space="preserve">The </w:t>
      </w:r>
      <w:r>
        <w:rPr>
          <w:rFonts w:ascii="DejaVu Sans Mono" w:hAnsi="DejaVu Sans Mono"/>
          <w:b w:val="0"/>
          <w:i w:val="0"/>
          <w:sz w:val="17"/>
        </w:rPr>
        <w:t>profile_eligibility</w:t>
      </w:r>
      <w:r>
        <w:rPr>
          <w:b w:val="0"/>
          <w:i w:val="0"/>
        </w:rPr>
        <w:t xml:space="preserve"> decision combines those findings with the profile's package whitelist. In the corrected methodology, chronology findings for non-workspace packages and plausibility failures for scientific reference packages block preflight. They remain warnings under doctoral reproduction, whose whitelist separately excludes user workspaces and the VALUE 101 network package. Successful package validation is followed by role-specific reading; VRE investment-profile clock requirements are checked at that stage.</w:t>
      </w:r>
    </w:p>
    <w:p>
      <w:r>
        <w:rPr>
          <w:b w:val="0"/>
          <w:i w:val="0"/>
        </w:rPr>
        <w:t>User demand mappings declare columns, units and, when provided, timestamps in UTC or Europe/London. Local timestamps are converted row by row to UTC. Declared day/month order resolves dates as DD/MM/YYYY or MM/DD/YYYY; otherwise it is inferred. Unreadable, duplicate, decreasing, gapped or irregular timestamps block submission.</w:t>
      </w:r>
    </w:p>
    <w:p>
      <w:r>
        <w:rPr>
          <w:b w:val="0"/>
          <w:i w:val="0"/>
        </w:rPr>
        <w:t>Mapped sequences enter the model in row order from 1 January 00:00 UTC and repeat in each model year. A differing source year generates a notice; the reader preserves row order, weekdays and holidays from the input. Hourly demand identified by 8,760 or 8,784 rows or a 60-minute timestamp interval expands to half-hours after source-unit conversion. Short inputs require confirmation of repetition. A mapped demand total above 1.5 times or below 0.67 times the replaced annual total generates a notice containing both energy totals.</w:t>
      </w:r>
    </w:p>
    <w:p>
      <w:r>
        <w:rPr>
          <w:b w:val="0"/>
          <w:i w:val="0"/>
        </w:rPr>
        <w:t>Mapped euro prices use the declared exchange rate and its annual-average, monthly-average or fixed-rate basis. The declared price year is recorded, and a year other than 2025 generates a notice; only the currency conversion is applied.</w:t>
      </w:r>
    </w:p>
    <w:p>
      <w:pPr>
        <w:pStyle w:val="Heading2"/>
      </w:pPr>
      <w:r>
        <w:rPr>
          <w:b w:val="0"/>
          <w:i w:val="0"/>
        </w:rPr>
        <w:t>Data and implementation</w:t>
      </w:r>
    </w:p>
    <w:p>
      <w:r>
        <w:rPr>
          <w:b w:val="0"/>
          <w:i w:val="0"/>
        </w:rPr>
        <w:t xml:space="preserve">NESO supplies the demand source, DESNZ REPD supplies projects, Copernicus ERA5 single levels supplies weather, and Ember's ENTSO-E compilation supplies boundary prices. </w:t>
      </w:r>
      <w:r>
        <w:rPr>
          <w:rFonts w:ascii="DejaVu Sans Mono" w:hAnsi="DejaVu Sans Mono"/>
          <w:b w:val="0"/>
          <w:i w:val="0"/>
          <w:sz w:val="17"/>
        </w:rPr>
        <w:t>import_scheme_c_1000twh</w:t>
      </w:r>
      <w:r>
        <w:rPr>
          <w:b w:val="0"/>
          <w:i w:val="0"/>
        </w:rPr>
        <w:t xml:space="preserve"> normalises project data. </w:t>
      </w:r>
      <w:r>
        <w:rPr>
          <w:rFonts w:ascii="DejaVu Sans Mono" w:hAnsi="DejaVu Sans Mono"/>
          <w:b w:val="0"/>
          <w:i w:val="0"/>
          <w:sz w:val="17"/>
        </w:rPr>
        <w:t>series_reader.py</w:t>
      </w:r>
      <w:r>
        <w:rPr>
          <w:b w:val="0"/>
          <w:i w:val="0"/>
        </w:rPr>
        <w:t xml:space="preserve"> and </w:t>
      </w:r>
      <w:r>
        <w:rPr>
          <w:rFonts w:ascii="DejaVu Sans Mono" w:hAnsi="DejaVu Sans Mono"/>
          <w:b w:val="0"/>
          <w:i w:val="0"/>
          <w:sz w:val="17"/>
        </w:rPr>
        <w:t>data_method</w:t>
      </w:r>
      <w:r>
        <w:rPr>
          <w:b w:val="0"/>
          <w:i w:val="0"/>
        </w:rPr>
        <w:t xml:space="preserve"> read time series; </w:t>
      </w:r>
      <w:r>
        <w:rPr>
          <w:rFonts w:ascii="DejaVu Sans Mono" w:hAnsi="DejaVu Sans Mono"/>
          <w:b w:val="0"/>
          <w:i w:val="0"/>
          <w:sz w:val="17"/>
        </w:rPr>
        <w:t>interconnector_identity</w:t>
      </w:r>
      <w:r>
        <w:rPr>
          <w:b w:val="0"/>
          <w:i w:val="0"/>
        </w:rPr>
        <w:t xml:space="preserve"> assigns boundary series; </w:t>
      </w:r>
      <w:r>
        <w:rPr>
          <w:rFonts w:ascii="DejaVu Sans Mono" w:hAnsi="DejaVu Sans Mono"/>
          <w:b w:val="0"/>
          <w:i w:val="0"/>
          <w:sz w:val="17"/>
        </w:rPr>
        <w:t>known_​data_​objects_​v1.json</w:t>
      </w:r>
      <w:r>
        <w:rPr>
          <w:b w:val="0"/>
          <w:i w:val="0"/>
        </w:rPr>
        <w:t xml:space="preserve"> associates recognised input files with their declarations and row transformations. </w:t>
      </w:r>
      <w:r>
        <w:rPr>
          <w:rFonts w:ascii="DejaVu Sans Mono" w:hAnsi="DejaVu Sans Mono"/>
          <w:b w:val="0"/>
          <w:i w:val="0"/>
          <w:sz w:val="17"/>
        </w:rPr>
        <w:t>data_validation_layers</w:t>
      </w:r>
      <w:r>
        <w:rPr>
          <w:b w:val="0"/>
          <w:i w:val="0"/>
        </w:rPr>
        <w:t xml:space="preserve"> evaluates package eligibility, </w:t>
      </w:r>
      <w:r>
        <w:rPr>
          <w:rFonts w:ascii="DejaVu Sans Mono" w:hAnsi="DejaVu Sans Mono"/>
          <w:b w:val="0"/>
          <w:i w:val="0"/>
          <w:sz w:val="17"/>
        </w:rPr>
        <w:t>model_clock</w:t>
      </w:r>
      <w:r>
        <w:rPr>
          <w:b w:val="0"/>
          <w:i w:val="0"/>
        </w:rPr>
        <w:t xml:space="preserve"> defines UTC periods, and </w:t>
      </w:r>
      <w:r>
        <w:rPr>
          <w:rFonts w:ascii="DejaVu Sans Mono" w:hAnsi="DejaVu Sans Mono"/>
          <w:b w:val="0"/>
          <w:i w:val="0"/>
          <w:sz w:val="17"/>
        </w:rPr>
        <w:t>zonal_demand_alignment</w:t>
      </w:r>
      <w:r>
        <w:rPr>
          <w:b w:val="0"/>
          <w:i w:val="0"/>
        </w:rPr>
        <w:t xml:space="preserve"> distributes national demand among zones.</w:t>
      </w:r>
    </w:p>
    <w:p>
      <w:pPr>
        <w:pStyle w:val="Heading1"/>
      </w:pPr>
      <w:r>
        <w:rPr>
          <w:b w:val="0"/>
          <w:i w:val="0"/>
        </w:rPr>
        <w:t>3 Weather and available generation</w:t>
      </w:r>
    </w:p>
    <w:p>
      <w:pPr>
        <w:keepNext/>
      </w:pPr>
      <w:r>
        <w:rPr>
          <w:b w:val="0"/>
          <w:i w:val="0"/>
        </w:rPr>
        <w:t xml:space="preserve">VALUE calculates each asset's available wind and solar energy from its capacity and representative-point weather. The dispatch fields </w:t>
      </w:r>
      <w:r>
        <w:rPr>
          <w:rFonts w:ascii="DejaVu Sans Mono" w:hAnsi="DejaVu Sans Mono"/>
          <w:b w:val="0"/>
          <w:i w:val="0"/>
          <w:sz w:val="17"/>
        </w:rPr>
        <w:t>available_mw</w:t>
      </w:r>
      <w:r>
        <w:rPr>
          <w:b w:val="0"/>
          <w:i w:val="0"/>
        </w:rPr>
        <w:t xml:space="preserve"> and </w:t>
      </w:r>
      <w:r>
        <w:rPr>
          <w:rFonts w:ascii="DejaVu Sans Mono" w:hAnsi="DejaVu Sans Mono"/>
          <w:b w:val="0"/>
          <w:i w:val="0"/>
          <w:sz w:val="17"/>
        </w:rPr>
        <w:t>available_mwh</w:t>
      </w:r>
      <w:r>
        <w:rPr>
          <w:b w:val="0"/>
          <w:i w:val="0"/>
        </w:rPr>
        <w:t xml:space="preserve"> denote available power in MW and period energy in MWh; </w:t>
      </w:r>
      <w:r>
        <w:rPr>
          <w:rFonts w:ascii="DejaVu Sans Mono" w:hAnsi="DejaVu Sans Mono"/>
          <w:b w:val="0"/>
          <w:i w:val="0"/>
          <w:sz w:val="17"/>
        </w:rPr>
        <w:t>capacity_mw</w:t>
      </w:r>
      <w:r>
        <w:rPr>
          <w:b w:val="0"/>
          <w:i w:val="0"/>
        </w:rPr>
        <w:t xml:space="preserve"> is installed power, </w:t>
      </w:r>
      <w:r>
        <w:rPr>
          <w:rFonts w:ascii="DejaVu Sans Mono" w:hAnsi="DejaVu Sans Mono"/>
          <w:b w:val="0"/>
          <w:i w:val="0"/>
          <w:sz w:val="17"/>
        </w:rPr>
        <w:t>availability</w:t>
      </w:r>
      <w:r>
        <w:rPr>
          <w:b w:val="0"/>
          <w:i w:val="0"/>
        </w:rPr>
        <w:t xml:space="preserve"> is the weather-derived dimensionless output coefficient, and </w:t>
      </w:r>
      <w:r>
        <w:rPr>
          <w:rFonts w:ascii="DejaVu Sans Mono" w:hAnsi="DejaVu Sans Mono"/>
          <w:b w:val="0"/>
          <w:i w:val="0"/>
          <w:sz w:val="17"/>
        </w:rPr>
        <w:t>period_hours</w:t>
      </w:r>
      <w:r>
        <w:rPr>
          <w:b w:val="0"/>
          <w:i w:val="0"/>
        </w:rPr>
        <w:t xml:space="preserve"> is the period duration. For each asset and period,</w:t>
      </w:r>
    </w:p>
    <w:p>
      <w:pPr>
        <w:spacing w:after="160"/>
        <w:jc w:val="center"/>
      </w:pPr>
      <w:r>
        <w:drawing>
          <wp:inline xmlns:a="http://schemas.openxmlformats.org/drawingml/2006/main" xmlns:pic="http://schemas.openxmlformats.org/drawingml/2006/picture">
            <wp:extent cx="3837431" cy="621668"/>
            <wp:docPr id="11" name="Picture 11"/>
            <wp:cNvGraphicFramePr>
              <a:graphicFrameLocks noChangeAspect="1"/>
            </wp:cNvGraphicFramePr>
            <a:graphic>
              <a:graphicData uri="http://schemas.openxmlformats.org/drawingml/2006/picture">
                <pic:pic>
                  <pic:nvPicPr>
                    <pic:cNvPr id="0" name="eq-011.png"/>
                    <pic:cNvPicPr/>
                  </pic:nvPicPr>
                  <pic:blipFill>
                    <a:blip r:embed="rId21"/>
                    <a:stretch>
                      <a:fillRect/>
                    </a:stretch>
                  </pic:blipFill>
                  <pic:spPr>
                    <a:xfrm>
                      <a:off x="0" y="0"/>
                      <a:ext cx="3837431" cy="621668"/>
                    </a:xfrm>
                    <a:prstGeom prst="rect"/>
                  </pic:spPr>
                </pic:pic>
              </a:graphicData>
            </a:graphic>
          </wp:inline>
        </w:drawing>
      </w:r>
    </w:p>
    <w:p>
      <w:r>
        <w:rPr>
          <w:b w:val="0"/>
          <w:i w:val="0"/>
        </w:rPr>
        <w:t>Market clearing accepts generation up to this available-energy limit. Annual expansion uses the technology-average investment profiles or the experimental physical-availability rule specified below.</w:t>
      </w:r>
    </w:p>
    <w:p>
      <w:pPr>
        <w:pStyle w:val="Heading2"/>
      </w:pPr>
      <w:r>
        <w:rPr>
          <w:b w:val="0"/>
          <w:i w:val="0"/>
        </w:rPr>
        <w:t>Weather sequences and representative-point sampling</w:t>
      </w:r>
    </w:p>
    <w:p>
      <w:r>
        <w:rPr>
          <w:b w:val="0"/>
          <w:i w:val="0"/>
        </w:rPr>
        <w:t>R029 averages the 2020–2024 ERA5 hourly observations by calendar month, day and hour and reuses the resulting 365-day climatology in each model year. The original sequence contains 43,848 hours. Removing 48 hours on 29 February leaves five observations for every retained calendar hour; their arithmetic mean gives 8,760 hours.</w:t>
      </w:r>
    </w:p>
    <w:p>
      <w:r>
        <w:rPr>
          <w:b w:val="0"/>
          <w:i w:val="0"/>
        </w:rPr>
        <w:t xml:space="preserve">Wind speed is calculated from the 100 m wind-vector magnitude at each original hour before calendar averaging: </w:t>
      </w:r>
      <w:r>
        <w:rPr>
          <w:rFonts w:ascii="DejaVu Sans Mono" w:hAnsi="DejaVu Sans Mono"/>
          <w:b w:val="0"/>
          <w:i w:val="0"/>
          <w:sz w:val="17"/>
        </w:rPr>
        <w:t>wind_speed</w:t>
      </w:r>
      <w:r>
        <w:rPr>
          <w:b w:val="0"/>
          <w:i w:val="0"/>
        </w:rPr>
        <w:t xml:space="preserve"> is the square root of </w:t>
      </w:r>
      <w:r>
        <w:rPr>
          <w:rFonts w:ascii="DejaVu Sans Mono" w:hAnsi="DejaVu Sans Mono"/>
          <w:b w:val="0"/>
          <w:i w:val="0"/>
          <w:sz w:val="17"/>
        </w:rPr>
        <w:t>u100</w:t>
      </w:r>
      <w:r>
        <w:rPr>
          <w:b w:val="0"/>
          <w:i w:val="0"/>
        </w:rPr>
        <w:t xml:space="preserve"> squared plus </w:t>
      </w:r>
      <w:r>
        <w:rPr>
          <w:rFonts w:ascii="DejaVu Sans Mono" w:hAnsi="DejaVu Sans Mono"/>
          <w:b w:val="0"/>
          <w:i w:val="0"/>
          <w:sz w:val="17"/>
        </w:rPr>
        <w:t>v100</w:t>
      </w:r>
      <w:r>
        <w:rPr>
          <w:b w:val="0"/>
          <w:i w:val="0"/>
        </w:rPr>
        <w:t xml:space="preserve"> squared. The files retain all three fields. </w:t>
      </w:r>
      <w:r>
        <w:rPr>
          <w:rFonts w:ascii="DejaVu Sans Mono" w:hAnsi="DejaVu Sans Mono"/>
          <w:b w:val="0"/>
          <w:i w:val="0"/>
          <w:sz w:val="17"/>
        </w:rPr>
        <w:t>hourly_unit_cf</w:t>
      </w:r>
      <w:r>
        <w:rPr>
          <w:b w:val="0"/>
          <w:i w:val="0"/>
        </w:rPr>
        <w:t xml:space="preserve"> preferentially reads </w:t>
      </w:r>
      <w:r>
        <w:rPr>
          <w:rFonts w:ascii="DejaVu Sans Mono" w:hAnsi="DejaVu Sans Mono"/>
          <w:b w:val="0"/>
          <w:i w:val="0"/>
          <w:sz w:val="17"/>
        </w:rPr>
        <w:t>wind_speed</w:t>
      </w:r>
      <w:r>
        <w:rPr>
          <w:b w:val="0"/>
          <w:i w:val="0"/>
        </w:rPr>
        <w:t xml:space="preserve">; for a file containing only </w:t>
      </w:r>
      <w:r>
        <w:rPr>
          <w:rFonts w:ascii="DejaVu Sans Mono" w:hAnsi="DejaVu Sans Mono"/>
          <w:b w:val="0"/>
          <w:i w:val="0"/>
          <w:sz w:val="17"/>
        </w:rPr>
        <w:t>u100</w:t>
      </w:r>
      <w:r>
        <w:rPr>
          <w:b w:val="0"/>
          <w:i w:val="0"/>
        </w:rPr>
        <w:t xml:space="preserve"> and </w:t>
      </w:r>
      <w:r>
        <w:rPr>
          <w:rFonts w:ascii="DejaVu Sans Mono" w:hAnsi="DejaVu Sans Mono"/>
          <w:b w:val="0"/>
          <w:i w:val="0"/>
          <w:sz w:val="17"/>
        </w:rPr>
        <w:t>v100</w:t>
      </w:r>
      <w:r>
        <w:rPr>
          <w:b w:val="0"/>
          <w:i w:val="0"/>
        </w:rPr>
        <w:t>, it calculates the vector magnitude at the input time.</w:t>
      </w:r>
    </w:p>
    <w:p>
      <w:r>
        <w:rPr>
          <w:b w:val="0"/>
          <w:i w:val="0"/>
        </w:rPr>
        <w:t xml:space="preserve">The climatology retains a 0.25° grid over Great Britain and nearby seas. The solar file represents downward solar radiation as </w:t>
      </w:r>
      <w:r>
        <w:rPr>
          <w:rFonts w:ascii="DejaVu Sans Mono" w:hAnsi="DejaVu Sans Mono"/>
          <w:b w:val="0"/>
          <w:i w:val="0"/>
          <w:sz w:val="17"/>
        </w:rPr>
        <w:t>ssrd</w:t>
      </w:r>
      <w:r>
        <w:rPr>
          <w:b w:val="0"/>
          <w:i w:val="0"/>
        </w:rPr>
        <w:t>, while the wind file provides 100 m wind information. Spatial and temporal array dimensions are given below.</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19"/>
        <w:gridCol w:w="2157"/>
        <w:gridCol w:w="2219"/>
        <w:gridCol w:w="3196"/>
      </w:tblGrid>
      <w:tr>
        <w:trPr>
          <w:cantSplit/>
          <w:tblHeader w:val="true"/>
        </w:trPr>
        <w:tc>
          <w:tcPr>
            <w:tcW w:type="dxa" w:w="2219"/>
            <w:vAlign w:val="center"/>
            <w:tcMar>
              <w:top w:w="90" w:type="dxa"/>
              <w:left w:w="90" w:type="dxa"/>
              <w:bottom w:w="90" w:type="dxa"/>
              <w:right w:w="90" w:type="dxa"/>
            </w:tcMar>
            <w:shd w:fill="EEEEEE"/>
          </w:tcPr>
          <w:p>
            <w:pPr>
              <w:spacing w:after="40" w:line="276" w:lineRule="auto"/>
            </w:pPr>
            <w:r>
              <w:rPr>
                <w:b/>
                <w:i w:val="0"/>
                <w:sz w:val="18"/>
              </w:rPr>
              <w:t>Input</w:t>
            </w:r>
          </w:p>
        </w:tc>
        <w:tc>
          <w:tcPr>
            <w:tcW w:type="dxa" w:w="2157"/>
            <w:vAlign w:val="center"/>
            <w:tcMar>
              <w:top w:w="90" w:type="dxa"/>
              <w:left w:w="90" w:type="dxa"/>
              <w:bottom w:w="90" w:type="dxa"/>
              <w:right w:w="90" w:type="dxa"/>
            </w:tcMar>
            <w:shd w:fill="EEEEEE"/>
          </w:tcPr>
          <w:p>
            <w:pPr>
              <w:spacing w:after="40" w:line="276" w:lineRule="auto"/>
            </w:pPr>
            <w:r>
              <w:rPr>
                <w:b/>
                <w:i w:val="0"/>
                <w:sz w:val="18"/>
              </w:rPr>
              <w:t>Latitude range</w:t>
            </w:r>
          </w:p>
        </w:tc>
        <w:tc>
          <w:tcPr>
            <w:tcW w:type="dxa" w:w="2219"/>
            <w:vAlign w:val="center"/>
            <w:tcMar>
              <w:top w:w="90" w:type="dxa"/>
              <w:left w:w="90" w:type="dxa"/>
              <w:bottom w:w="90" w:type="dxa"/>
              <w:right w:w="90" w:type="dxa"/>
            </w:tcMar>
            <w:shd w:fill="EEEEEE"/>
          </w:tcPr>
          <w:p>
            <w:pPr>
              <w:spacing w:after="40" w:line="276" w:lineRule="auto"/>
            </w:pPr>
            <w:r>
              <w:rPr>
                <w:b/>
                <w:i w:val="0"/>
                <w:sz w:val="18"/>
              </w:rPr>
              <w:t>Longitude range</w:t>
            </w:r>
          </w:p>
        </w:tc>
        <w:tc>
          <w:tcPr>
            <w:tcW w:type="dxa" w:w="3196"/>
            <w:vAlign w:val="center"/>
            <w:tcMar>
              <w:top w:w="90" w:type="dxa"/>
              <w:left w:w="90" w:type="dxa"/>
              <w:bottom w:w="90" w:type="dxa"/>
              <w:right w:w="90" w:type="dxa"/>
            </w:tcMar>
            <w:shd w:fill="EEEEEE"/>
          </w:tcPr>
          <w:p>
            <w:pPr>
              <w:spacing w:after="40" w:line="276" w:lineRule="auto"/>
            </w:pPr>
            <w:r>
              <w:rPr>
                <w:b/>
                <w:i w:val="0"/>
                <w:sz w:val="18"/>
              </w:rPr>
              <w:t>Latitude × longitude × day × hour</w:t>
            </w:r>
          </w:p>
        </w:tc>
      </w:tr>
      <w:tr>
        <w:trPr>
          <w:cantSplit/>
        </w:trPr>
        <w:tc>
          <w:tcPr>
            <w:tcW w:type="dxa" w:w="2219"/>
            <w:vAlign w:val="center"/>
            <w:tcMar>
              <w:top w:w="90" w:type="dxa"/>
              <w:left w:w="90" w:type="dxa"/>
              <w:bottom w:w="90" w:type="dxa"/>
              <w:right w:w="90" w:type="dxa"/>
            </w:tcMar>
          </w:tcPr>
          <w:p>
            <w:pPr>
              <w:spacing w:after="40" w:line="276" w:lineRule="auto"/>
            </w:pPr>
            <w:r>
              <w:rPr>
                <w:b w:val="0"/>
                <w:i w:val="0"/>
                <w:sz w:val="18"/>
              </w:rPr>
              <w:t>Solar radiation</w:t>
            </w:r>
          </w:p>
        </w:tc>
        <w:tc>
          <w:tcPr>
            <w:tcW w:type="dxa" w:w="2157"/>
            <w:vAlign w:val="center"/>
            <w:tcMar>
              <w:top w:w="90" w:type="dxa"/>
              <w:left w:w="90" w:type="dxa"/>
              <w:bottom w:w="90" w:type="dxa"/>
              <w:right w:w="90" w:type="dxa"/>
            </w:tcMar>
          </w:tcPr>
          <w:p>
            <w:pPr>
              <w:spacing w:after="40" w:line="276" w:lineRule="auto"/>
            </w:pPr>
            <w:r>
              <w:rPr>
                <w:b w:val="0"/>
                <w:i w:val="0"/>
                <w:sz w:val="18"/>
              </w:rPr>
              <w:t>45°–65°N</w:t>
            </w:r>
          </w:p>
        </w:tc>
        <w:tc>
          <w:tcPr>
            <w:tcW w:type="dxa" w:w="2219"/>
            <w:vAlign w:val="center"/>
            <w:tcMar>
              <w:top w:w="90" w:type="dxa"/>
              <w:left w:w="90" w:type="dxa"/>
              <w:bottom w:w="90" w:type="dxa"/>
              <w:right w:w="90" w:type="dxa"/>
            </w:tcMar>
          </w:tcPr>
          <w:p>
            <w:pPr>
              <w:spacing w:after="40" w:line="276" w:lineRule="auto"/>
            </w:pPr>
            <w:r>
              <w:rPr>
                <w:b w:val="0"/>
                <w:i w:val="0"/>
                <w:sz w:val="18"/>
              </w:rPr>
              <w:t>14°W–4°E</w:t>
            </w:r>
          </w:p>
        </w:tc>
        <w:tc>
          <w:tcPr>
            <w:tcW w:type="dxa" w:w="3196"/>
            <w:vAlign w:val="center"/>
            <w:tcMar>
              <w:top w:w="90" w:type="dxa"/>
              <w:left w:w="90" w:type="dxa"/>
              <w:bottom w:w="90" w:type="dxa"/>
              <w:right w:w="90" w:type="dxa"/>
            </w:tcMar>
          </w:tcPr>
          <w:p>
            <w:pPr>
              <w:spacing w:after="40" w:line="276" w:lineRule="auto"/>
            </w:pPr>
            <w:r>
              <w:rPr>
                <w:b w:val="0"/>
                <w:i w:val="0"/>
                <w:sz w:val="18"/>
              </w:rPr>
              <w:t>81 × 73 × 365 × 24</w:t>
            </w:r>
          </w:p>
        </w:tc>
      </w:tr>
      <w:tr>
        <w:trPr>
          <w:cantSplit/>
        </w:trPr>
        <w:tc>
          <w:tcPr>
            <w:tcW w:type="dxa" w:w="2219"/>
            <w:vAlign w:val="center"/>
            <w:tcMar>
              <w:top w:w="90" w:type="dxa"/>
              <w:left w:w="90" w:type="dxa"/>
              <w:bottom w:w="90" w:type="dxa"/>
              <w:right w:w="90" w:type="dxa"/>
            </w:tcMar>
          </w:tcPr>
          <w:p>
            <w:pPr>
              <w:spacing w:after="40" w:line="276" w:lineRule="auto"/>
            </w:pPr>
            <w:r>
              <w:rPr>
                <w:b w:val="0"/>
                <w:i w:val="0"/>
                <w:sz w:val="18"/>
              </w:rPr>
              <w:t>100 m wind</w:t>
            </w:r>
          </w:p>
        </w:tc>
        <w:tc>
          <w:tcPr>
            <w:tcW w:type="dxa" w:w="2157"/>
            <w:vAlign w:val="center"/>
            <w:tcMar>
              <w:top w:w="90" w:type="dxa"/>
              <w:left w:w="90" w:type="dxa"/>
              <w:bottom w:w="90" w:type="dxa"/>
              <w:right w:w="90" w:type="dxa"/>
            </w:tcMar>
          </w:tcPr>
          <w:p>
            <w:pPr>
              <w:spacing w:after="40" w:line="276" w:lineRule="auto"/>
            </w:pPr>
            <w:r>
              <w:rPr>
                <w:b w:val="0"/>
                <w:i w:val="0"/>
                <w:sz w:val="18"/>
              </w:rPr>
              <w:t>46°–65°N</w:t>
            </w:r>
          </w:p>
        </w:tc>
        <w:tc>
          <w:tcPr>
            <w:tcW w:type="dxa" w:w="2219"/>
            <w:vAlign w:val="center"/>
            <w:tcMar>
              <w:top w:w="90" w:type="dxa"/>
              <w:left w:w="90" w:type="dxa"/>
              <w:bottom w:w="90" w:type="dxa"/>
              <w:right w:w="90" w:type="dxa"/>
            </w:tcMar>
          </w:tcPr>
          <w:p>
            <w:pPr>
              <w:spacing w:after="40" w:line="276" w:lineRule="auto"/>
            </w:pPr>
            <w:r>
              <w:rPr>
                <w:b w:val="0"/>
                <w:i w:val="0"/>
                <w:sz w:val="18"/>
              </w:rPr>
              <w:t>14°W–5°E</w:t>
            </w:r>
          </w:p>
        </w:tc>
        <w:tc>
          <w:tcPr>
            <w:tcW w:type="dxa" w:w="3196"/>
            <w:vAlign w:val="center"/>
            <w:tcMar>
              <w:top w:w="90" w:type="dxa"/>
              <w:left w:w="90" w:type="dxa"/>
              <w:bottom w:w="90" w:type="dxa"/>
              <w:right w:w="90" w:type="dxa"/>
            </w:tcMar>
          </w:tcPr>
          <w:p>
            <w:pPr>
              <w:spacing w:after="40" w:line="276" w:lineRule="auto"/>
            </w:pPr>
            <w:r>
              <w:rPr>
                <w:b w:val="0"/>
                <w:i w:val="0"/>
                <w:sz w:val="18"/>
              </w:rPr>
              <w:t>77 × 77 × 365 × 24</w:t>
            </w:r>
          </w:p>
        </w:tc>
      </w:tr>
    </w:tbl>
    <w:p>
      <w:pPr>
        <w:spacing w:after="20"/>
      </w:pPr>
    </w:p>
    <w:p>
      <w:pPr>
        <w:keepNext/>
      </w:pPr>
      <w:r>
        <w:rPr>
          <w:b w:val="0"/>
          <w:i w:val="0"/>
        </w:rPr>
        <w:t xml:space="preserve">Each representative point uses the nearest latitude and nearest longitude in the weather grid. </w:t>
      </w:r>
      <w:r>
        <w:rPr>
          <w:rFonts w:ascii="DejaVu Sans Mono" w:hAnsi="DejaVu Sans Mono"/>
          <w:b w:val="0"/>
          <w:i w:val="0"/>
          <w:sz w:val="17"/>
        </w:rPr>
        <w:t>point_series</w:t>
      </w:r>
      <w:r>
        <w:rPr>
          <w:b w:val="0"/>
          <w:i w:val="0"/>
        </w:rPr>
        <w:t xml:space="preserve"> selects </w:t>
      </w:r>
      <w:r>
        <w:rPr>
          <w:rFonts w:ascii="DejaVu Sans Mono" w:hAnsi="DejaVu Sans Mono"/>
          <w:b w:val="0"/>
          <w:i w:val="0"/>
          <w:sz w:val="17"/>
        </w:rPr>
        <w:t>lat_index</w:t>
      </w:r>
      <w:r>
        <w:rPr>
          <w:b w:val="0"/>
          <w:i w:val="0"/>
        </w:rPr>
        <w:t xml:space="preserve"> and </w:t>
      </w:r>
      <w:r>
        <w:rPr>
          <w:rFonts w:ascii="DejaVu Sans Mono" w:hAnsi="DejaVu Sans Mono"/>
          <w:b w:val="0"/>
          <w:i w:val="0"/>
          <w:sz w:val="17"/>
        </w:rPr>
        <w:t>lon_index</w:t>
      </w:r>
      <w:r>
        <w:rPr>
          <w:b w:val="0"/>
          <w:i w:val="0"/>
        </w:rPr>
        <w:t xml:space="preserve"> from the coordinate arrays </w:t>
      </w:r>
      <w:r>
        <w:rPr>
          <w:rFonts w:ascii="DejaVu Sans Mono" w:hAnsi="DejaVu Sans Mono"/>
          <w:b w:val="0"/>
          <w:i w:val="0"/>
          <w:sz w:val="17"/>
        </w:rPr>
        <w:t>lats</w:t>
      </w:r>
      <w:r>
        <w:rPr>
          <w:b w:val="0"/>
          <w:i w:val="0"/>
        </w:rPr>
        <w:t xml:space="preserve"> and </w:t>
      </w:r>
      <w:r>
        <w:rPr>
          <w:rFonts w:ascii="DejaVu Sans Mono" w:hAnsi="DejaVu Sans Mono"/>
          <w:b w:val="0"/>
          <w:i w:val="0"/>
          <w:sz w:val="17"/>
        </w:rPr>
        <w:t>lons</w:t>
      </w:r>
      <w:r>
        <w:rPr>
          <w:b w:val="0"/>
          <w:i w:val="0"/>
        </w:rPr>
        <w:t xml:space="preserve">, with site coordinates </w:t>
      </w:r>
      <w:r>
        <w:rPr>
          <w:rFonts w:ascii="DejaVu Sans Mono" w:hAnsi="DejaVu Sans Mono"/>
          <w:b w:val="0"/>
          <w:i w:val="0"/>
          <w:sz w:val="17"/>
        </w:rPr>
        <w:t>latitude</w:t>
      </w:r>
      <w:r>
        <w:rPr>
          <w:b w:val="0"/>
          <w:i w:val="0"/>
        </w:rPr>
        <w:t xml:space="preserve"> and </w:t>
      </w:r>
      <w:r>
        <w:rPr>
          <w:rFonts w:ascii="DejaVu Sans Mono" w:hAnsi="DejaVu Sans Mono"/>
          <w:b w:val="0"/>
          <w:i w:val="0"/>
          <w:sz w:val="17"/>
        </w:rPr>
        <w:t>longitude</w:t>
      </w:r>
      <w:r>
        <w:rPr>
          <w:b w:val="0"/>
          <w:i w:val="0"/>
        </w:rPr>
        <w:t xml:space="preserve"> in degrees:</w:t>
      </w:r>
    </w:p>
    <w:p>
      <w:pPr>
        <w:spacing w:after="160"/>
        <w:jc w:val="center"/>
      </w:pPr>
      <w:r>
        <w:drawing>
          <wp:inline xmlns:a="http://schemas.openxmlformats.org/drawingml/2006/main" xmlns:pic="http://schemas.openxmlformats.org/drawingml/2006/picture">
            <wp:extent cx="3346170" cy="665120"/>
            <wp:docPr id="12" name="Picture 12"/>
            <wp:cNvGraphicFramePr>
              <a:graphicFrameLocks noChangeAspect="1"/>
            </wp:cNvGraphicFramePr>
            <a:graphic>
              <a:graphicData uri="http://schemas.openxmlformats.org/drawingml/2006/picture">
                <pic:pic>
                  <pic:nvPicPr>
                    <pic:cNvPr id="0" name="eq-012.png"/>
                    <pic:cNvPicPr/>
                  </pic:nvPicPr>
                  <pic:blipFill>
                    <a:blip r:embed="rId22"/>
                    <a:stretch>
                      <a:fillRect/>
                    </a:stretch>
                  </pic:blipFill>
                  <pic:spPr>
                    <a:xfrm>
                      <a:off x="0" y="0"/>
                      <a:ext cx="3346170" cy="665120"/>
                    </a:xfrm>
                    <a:prstGeom prst="rect"/>
                  </pic:spPr>
                </pic:pic>
              </a:graphicData>
            </a:graphic>
          </wp:inline>
        </w:drawing>
      </w:r>
    </w:p>
    <w:p>
      <w:pPr>
        <w:keepNext/>
      </w:pPr>
      <w:r>
        <w:rPr>
          <w:rFonts w:ascii="DejaVu Sans Mono" w:hAnsi="DejaVu Sans Mono"/>
          <w:b w:val="0"/>
          <w:i w:val="0"/>
          <w:sz w:val="17"/>
        </w:rPr>
        <w:t>point_series</w:t>
      </w:r>
      <w:r>
        <w:rPr>
          <w:b w:val="0"/>
          <w:i w:val="0"/>
        </w:rPr>
        <w:t xml:space="preserve"> accepts latitude–longitude–day–hour and time–latitude–longitude arrays and flattens the selected point into an hourly sequence. The corrected profile reads </w:t>
      </w:r>
      <w:r>
        <w:rPr>
          <w:rFonts w:ascii="DejaVu Sans Mono" w:hAnsi="DejaVu Sans Mono"/>
          <w:b w:val="0"/>
          <w:i w:val="0"/>
          <w:sz w:val="17"/>
        </w:rPr>
        <w:t>time_convention</w:t>
      </w:r>
      <w:r>
        <w:rPr>
          <w:b w:val="0"/>
          <w:i w:val="0"/>
        </w:rPr>
        <w:t xml:space="preserve">; a field labelled </w:t>
      </w:r>
      <w:r>
        <w:rPr>
          <w:rFonts w:ascii="DejaVu Sans Mono" w:hAnsi="DejaVu Sans Mono"/>
          <w:b w:val="0"/>
          <w:i w:val="0"/>
          <w:sz w:val="17"/>
        </w:rPr>
        <w:t>GRIB_stepType=accum</w:t>
      </w:r>
      <w:r>
        <w:rPr>
          <w:b w:val="0"/>
          <w:i w:val="0"/>
        </w:rPr>
        <w:t xml:space="preserve"> uses hourly interval-end accumulation, while a field lacking both declarations uses the instantaneous convention. </w:t>
      </w:r>
      <w:r>
        <w:rPr>
          <w:rFonts w:ascii="DejaVu Sans Mono" w:hAnsi="DejaVu Sans Mono"/>
          <w:b w:val="0"/>
          <w:i w:val="0"/>
          <w:sz w:val="17"/>
        </w:rPr>
        <w:t>hour_index</w:t>
      </w:r>
      <w:r>
        <w:rPr>
          <w:b w:val="0"/>
          <w:i w:val="0"/>
        </w:rPr>
        <w:t xml:space="preserve"> produces </w:t>
      </w:r>
      <w:r>
        <w:rPr>
          <w:rFonts w:ascii="DejaVu Sans Mono" w:hAnsi="DejaVu Sans Mono"/>
          <w:b w:val="0"/>
          <w:i w:val="0"/>
          <w:sz w:val="17"/>
        </w:rPr>
        <w:t>index</w:t>
      </w:r>
      <w:r>
        <w:rPr>
          <w:b w:val="0"/>
          <w:i w:val="0"/>
        </w:rPr>
        <w:t xml:space="preserve"> for zero-based half-hour index </w:t>
      </w:r>
      <w:r>
        <w:rPr>
          <w:rFonts w:ascii="DejaVu Sans Mono" w:hAnsi="DejaVu Sans Mono"/>
          <w:b w:val="0"/>
          <w:i w:val="0"/>
          <w:sz w:val="17"/>
        </w:rPr>
        <w:t>t</w:t>
      </w:r>
      <w:r>
        <w:rPr>
          <w:b w:val="0"/>
          <w:i w:val="0"/>
        </w:rPr>
        <w:t xml:space="preserve"> and source length </w:t>
      </w:r>
      <w:r>
        <w:rPr>
          <w:rFonts w:ascii="DejaVu Sans Mono" w:hAnsi="DejaVu Sans Mono"/>
          <w:b w:val="0"/>
          <w:i w:val="0"/>
          <w:sz w:val="17"/>
        </w:rPr>
        <w:t>hours</w:t>
      </w:r>
      <w:r>
        <w:rPr>
          <w:b w:val="0"/>
          <w:i w:val="0"/>
        </w:rPr>
        <w:t>:</w:t>
      </w:r>
    </w:p>
    <w:p>
      <w:pPr>
        <w:spacing w:after="160"/>
        <w:jc w:val="center"/>
      </w:pPr>
      <w:r>
        <w:drawing>
          <wp:inline xmlns:a="http://schemas.openxmlformats.org/drawingml/2006/main" xmlns:pic="http://schemas.openxmlformats.org/drawingml/2006/picture">
            <wp:extent cx="4947894" cy="413849"/>
            <wp:docPr id="13" name="Picture 13"/>
            <wp:cNvGraphicFramePr>
              <a:graphicFrameLocks noChangeAspect="1"/>
            </wp:cNvGraphicFramePr>
            <a:graphic>
              <a:graphicData uri="http://schemas.openxmlformats.org/drawingml/2006/picture">
                <pic:pic>
                  <pic:nvPicPr>
                    <pic:cNvPr id="0" name="eq-013.png"/>
                    <pic:cNvPicPr/>
                  </pic:nvPicPr>
                  <pic:blipFill>
                    <a:blip r:embed="rId23"/>
                    <a:stretch>
                      <a:fillRect/>
                    </a:stretch>
                  </pic:blipFill>
                  <pic:spPr>
                    <a:xfrm>
                      <a:off x="0" y="0"/>
                      <a:ext cx="4947894" cy="413849"/>
                    </a:xfrm>
                    <a:prstGeom prst="rect"/>
                  </pic:spPr>
                </pic:pic>
              </a:graphicData>
            </a:graphic>
          </wp:inline>
        </w:drawing>
      </w:r>
    </w:p>
    <w:p>
      <w:r>
        <w:rPr>
          <w:b w:val="0"/>
          <w:i w:val="0"/>
        </w:rPr>
        <w:t>The accumulated convention assigns the radiation for the hour ending at 01:00 to periods beginning at 00:00 and 00:30. Solar geometry uses the midpoint of each receiving period. The instantaneous convention assigns the 00:00 sample to period 00:00 and the 01:00 sample to periods 00:30 and 01:00.</w:t>
      </w:r>
    </w:p>
    <w:p>
      <w:r>
        <w:rPr>
          <w:b w:val="0"/>
          <w:i w:val="0"/>
        </w:rPr>
        <w:t xml:space="preserve">The doctoral reproduction profile uses </w:t>
      </w:r>
      <w:r>
        <w:rPr>
          <w:rFonts w:ascii="DejaVu Sans Mono" w:hAnsi="DejaVu Sans Mono"/>
          <w:b w:val="0"/>
          <w:i w:val="0"/>
          <w:sz w:val="17"/>
        </w:rPr>
        <w:t>index = (t // 2) % hours</w:t>
      </w:r>
      <w:r>
        <w:rPr>
          <w:b w:val="0"/>
          <w:i w:val="0"/>
        </w:rPr>
        <w:t>, repeating each source value for two half-hours. Original GBP1 weather groups by day of year into 366 days, or 8,784 hours, and uses the first 8,760 hours. R029's 8,760-hour calendar climatology carries the instantaneous convention in its current metadata. The experimental R029 dispatch pathway retains the hourly-repeat clock and raw generation curves.</w:t>
      </w:r>
    </w:p>
    <w:p>
      <w:pPr>
        <w:pStyle w:val="Heading2"/>
      </w:pPr>
      <w:r>
        <w:rPr>
          <w:b w:val="0"/>
          <w:i w:val="0"/>
        </w:rPr>
        <w:t>Wind conversion and losses</w:t>
      </w:r>
    </w:p>
    <w:p>
      <w:pPr>
        <w:keepNext/>
      </w:pPr>
      <w:r>
        <w:rPr>
          <w:b w:val="0"/>
          <w:i w:val="0"/>
        </w:rPr>
        <w:t xml:space="preserve">Wind availability follows cut-in, cubic growth, rated output and cut-out segments. </w:t>
      </w:r>
      <w:r>
        <w:rPr>
          <w:rFonts w:ascii="DejaVu Sans Mono" w:hAnsi="DejaVu Sans Mono"/>
          <w:b w:val="0"/>
          <w:i w:val="0"/>
          <w:sz w:val="17"/>
        </w:rPr>
        <w:t>wind_unit_output</w:t>
      </w:r>
      <w:r>
        <w:rPr>
          <w:b w:val="0"/>
          <w:i w:val="0"/>
        </w:rPr>
        <w:t xml:space="preserve"> expresses the power curve on a 20-unit scale; </w:t>
      </w:r>
      <w:r>
        <w:rPr>
          <w:rFonts w:ascii="DejaVu Sans Mono" w:hAnsi="DejaVu Sans Mono"/>
          <w:b w:val="0"/>
          <w:i w:val="0"/>
          <w:sz w:val="17"/>
        </w:rPr>
        <w:t>hourly_unit_cf</w:t>
      </w:r>
      <w:r>
        <w:rPr>
          <w:b w:val="0"/>
          <w:i w:val="0"/>
        </w:rPr>
        <w:t xml:space="preserve"> divides its result by 20 to obtain the dimensionless hourly coefficient </w:t>
      </w:r>
      <w:r>
        <w:rPr>
          <w:rFonts w:ascii="DejaVu Sans Mono" w:hAnsi="DejaVu Sans Mono"/>
          <w:b w:val="0"/>
          <w:i w:val="0"/>
          <w:sz w:val="17"/>
        </w:rPr>
        <w:t>hourly</w:t>
      </w:r>
      <w:r>
        <w:rPr>
          <w:b w:val="0"/>
          <w:i w:val="0"/>
        </w:rPr>
        <w:t xml:space="preserve">. Wind speed </w:t>
      </w:r>
      <w:r>
        <w:rPr>
          <w:rFonts w:ascii="DejaVu Sans Mono" w:hAnsi="DejaVu Sans Mono"/>
          <w:b w:val="0"/>
          <w:i w:val="0"/>
          <w:sz w:val="17"/>
        </w:rPr>
        <w:t>speed</w:t>
      </w:r>
      <w:r>
        <w:rPr>
          <w:b w:val="0"/>
          <w:i w:val="0"/>
        </w:rPr>
        <w:t xml:space="preserve">, rated speed </w:t>
      </w:r>
      <w:r>
        <w:rPr>
          <w:rFonts w:ascii="DejaVu Sans Mono" w:hAnsi="DejaVu Sans Mono"/>
          <w:b w:val="0"/>
          <w:i w:val="0"/>
          <w:sz w:val="17"/>
        </w:rPr>
        <w:t>rated</w:t>
      </w:r>
      <w:r>
        <w:rPr>
          <w:b w:val="0"/>
          <w:i w:val="0"/>
        </w:rPr>
        <w:t xml:space="preserve"> and cut-out speed </w:t>
      </w:r>
      <w:r>
        <w:rPr>
          <w:rFonts w:ascii="DejaVu Sans Mono" w:hAnsi="DejaVu Sans Mono"/>
          <w:b w:val="0"/>
          <w:i w:val="0"/>
          <w:sz w:val="17"/>
        </w:rPr>
        <w:t>cut_out</w:t>
      </w:r>
      <w:r>
        <w:rPr>
          <w:b w:val="0"/>
          <w:i w:val="0"/>
        </w:rPr>
        <w:t xml:space="preserve"> are in m/s:</w:t>
      </w:r>
    </w:p>
    <w:p>
      <w:pPr>
        <w:spacing w:after="160"/>
        <w:jc w:val="center"/>
      </w:pPr>
      <w:r>
        <w:drawing>
          <wp:inline xmlns:a="http://schemas.openxmlformats.org/drawingml/2006/main" xmlns:pic="http://schemas.openxmlformats.org/drawingml/2006/picture">
            <wp:extent cx="6170066" cy="820694"/>
            <wp:docPr id="14" name="Picture 14"/>
            <wp:cNvGraphicFramePr>
              <a:graphicFrameLocks noChangeAspect="1"/>
            </wp:cNvGraphicFramePr>
            <a:graphic>
              <a:graphicData uri="http://schemas.openxmlformats.org/drawingml/2006/picture">
                <pic:pic>
                  <pic:nvPicPr>
                    <pic:cNvPr id="0" name="eq-014.png"/>
                    <pic:cNvPicPr/>
                  </pic:nvPicPr>
                  <pic:blipFill>
                    <a:blip r:embed="rId24"/>
                    <a:stretch>
                      <a:fillRect/>
                    </a:stretch>
                  </pic:blipFill>
                  <pic:spPr>
                    <a:xfrm>
                      <a:off x="0" y="0"/>
                      <a:ext cx="6170066" cy="820694"/>
                    </a:xfrm>
                    <a:prstGeom prst="rect"/>
                  </pic:spPr>
                </pic:pic>
              </a:graphicData>
            </a:graphic>
          </wp:inline>
        </w:drawing>
      </w:r>
    </w:p>
    <w:p>
      <w:r>
        <w:rPr>
          <w:b w:val="0"/>
          <w:i w:val="0"/>
        </w:rPr>
        <w:t xml:space="preserve">Onshore wind uses </w:t>
      </w:r>
      <w:r>
        <w:rPr>
          <w:rFonts w:ascii="DejaVu Sans Mono" w:hAnsi="DejaVu Sans Mono"/>
          <w:b w:val="0"/>
          <w:i w:val="0"/>
          <w:sz w:val="17"/>
        </w:rPr>
        <w:t>rated = 9.7</w:t>
      </w:r>
      <w:r>
        <w:rPr>
          <w:b w:val="0"/>
          <w:i w:val="0"/>
        </w:rPr>
        <w:t xml:space="preserve"> and </w:t>
      </w:r>
      <w:r>
        <w:rPr>
          <w:rFonts w:ascii="DejaVu Sans Mono" w:hAnsi="DejaVu Sans Mono"/>
          <w:b w:val="0"/>
          <w:i w:val="0"/>
          <w:sz w:val="17"/>
        </w:rPr>
        <w:t>cut_out = 25</w:t>
      </w:r>
      <w:r>
        <w:rPr>
          <w:b w:val="0"/>
          <w:i w:val="0"/>
        </w:rPr>
        <w:t xml:space="preserve">; offshore wind uses </w:t>
      </w:r>
      <w:r>
        <w:rPr>
          <w:rFonts w:ascii="DejaVu Sans Mono" w:hAnsi="DejaVu Sans Mono"/>
          <w:b w:val="0"/>
          <w:i w:val="0"/>
          <w:sz w:val="17"/>
        </w:rPr>
        <w:t>rated = 10.5</w:t>
      </w:r>
      <w:r>
        <w:rPr>
          <w:b w:val="0"/>
          <w:i w:val="0"/>
        </w:rPr>
        <w:t xml:space="preserve"> and </w:t>
      </w:r>
      <w:r>
        <w:rPr>
          <w:rFonts w:ascii="DejaVu Sans Mono" w:hAnsi="DejaVu Sans Mono"/>
          <w:b w:val="0"/>
          <w:i w:val="0"/>
          <w:sz w:val="17"/>
        </w:rPr>
        <w:t>cut_out = 30</w:t>
      </w:r>
      <w:r>
        <w:rPr>
          <w:b w:val="0"/>
          <w:i w:val="0"/>
        </w:rPr>
        <w:t xml:space="preserve">. The corrected profile multiplies </w:t>
      </w:r>
      <w:r>
        <w:rPr>
          <w:rFonts w:ascii="DejaVu Sans Mono" w:hAnsi="DejaVu Sans Mono"/>
          <w:b w:val="0"/>
          <w:i w:val="0"/>
          <w:sz w:val="17"/>
        </w:rPr>
        <w:t>hourly[index]</w:t>
      </w:r>
      <w:r>
        <w:rPr>
          <w:b w:val="0"/>
          <w:i w:val="0"/>
        </w:rPr>
        <w:t xml:space="preserve"> by </w:t>
      </w:r>
      <w:r>
        <w:rPr>
          <w:rFonts w:ascii="DejaVu Sans Mono" w:hAnsi="DejaVu Sans Mono"/>
          <w:b w:val="0"/>
          <w:i w:val="0"/>
          <w:sz w:val="17"/>
        </w:rPr>
        <w:t>multiplier</w:t>
      </w:r>
      <w:r>
        <w:rPr>
          <w:b w:val="0"/>
          <w:i w:val="0"/>
        </w:rPr>
        <w:t xml:space="preserve">, the product of the wake, energy-availability and electrical factors in </w:t>
      </w:r>
      <w:r>
        <w:rPr>
          <w:rFonts w:ascii="DejaVu Sans Mono" w:hAnsi="DejaVu Sans Mono"/>
          <w:b w:val="0"/>
          <w:i w:val="0"/>
          <w:sz w:val="17"/>
        </w:rPr>
        <w:t>value_​uk_​vre_​loss_​factors_​v1.json</w:t>
      </w:r>
      <w:r>
        <w:rPr>
          <w:b w:val="0"/>
          <w:i w:val="0"/>
        </w:rPr>
        <w: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52"/>
        <w:gridCol w:w="1746"/>
        <w:gridCol w:w="2451"/>
        <w:gridCol w:w="2050"/>
        <w:gridCol w:w="1691"/>
      </w:tblGrid>
      <w:tr>
        <w:trPr>
          <w:cantSplit/>
          <w:tblHeader w:val="true"/>
        </w:trPr>
        <w:tc>
          <w:tcPr>
            <w:tcW w:type="dxa" w:w="1852"/>
            <w:vAlign w:val="center"/>
            <w:tcMar>
              <w:top w:w="90" w:type="dxa"/>
              <w:left w:w="90" w:type="dxa"/>
              <w:bottom w:w="90" w:type="dxa"/>
              <w:right w:w="90" w:type="dxa"/>
            </w:tcMar>
            <w:shd w:fill="EEEEEE"/>
          </w:tcPr>
          <w:p>
            <w:pPr>
              <w:spacing w:after="40" w:line="276" w:lineRule="auto"/>
            </w:pPr>
            <w:r>
              <w:rPr>
                <w:b/>
                <w:i w:val="0"/>
                <w:sz w:val="18"/>
              </w:rPr>
              <w:t>Technology</w:t>
            </w:r>
          </w:p>
        </w:tc>
        <w:tc>
          <w:tcPr>
            <w:tcW w:type="dxa" w:w="1746"/>
            <w:vAlign w:val="center"/>
            <w:tcMar>
              <w:top w:w="90" w:type="dxa"/>
              <w:left w:w="90" w:type="dxa"/>
              <w:bottom w:w="90" w:type="dxa"/>
              <w:right w:w="90" w:type="dxa"/>
            </w:tcMar>
            <w:shd w:fill="EEEEEE"/>
          </w:tcPr>
          <w:p>
            <w:pPr>
              <w:spacing w:after="40" w:line="276" w:lineRule="auto"/>
            </w:pPr>
            <w:r>
              <w:rPr>
                <w:b/>
                <w:i w:val="0"/>
                <w:sz w:val="18"/>
              </w:rPr>
              <w:t>Wake factor</w:t>
            </w:r>
          </w:p>
        </w:tc>
        <w:tc>
          <w:tcPr>
            <w:tcW w:type="dxa" w:w="2451"/>
            <w:vAlign w:val="center"/>
            <w:tcMar>
              <w:top w:w="90" w:type="dxa"/>
              <w:left w:w="90" w:type="dxa"/>
              <w:bottom w:w="90" w:type="dxa"/>
              <w:right w:w="90" w:type="dxa"/>
            </w:tcMar>
            <w:shd w:fill="EEEEEE"/>
          </w:tcPr>
          <w:p>
            <w:pPr>
              <w:spacing w:after="40" w:line="276" w:lineRule="auto"/>
            </w:pPr>
            <w:r>
              <w:rPr>
                <w:b/>
                <w:i w:val="0"/>
                <w:sz w:val="18"/>
              </w:rPr>
              <w:t>Energy-availability factor</w:t>
            </w:r>
          </w:p>
        </w:tc>
        <w:tc>
          <w:tcPr>
            <w:tcW w:type="dxa" w:w="2050"/>
            <w:vAlign w:val="center"/>
            <w:tcMar>
              <w:top w:w="90" w:type="dxa"/>
              <w:left w:w="90" w:type="dxa"/>
              <w:bottom w:w="90" w:type="dxa"/>
              <w:right w:w="90" w:type="dxa"/>
            </w:tcMar>
            <w:shd w:fill="EEEEEE"/>
          </w:tcPr>
          <w:p>
            <w:pPr>
              <w:spacing w:after="40" w:line="276" w:lineRule="auto"/>
            </w:pPr>
            <w:r>
              <w:rPr>
                <w:b/>
                <w:i w:val="0"/>
                <w:sz w:val="18"/>
              </w:rPr>
              <w:t>Electrical factor</w:t>
            </w:r>
          </w:p>
        </w:tc>
        <w:tc>
          <w:tcPr>
            <w:tcW w:type="dxa" w:w="1691"/>
            <w:vAlign w:val="center"/>
            <w:tcMar>
              <w:top w:w="90" w:type="dxa"/>
              <w:left w:w="90" w:type="dxa"/>
              <w:bottom w:w="90" w:type="dxa"/>
              <w:right w:w="90" w:type="dxa"/>
            </w:tcMar>
            <w:shd w:fill="EEEEEE"/>
          </w:tcPr>
          <w:p>
            <w:pPr>
              <w:spacing w:after="40" w:line="276" w:lineRule="auto"/>
            </w:pPr>
            <w:r>
              <w:rPr>
                <w:rFonts w:ascii="DejaVu Sans Mono" w:hAnsi="DejaVu Sans Mono"/>
                <w:b/>
                <w:i w:val="0"/>
                <w:sz w:val="18"/>
              </w:rPr>
              <w:t>multiplier</w:t>
            </w:r>
          </w:p>
        </w:tc>
      </w:tr>
      <w:tr>
        <w:trPr>
          <w:cantSplit/>
        </w:trPr>
        <w:tc>
          <w:tcPr>
            <w:tcW w:type="dxa" w:w="1852"/>
            <w:vAlign w:val="center"/>
            <w:tcMar>
              <w:top w:w="90" w:type="dxa"/>
              <w:left w:w="90" w:type="dxa"/>
              <w:bottom w:w="90" w:type="dxa"/>
              <w:right w:w="90" w:type="dxa"/>
            </w:tcMar>
          </w:tcPr>
          <w:p>
            <w:pPr>
              <w:spacing w:after="40" w:line="276" w:lineRule="auto"/>
            </w:pPr>
            <w:r>
              <w:rPr>
                <w:b w:val="0"/>
                <w:i w:val="0"/>
                <w:sz w:val="18"/>
              </w:rPr>
              <w:t>Onshore wind</w:t>
            </w:r>
          </w:p>
        </w:tc>
        <w:tc>
          <w:tcPr>
            <w:tcW w:type="dxa" w:w="1746"/>
            <w:vAlign w:val="center"/>
            <w:tcMar>
              <w:top w:w="90" w:type="dxa"/>
              <w:left w:w="90" w:type="dxa"/>
              <w:bottom w:w="90" w:type="dxa"/>
              <w:right w:w="90" w:type="dxa"/>
            </w:tcMar>
          </w:tcPr>
          <w:p>
            <w:pPr>
              <w:spacing w:after="40" w:line="276" w:lineRule="auto"/>
            </w:pPr>
            <w:r>
              <w:rPr>
                <w:b w:val="0"/>
                <w:i w:val="0"/>
                <w:sz w:val="18"/>
              </w:rPr>
              <w:t>0.95</w:t>
            </w:r>
          </w:p>
        </w:tc>
        <w:tc>
          <w:tcPr>
            <w:tcW w:type="dxa" w:w="2451"/>
            <w:vAlign w:val="center"/>
            <w:tcMar>
              <w:top w:w="90" w:type="dxa"/>
              <w:left w:w="90" w:type="dxa"/>
              <w:bottom w:w="90" w:type="dxa"/>
              <w:right w:w="90" w:type="dxa"/>
            </w:tcMar>
          </w:tcPr>
          <w:p>
            <w:pPr>
              <w:spacing w:after="40" w:line="276" w:lineRule="auto"/>
            </w:pPr>
            <w:r>
              <w:rPr>
                <w:b w:val="0"/>
                <w:i w:val="0"/>
                <w:sz w:val="18"/>
              </w:rPr>
              <w:t>0.97</w:t>
            </w:r>
          </w:p>
        </w:tc>
        <w:tc>
          <w:tcPr>
            <w:tcW w:type="dxa" w:w="2050"/>
            <w:vAlign w:val="center"/>
            <w:tcMar>
              <w:top w:w="90" w:type="dxa"/>
              <w:left w:w="90" w:type="dxa"/>
              <w:bottom w:w="90" w:type="dxa"/>
              <w:right w:w="90" w:type="dxa"/>
            </w:tcMar>
          </w:tcPr>
          <w:p>
            <w:pPr>
              <w:spacing w:after="40" w:line="276" w:lineRule="auto"/>
            </w:pPr>
            <w:r>
              <w:rPr>
                <w:b w:val="0"/>
                <w:i w:val="0"/>
                <w:sz w:val="18"/>
              </w:rPr>
              <w:t>0.98</w:t>
            </w:r>
          </w:p>
        </w:tc>
        <w:tc>
          <w:tcPr>
            <w:tcW w:type="dxa" w:w="1691"/>
            <w:vAlign w:val="center"/>
            <w:tcMar>
              <w:top w:w="90" w:type="dxa"/>
              <w:left w:w="90" w:type="dxa"/>
              <w:bottom w:w="90" w:type="dxa"/>
              <w:right w:w="90" w:type="dxa"/>
            </w:tcMar>
          </w:tcPr>
          <w:p>
            <w:pPr>
              <w:spacing w:after="40" w:line="276" w:lineRule="auto"/>
            </w:pPr>
            <w:r>
              <w:rPr>
                <w:b w:val="0"/>
                <w:i w:val="0"/>
                <w:sz w:val="18"/>
              </w:rPr>
              <w:t>0.90307</w:t>
            </w:r>
          </w:p>
        </w:tc>
      </w:tr>
      <w:tr>
        <w:trPr>
          <w:cantSplit/>
        </w:trPr>
        <w:tc>
          <w:tcPr>
            <w:tcW w:type="dxa" w:w="1852"/>
            <w:vAlign w:val="center"/>
            <w:tcMar>
              <w:top w:w="90" w:type="dxa"/>
              <w:left w:w="90" w:type="dxa"/>
              <w:bottom w:w="90" w:type="dxa"/>
              <w:right w:w="90" w:type="dxa"/>
            </w:tcMar>
          </w:tcPr>
          <w:p>
            <w:pPr>
              <w:spacing w:after="40" w:line="276" w:lineRule="auto"/>
            </w:pPr>
            <w:r>
              <w:rPr>
                <w:b w:val="0"/>
                <w:i w:val="0"/>
                <w:sz w:val="18"/>
              </w:rPr>
              <w:t>Offshore wind</w:t>
            </w:r>
          </w:p>
        </w:tc>
        <w:tc>
          <w:tcPr>
            <w:tcW w:type="dxa" w:w="1746"/>
            <w:vAlign w:val="center"/>
            <w:tcMar>
              <w:top w:w="90" w:type="dxa"/>
              <w:left w:w="90" w:type="dxa"/>
              <w:bottom w:w="90" w:type="dxa"/>
              <w:right w:w="90" w:type="dxa"/>
            </w:tcMar>
          </w:tcPr>
          <w:p>
            <w:pPr>
              <w:spacing w:after="40" w:line="276" w:lineRule="auto"/>
            </w:pPr>
            <w:r>
              <w:rPr>
                <w:b w:val="0"/>
                <w:i w:val="0"/>
                <w:sz w:val="18"/>
              </w:rPr>
              <w:t>0.88</w:t>
            </w:r>
          </w:p>
        </w:tc>
        <w:tc>
          <w:tcPr>
            <w:tcW w:type="dxa" w:w="2451"/>
            <w:vAlign w:val="center"/>
            <w:tcMar>
              <w:top w:w="90" w:type="dxa"/>
              <w:left w:w="90" w:type="dxa"/>
              <w:bottom w:w="90" w:type="dxa"/>
              <w:right w:w="90" w:type="dxa"/>
            </w:tcMar>
          </w:tcPr>
          <w:p>
            <w:pPr>
              <w:spacing w:after="40" w:line="276" w:lineRule="auto"/>
            </w:pPr>
            <w:r>
              <w:rPr>
                <w:b w:val="0"/>
                <w:i w:val="0"/>
                <w:sz w:val="18"/>
              </w:rPr>
              <w:t>0.945</w:t>
            </w:r>
          </w:p>
        </w:tc>
        <w:tc>
          <w:tcPr>
            <w:tcW w:type="dxa" w:w="2050"/>
            <w:vAlign w:val="center"/>
            <w:tcMar>
              <w:top w:w="90" w:type="dxa"/>
              <w:left w:w="90" w:type="dxa"/>
              <w:bottom w:w="90" w:type="dxa"/>
              <w:right w:w="90" w:type="dxa"/>
            </w:tcMar>
          </w:tcPr>
          <w:p>
            <w:pPr>
              <w:spacing w:after="40" w:line="276" w:lineRule="auto"/>
            </w:pPr>
            <w:r>
              <w:rPr>
                <w:b w:val="0"/>
                <w:i w:val="0"/>
                <w:sz w:val="18"/>
              </w:rPr>
              <w:t>0.98</w:t>
            </w:r>
          </w:p>
        </w:tc>
        <w:tc>
          <w:tcPr>
            <w:tcW w:type="dxa" w:w="1691"/>
            <w:vAlign w:val="center"/>
            <w:tcMar>
              <w:top w:w="90" w:type="dxa"/>
              <w:left w:w="90" w:type="dxa"/>
              <w:bottom w:w="90" w:type="dxa"/>
              <w:right w:w="90" w:type="dxa"/>
            </w:tcMar>
          </w:tcPr>
          <w:p>
            <w:pPr>
              <w:spacing w:after="40" w:line="276" w:lineRule="auto"/>
            </w:pPr>
            <w:r>
              <w:rPr>
                <w:b w:val="0"/>
                <w:i w:val="0"/>
                <w:sz w:val="18"/>
              </w:rPr>
              <w:t>0.814968</w:t>
            </w:r>
          </w:p>
        </w:tc>
      </w:tr>
    </w:tbl>
    <w:p>
      <w:pPr>
        <w:spacing w:after="20"/>
      </w:pPr>
    </w:p>
    <w:p>
      <w:r>
        <w:rPr>
          <w:b w:val="0"/>
          <w:i w:val="0"/>
        </w:rPr>
        <w:t>At 8 m/s, the onshore raw coefficient is 0.5476061707 and its corrected coefficient is approximately 0.49453. A 100 MW asset therefore supplies approximately 49.453 MW of available power. The doctoral reproduction profile uses the raw curve with a multiplier of 1. The separate experimental R029 pathway also retains the raw curve.</w:t>
      </w:r>
    </w:p>
    <w:p>
      <w:pPr>
        <w:pStyle w:val="Heading2"/>
      </w:pPr>
      <w:r>
        <w:rPr>
          <w:b w:val="0"/>
          <w:i w:val="0"/>
        </w:rPr>
        <w:t>Solar radiation and array-plane conversion</w:t>
      </w:r>
    </w:p>
    <w:p>
      <w:pPr>
        <w:keepNext/>
      </w:pPr>
      <w:r>
        <w:rPr>
          <w:b w:val="0"/>
          <w:i w:val="0"/>
        </w:rPr>
        <w:t xml:space="preserve">The corrected profile converts accumulated horizontal ERA5 radiation to irradiance on a south-facing tilted plane, then applies a performance ratio of 0.83 and a coefficient ceiling of 1. </w:t>
      </w:r>
      <w:r>
        <w:rPr>
          <w:rFonts w:ascii="DejaVu Sans Mono" w:hAnsi="DejaVu Sans Mono"/>
          <w:b w:val="0"/>
          <w:i w:val="0"/>
          <w:sz w:val="17"/>
        </w:rPr>
        <w:t>hourly_unit_cf</w:t>
      </w:r>
      <w:r>
        <w:rPr>
          <w:b w:val="0"/>
          <w:i w:val="0"/>
        </w:rPr>
        <w:t xml:space="preserve"> reads </w:t>
      </w:r>
      <w:r>
        <w:rPr>
          <w:rFonts w:ascii="DejaVu Sans Mono" w:hAnsi="DejaVu Sans Mono"/>
          <w:b w:val="0"/>
          <w:i w:val="0"/>
          <w:sz w:val="17"/>
        </w:rPr>
        <w:t>ssrd</w:t>
      </w:r>
      <w:r>
        <w:rPr>
          <w:b w:val="0"/>
          <w:i w:val="0"/>
        </w:rPr>
        <w:t xml:space="preserve"> into </w:t>
      </w:r>
      <w:r>
        <w:rPr>
          <w:rFonts w:ascii="DejaVu Sans Mono" w:hAnsi="DejaVu Sans Mono"/>
          <w:b w:val="0"/>
          <w:i w:val="0"/>
          <w:sz w:val="17"/>
        </w:rPr>
        <w:t>raw</w:t>
      </w:r>
      <w:r>
        <w:rPr>
          <w:b w:val="0"/>
          <w:i w:val="0"/>
        </w:rPr>
        <w:t xml:space="preserve"> in J/m² and converts each value to </w:t>
      </w:r>
      <w:r>
        <w:rPr>
          <w:rFonts w:ascii="DejaVu Sans Mono" w:hAnsi="DejaVu Sans Mono"/>
          <w:b w:val="0"/>
          <w:i w:val="0"/>
          <w:sz w:val="17"/>
        </w:rPr>
        <w:t>hourly</w:t>
      </w:r>
      <w:r>
        <w:rPr>
          <w:b w:val="0"/>
          <w:i w:val="0"/>
        </w:rPr>
        <w:t xml:space="preserve"> in kW/m²:</w:t>
      </w:r>
    </w:p>
    <w:p>
      <w:pPr>
        <w:spacing w:after="160"/>
        <w:jc w:val="center"/>
      </w:pPr>
      <w:r>
        <w:drawing>
          <wp:inline xmlns:a="http://schemas.openxmlformats.org/drawingml/2006/main" xmlns:pic="http://schemas.openxmlformats.org/drawingml/2006/picture">
            <wp:extent cx="4136974" cy="413697"/>
            <wp:docPr id="15" name="Picture 15"/>
            <wp:cNvGraphicFramePr>
              <a:graphicFrameLocks noChangeAspect="1"/>
            </wp:cNvGraphicFramePr>
            <a:graphic>
              <a:graphicData uri="http://schemas.openxmlformats.org/drawingml/2006/picture">
                <pic:pic>
                  <pic:nvPicPr>
                    <pic:cNvPr id="0" name="eq-015.png"/>
                    <pic:cNvPicPr/>
                  </pic:nvPicPr>
                  <pic:blipFill>
                    <a:blip r:embed="rId25"/>
                    <a:stretch>
                      <a:fillRect/>
                    </a:stretch>
                  </pic:blipFill>
                  <pic:spPr>
                    <a:xfrm>
                      <a:off x="0" y="0"/>
                      <a:ext cx="4136974" cy="413697"/>
                    </a:xfrm>
                    <a:prstGeom prst="rect"/>
                  </pic:spPr>
                </pic:pic>
              </a:graphicData>
            </a:graphic>
          </wp:inline>
        </w:drawing>
      </w:r>
    </w:p>
    <w:p>
      <w:pPr>
        <w:keepNext/>
      </w:pPr>
      <w:r>
        <w:rPr>
          <w:b w:val="0"/>
          <w:i w:val="0"/>
        </w:rPr>
        <w:t xml:space="preserve">Array tilt follows latitude. In </w:t>
      </w:r>
      <w:r>
        <w:rPr>
          <w:rFonts w:ascii="DejaVu Sans Mono" w:hAnsi="DejaVu Sans Mono"/>
          <w:b w:val="0"/>
          <w:i w:val="0"/>
          <w:sz w:val="17"/>
        </w:rPr>
        <w:t>optimal_​tilt_​jacobson_​jadhav</w:t>
      </w:r>
      <w:r>
        <w:rPr>
          <w:b w:val="0"/>
          <w:i w:val="0"/>
        </w:rPr>
        <w:t xml:space="preserve">, </w:t>
      </w:r>
      <w:r>
        <w:rPr>
          <w:rFonts w:ascii="DejaVu Sans Mono" w:hAnsi="DejaVu Sans Mono"/>
          <w:b w:val="0"/>
          <w:i w:val="0"/>
          <w:sz w:val="17"/>
        </w:rPr>
        <w:t>phi</w:t>
      </w:r>
      <w:r>
        <w:rPr>
          <w:b w:val="0"/>
          <w:i w:val="0"/>
        </w:rPr>
        <w:t xml:space="preserve"> is latitude in degrees north; the function applies the 0°–65°N polynomial from </w:t>
      </w:r>
      <w:r>
        <w:rPr>
          <w:b w:val="0"/>
          <w:i w:val="0"/>
        </w:rPr>
        <w:t>Jacobson and Jadhav (2018), Solar Energy 169, 55–66</w:t>
      </w:r>
      <w:r>
        <w:rPr>
          <w:b w:val="0"/>
          <w:i w:val="0"/>
        </w:rPr>
        <w:t xml:space="preserve">. Its returned value becomes </w:t>
      </w:r>
      <w:r>
        <w:rPr>
          <w:rFonts w:ascii="DejaVu Sans Mono" w:hAnsi="DejaVu Sans Mono"/>
          <w:b w:val="0"/>
          <w:i w:val="0"/>
          <w:sz w:val="17"/>
        </w:rPr>
        <w:t>tilt</w:t>
      </w:r>
      <w:r>
        <w:rPr>
          <w:b w:val="0"/>
          <w:i w:val="0"/>
        </w:rPr>
        <w:t xml:space="preserve">, in degrees, in </w:t>
      </w:r>
      <w:r>
        <w:rPr>
          <w:rFonts w:ascii="DejaVu Sans Mono" w:hAnsi="DejaVu Sans Mono"/>
          <w:b w:val="0"/>
          <w:i w:val="0"/>
          <w:sz w:val="17"/>
        </w:rPr>
        <w:t>plane_of_array</w:t>
      </w:r>
      <w:r>
        <w:rPr>
          <w:b w:val="0"/>
          <w:i w:val="0"/>
        </w:rPr>
        <w:t>:</w:t>
      </w:r>
    </w:p>
    <w:p>
      <w:pPr>
        <w:spacing w:after="160"/>
        <w:jc w:val="center"/>
      </w:pPr>
      <w:r>
        <w:drawing>
          <wp:inline xmlns:a="http://schemas.openxmlformats.org/drawingml/2006/main" xmlns:pic="http://schemas.openxmlformats.org/drawingml/2006/picture">
            <wp:extent cx="5439308" cy="205775"/>
            <wp:docPr id="16" name="Picture 16"/>
            <wp:cNvGraphicFramePr>
              <a:graphicFrameLocks noChangeAspect="1"/>
            </wp:cNvGraphicFramePr>
            <a:graphic>
              <a:graphicData uri="http://schemas.openxmlformats.org/drawingml/2006/picture">
                <pic:pic>
                  <pic:nvPicPr>
                    <pic:cNvPr id="0" name="eq-016.png"/>
                    <pic:cNvPicPr/>
                  </pic:nvPicPr>
                  <pic:blipFill>
                    <a:blip r:embed="rId26"/>
                    <a:stretch>
                      <a:fillRect/>
                    </a:stretch>
                  </pic:blipFill>
                  <pic:spPr>
                    <a:xfrm>
                      <a:off x="0" y="0"/>
                      <a:ext cx="5439308" cy="205775"/>
                    </a:xfrm>
                    <a:prstGeom prst="rect"/>
                  </pic:spPr>
                </pic:pic>
              </a:graphicData>
            </a:graphic>
          </wp:inline>
        </w:drawing>
      </w:r>
    </w:p>
    <w:p>
      <w:pPr>
        <w:keepNext/>
      </w:pPr>
      <w:r>
        <w:rPr>
          <w:b w:val="0"/>
          <w:i w:val="0"/>
        </w:rPr>
        <w:t xml:space="preserve">Solar geometry uses each half-hour midpoint. </w:t>
      </w:r>
      <w:r>
        <w:rPr>
          <w:rFonts w:ascii="DejaVu Sans Mono" w:hAnsi="DejaVu Sans Mono"/>
          <w:b w:val="0"/>
          <w:i w:val="0"/>
          <w:sz w:val="17"/>
        </w:rPr>
        <w:t>period_clock</w:t>
      </w:r>
      <w:r>
        <w:rPr>
          <w:b w:val="0"/>
          <w:i w:val="0"/>
        </w:rPr>
        <w:t xml:space="preserve"> produces </w:t>
      </w:r>
      <w:r>
        <w:rPr>
          <w:rFonts w:ascii="DejaVu Sans Mono" w:hAnsi="DejaVu Sans Mono"/>
          <w:b w:val="0"/>
          <w:i w:val="0"/>
          <w:sz w:val="17"/>
        </w:rPr>
        <w:t>day_of_year</w:t>
      </w:r>
      <w:r>
        <w:rPr>
          <w:b w:val="0"/>
          <w:i w:val="0"/>
        </w:rPr>
        <w:t xml:space="preserve"> and </w:t>
      </w:r>
      <w:r>
        <w:rPr>
          <w:rFonts w:ascii="DejaVu Sans Mono" w:hAnsi="DejaVu Sans Mono"/>
          <w:b w:val="0"/>
          <w:i w:val="0"/>
          <w:sz w:val="17"/>
        </w:rPr>
        <w:t>utc_hours</w:t>
      </w:r>
      <w:r>
        <w:rPr>
          <w:b w:val="0"/>
          <w:i w:val="0"/>
        </w:rPr>
        <w:t xml:space="preserve"> from zero-based period index </w:t>
      </w:r>
      <w:r>
        <w:rPr>
          <w:rFonts w:ascii="DejaVu Sans Mono" w:hAnsi="DejaVu Sans Mono"/>
          <w:b w:val="0"/>
          <w:i w:val="0"/>
          <w:sz w:val="17"/>
        </w:rPr>
        <w:t>t</w:t>
      </w:r>
      <w:r>
        <w:rPr>
          <w:b w:val="0"/>
          <w:i w:val="0"/>
        </w:rPr>
        <w:t xml:space="preserve">; </w:t>
      </w:r>
      <w:r>
        <w:rPr>
          <w:rFonts w:ascii="DejaVu Sans Mono" w:hAnsi="DejaVu Sans Mono"/>
          <w:b w:val="0"/>
          <w:i w:val="0"/>
          <w:sz w:val="17"/>
        </w:rPr>
        <w:t>day_angle</w:t>
      </w:r>
      <w:r>
        <w:rPr>
          <w:b w:val="0"/>
          <w:i w:val="0"/>
        </w:rPr>
        <w:t xml:space="preserve"> gives the annual angle </w:t>
      </w:r>
      <w:r>
        <w:rPr>
          <w:rFonts w:ascii="DejaVu Sans Mono" w:hAnsi="DejaVu Sans Mono"/>
          <w:b w:val="0"/>
          <w:i w:val="0"/>
          <w:sz w:val="17"/>
        </w:rPr>
        <w:t>g</w:t>
      </w:r>
      <w:r>
        <w:rPr>
          <w:b w:val="0"/>
          <w:i w:val="0"/>
        </w:rPr>
        <w:t xml:space="preserve">. The functions </w:t>
      </w:r>
      <w:r>
        <w:rPr>
          <w:rFonts w:ascii="DejaVu Sans Mono" w:hAnsi="DejaVu Sans Mono"/>
          <w:b w:val="0"/>
          <w:i w:val="0"/>
          <w:sz w:val="17"/>
        </w:rPr>
        <w:t>declination</w:t>
      </w:r>
      <w:r>
        <w:rPr>
          <w:b w:val="0"/>
          <w:i w:val="0"/>
        </w:rPr>
        <w:t xml:space="preserve">, </w:t>
      </w:r>
      <w:r>
        <w:rPr>
          <w:rFonts w:ascii="DejaVu Sans Mono" w:hAnsi="DejaVu Sans Mono"/>
          <w:b w:val="0"/>
          <w:i w:val="0"/>
          <w:sz w:val="17"/>
        </w:rPr>
        <w:t>equation_​of_​time_​minutes</w:t>
      </w:r>
      <w:r>
        <w:rPr>
          <w:b w:val="0"/>
          <w:i w:val="0"/>
        </w:rPr>
        <w:t xml:space="preserve"> and </w:t>
      </w:r>
      <w:r>
        <w:rPr>
          <w:rFonts w:ascii="DejaVu Sans Mono" w:hAnsi="DejaVu Sans Mono"/>
          <w:b w:val="0"/>
          <w:i w:val="0"/>
          <w:sz w:val="17"/>
        </w:rPr>
        <w:t>eccentricity_factor</w:t>
      </w:r>
      <w:r>
        <w:rPr>
          <w:b w:val="0"/>
          <w:i w:val="0"/>
        </w:rPr>
        <w:t xml:space="preserve"> use the following implemented coefficients. Their outputs are declination </w:t>
      </w:r>
      <w:r>
        <w:rPr>
          <w:rFonts w:ascii="DejaVu Sans Mono" w:hAnsi="DejaVu Sans Mono"/>
          <w:b w:val="0"/>
          <w:i w:val="0"/>
          <w:sz w:val="17"/>
        </w:rPr>
        <w:t>decl</w:t>
      </w:r>
      <w:r>
        <w:rPr>
          <w:b w:val="0"/>
          <w:i w:val="0"/>
        </w:rPr>
        <w:t xml:space="preserve"> in radians, the time correction in minutes and a dimensionless orbital-distance factor:</w:t>
      </w:r>
    </w:p>
    <w:p>
      <w:pPr>
        <w:spacing w:after="160"/>
        <w:jc w:val="center"/>
      </w:pPr>
      <w:r>
        <w:drawing>
          <wp:inline xmlns:a="http://schemas.openxmlformats.org/drawingml/2006/main" xmlns:pic="http://schemas.openxmlformats.org/drawingml/2006/picture">
            <wp:extent cx="3229356" cy="621645"/>
            <wp:docPr id="17" name="Picture 17"/>
            <wp:cNvGraphicFramePr>
              <a:graphicFrameLocks noChangeAspect="1"/>
            </wp:cNvGraphicFramePr>
            <a:graphic>
              <a:graphicData uri="http://schemas.openxmlformats.org/drawingml/2006/picture">
                <pic:pic>
                  <pic:nvPicPr>
                    <pic:cNvPr id="0" name="eq-017.png"/>
                    <pic:cNvPicPr/>
                  </pic:nvPicPr>
                  <pic:blipFill>
                    <a:blip r:embed="rId27"/>
                    <a:stretch>
                      <a:fillRect/>
                    </a:stretch>
                  </pic:blipFill>
                  <pic:spPr>
                    <a:xfrm>
                      <a:off x="0" y="0"/>
                      <a:ext cx="3229356" cy="621645"/>
                    </a:xfrm>
                    <a:prstGeom prst="rect"/>
                  </pic:spPr>
                </pic:pic>
              </a:graphicData>
            </a:graphic>
          </wp:inline>
        </w:drawing>
      </w:r>
    </w:p>
    <w:p>
      <w:pPr>
        <w:spacing w:after="160"/>
        <w:jc w:val="center"/>
      </w:pPr>
      <w:r>
        <w:drawing>
          <wp:inline xmlns:a="http://schemas.openxmlformats.org/drawingml/2006/main" xmlns:pic="http://schemas.openxmlformats.org/drawingml/2006/picture">
            <wp:extent cx="3705682" cy="621805"/>
            <wp:docPr id="18" name="Picture 18"/>
            <wp:cNvGraphicFramePr>
              <a:graphicFrameLocks noChangeAspect="1"/>
            </wp:cNvGraphicFramePr>
            <a:graphic>
              <a:graphicData uri="http://schemas.openxmlformats.org/drawingml/2006/picture">
                <pic:pic>
                  <pic:nvPicPr>
                    <pic:cNvPr id="0" name="eq-018.png"/>
                    <pic:cNvPicPr/>
                  </pic:nvPicPr>
                  <pic:blipFill>
                    <a:blip r:embed="rId28"/>
                    <a:stretch>
                      <a:fillRect/>
                    </a:stretch>
                  </pic:blipFill>
                  <pic:spPr>
                    <a:xfrm>
                      <a:off x="0" y="0"/>
                      <a:ext cx="3705682" cy="621805"/>
                    </a:xfrm>
                    <a:prstGeom prst="rect"/>
                  </pic:spPr>
                </pic:pic>
              </a:graphicData>
            </a:graphic>
          </wp:inline>
        </w:drawing>
      </w:r>
    </w:p>
    <w:p>
      <w:pPr>
        <w:spacing w:after="160"/>
        <w:jc w:val="center"/>
      </w:pPr>
      <w:r>
        <w:drawing>
          <wp:inline xmlns:a="http://schemas.openxmlformats.org/drawingml/2006/main" xmlns:pic="http://schemas.openxmlformats.org/drawingml/2006/picture">
            <wp:extent cx="5353050" cy="690273"/>
            <wp:docPr id="19" name="Picture 19"/>
            <wp:cNvGraphicFramePr>
              <a:graphicFrameLocks noChangeAspect="1"/>
            </wp:cNvGraphicFramePr>
            <a:graphic>
              <a:graphicData uri="http://schemas.openxmlformats.org/drawingml/2006/picture">
                <pic:pic>
                  <pic:nvPicPr>
                    <pic:cNvPr id="0" name="eq-019.png"/>
                    <pic:cNvPicPr/>
                  </pic:nvPicPr>
                  <pic:blipFill>
                    <a:blip r:embed="rId29"/>
                    <a:stretch>
                      <a:fillRect/>
                    </a:stretch>
                  </pic:blipFill>
                  <pic:spPr>
                    <a:xfrm>
                      <a:off x="0" y="0"/>
                      <a:ext cx="5353050" cy="690273"/>
                    </a:xfrm>
                    <a:prstGeom prst="rect"/>
                  </pic:spPr>
                </pic:pic>
              </a:graphicData>
            </a:graphic>
          </wp:inline>
        </w:drawing>
      </w:r>
    </w:p>
    <w:p>
      <w:pPr>
        <w:spacing w:after="160"/>
        <w:jc w:val="center"/>
      </w:pPr>
      <w:r>
        <w:drawing>
          <wp:inline xmlns:a="http://schemas.openxmlformats.org/drawingml/2006/main" xmlns:pic="http://schemas.openxmlformats.org/drawingml/2006/picture">
            <wp:extent cx="4900498" cy="621705"/>
            <wp:docPr id="20" name="Picture 20"/>
            <wp:cNvGraphicFramePr>
              <a:graphicFrameLocks noChangeAspect="1"/>
            </wp:cNvGraphicFramePr>
            <a:graphic>
              <a:graphicData uri="http://schemas.openxmlformats.org/drawingml/2006/picture">
                <pic:pic>
                  <pic:nvPicPr>
                    <pic:cNvPr id="0" name="eq-020.png"/>
                    <pic:cNvPicPr/>
                  </pic:nvPicPr>
                  <pic:blipFill>
                    <a:blip r:embed="rId30"/>
                    <a:stretch>
                      <a:fillRect/>
                    </a:stretch>
                  </pic:blipFill>
                  <pic:spPr>
                    <a:xfrm>
                      <a:off x="0" y="0"/>
                      <a:ext cx="4900498" cy="621705"/>
                    </a:xfrm>
                    <a:prstGeom prst="rect"/>
                  </pic:spPr>
                </pic:pic>
              </a:graphicData>
            </a:graphic>
          </wp:inline>
        </w:drawing>
      </w:r>
    </w:p>
    <w:p>
      <w:pPr>
        <w:keepNext/>
      </w:pPr>
      <w:r>
        <w:rPr>
          <w:b w:val="0"/>
          <w:i w:val="0"/>
        </w:rPr>
        <w:t xml:space="preserve">Longitude and the time correction determine </w:t>
      </w:r>
      <w:r>
        <w:rPr>
          <w:rFonts w:ascii="DejaVu Sans Mono" w:hAnsi="DejaVu Sans Mono"/>
          <w:b w:val="0"/>
          <w:i w:val="0"/>
          <w:sz w:val="17"/>
        </w:rPr>
        <w:t>solar_time</w:t>
      </w:r>
      <w:r>
        <w:rPr>
          <w:b w:val="0"/>
          <w:i w:val="0"/>
        </w:rPr>
        <w:t xml:space="preserve"> and hour angle </w:t>
      </w:r>
      <w:r>
        <w:rPr>
          <w:rFonts w:ascii="DejaVu Sans Mono" w:hAnsi="DejaVu Sans Mono"/>
          <w:b w:val="0"/>
          <w:i w:val="0"/>
          <w:sz w:val="17"/>
        </w:rPr>
        <w:t>omega</w:t>
      </w:r>
      <w:r>
        <w:rPr>
          <w:b w:val="0"/>
          <w:i w:val="0"/>
        </w:rPr>
        <w:t xml:space="preserve">. The function </w:t>
      </w:r>
      <w:r>
        <w:rPr>
          <w:rFonts w:ascii="DejaVu Sans Mono" w:hAnsi="DejaVu Sans Mono"/>
          <w:b w:val="0"/>
          <w:i w:val="0"/>
          <w:sz w:val="17"/>
        </w:rPr>
        <w:t>incidence_cosines</w:t>
      </w:r>
      <w:r>
        <w:rPr>
          <w:b w:val="0"/>
          <w:i w:val="0"/>
        </w:rPr>
        <w:t xml:space="preserve"> converts latitude and tilt to radians as </w:t>
      </w:r>
      <w:r>
        <w:rPr>
          <w:rFonts w:ascii="DejaVu Sans Mono" w:hAnsi="DejaVu Sans Mono"/>
          <w:b w:val="0"/>
          <w:i w:val="0"/>
          <w:sz w:val="17"/>
        </w:rPr>
        <w:t>phi</w:t>
      </w:r>
      <w:r>
        <w:rPr>
          <w:b w:val="0"/>
          <w:i w:val="0"/>
        </w:rPr>
        <w:t xml:space="preserve"> and </w:t>
      </w:r>
      <w:r>
        <w:rPr>
          <w:rFonts w:ascii="DejaVu Sans Mono" w:hAnsi="DejaVu Sans Mono"/>
          <w:b w:val="0"/>
          <w:i w:val="0"/>
          <w:sz w:val="17"/>
        </w:rPr>
        <w:t>beta</w:t>
      </w:r>
      <w:r>
        <w:rPr>
          <w:b w:val="0"/>
          <w:i w:val="0"/>
        </w:rPr>
        <w:t xml:space="preserve">; its outputs become </w:t>
      </w:r>
      <w:r>
        <w:rPr>
          <w:rFonts w:ascii="DejaVu Sans Mono" w:hAnsi="DejaVu Sans Mono"/>
          <w:b w:val="0"/>
          <w:i w:val="0"/>
          <w:sz w:val="17"/>
        </w:rPr>
        <w:t>cos_z</w:t>
      </w:r>
      <w:r>
        <w:rPr>
          <w:b w:val="0"/>
          <w:i w:val="0"/>
        </w:rPr>
        <w:t xml:space="preserve"> and </w:t>
      </w:r>
      <w:r>
        <w:rPr>
          <w:rFonts w:ascii="DejaVu Sans Mono" w:hAnsi="DejaVu Sans Mono"/>
          <w:b w:val="0"/>
          <w:i w:val="0"/>
          <w:sz w:val="17"/>
        </w:rPr>
        <w:t>cos_theta</w:t>
      </w:r>
      <w:r>
        <w:rPr>
          <w:b w:val="0"/>
          <w:i w:val="0"/>
        </w:rPr>
        <w:t>, the cosines of zenith angle and incidence angle:</w:t>
      </w:r>
    </w:p>
    <w:p>
      <w:pPr>
        <w:spacing w:after="160"/>
        <w:jc w:val="center"/>
      </w:pPr>
      <w:r>
        <w:drawing>
          <wp:inline xmlns:a="http://schemas.openxmlformats.org/drawingml/2006/main" xmlns:pic="http://schemas.openxmlformats.org/drawingml/2006/picture">
            <wp:extent cx="4954219" cy="1518044"/>
            <wp:docPr id="21" name="Picture 21"/>
            <wp:cNvGraphicFramePr>
              <a:graphicFrameLocks noChangeAspect="1"/>
            </wp:cNvGraphicFramePr>
            <a:graphic>
              <a:graphicData uri="http://schemas.openxmlformats.org/drawingml/2006/picture">
                <pic:pic>
                  <pic:nvPicPr>
                    <pic:cNvPr id="0" name="eq-021.png"/>
                    <pic:cNvPicPr/>
                  </pic:nvPicPr>
                  <pic:blipFill>
                    <a:blip r:embed="rId31"/>
                    <a:stretch>
                      <a:fillRect/>
                    </a:stretch>
                  </pic:blipFill>
                  <pic:spPr>
                    <a:xfrm>
                      <a:off x="0" y="0"/>
                      <a:ext cx="4954219" cy="1518044"/>
                    </a:xfrm>
                    <a:prstGeom prst="rect"/>
                  </pic:spPr>
                </pic:pic>
              </a:graphicData>
            </a:graphic>
          </wp:inline>
        </w:drawing>
      </w:r>
    </w:p>
    <w:p>
      <w:pPr>
        <w:keepNext/>
      </w:pPr>
      <w:r>
        <w:rPr>
          <w:b w:val="0"/>
          <w:i w:val="0"/>
        </w:rPr>
        <w:t xml:space="preserve">The horizontal irradiance </w:t>
      </w:r>
      <w:r>
        <w:rPr>
          <w:rFonts w:ascii="DejaVu Sans Mono" w:hAnsi="DejaVu Sans Mono"/>
          <w:b w:val="0"/>
          <w:i w:val="0"/>
          <w:sz w:val="17"/>
        </w:rPr>
        <w:t>ghi</w:t>
      </w:r>
      <w:r>
        <w:rPr>
          <w:b w:val="0"/>
          <w:i w:val="0"/>
        </w:rPr>
        <w:t xml:space="preserve"> is separated into beam and diffuse components using the hourly relation of </w:t>
      </w:r>
      <w:r>
        <w:rPr>
          <w:b w:val="0"/>
          <w:i w:val="0"/>
        </w:rPr>
        <w:t>Erbs, Klein and Duffie (1982), Solar Energy 28(4), 293–302</w:t>
      </w:r>
      <w:r>
        <w:rPr>
          <w:b w:val="0"/>
          <w:i w:val="0"/>
        </w:rPr>
        <w:t xml:space="preserve">. </w:t>
      </w:r>
      <w:r>
        <w:rPr>
          <w:rFonts w:ascii="DejaVu Sans Mono" w:hAnsi="DejaVu Sans Mono"/>
          <w:b w:val="0"/>
          <w:i w:val="0"/>
          <w:sz w:val="17"/>
        </w:rPr>
        <w:t>extraterrestrial_normal</w:t>
      </w:r>
      <w:r>
        <w:rPr>
          <w:b w:val="0"/>
          <w:i w:val="0"/>
        </w:rPr>
        <w:t xml:space="preserve"> equals 1.361 kW/m² times </w:t>
      </w:r>
      <w:r>
        <w:rPr>
          <w:rFonts w:ascii="DejaVu Sans Mono" w:hAnsi="DejaVu Sans Mono"/>
          <w:b w:val="0"/>
          <w:i w:val="0"/>
          <w:sz w:val="17"/>
        </w:rPr>
        <w:t>eccentricity_​factor(day_​of_​year)</w:t>
      </w:r>
      <w:r>
        <w:rPr>
          <w:b w:val="0"/>
          <w:i w:val="0"/>
        </w:rPr>
        <w:t xml:space="preserve">. For positive </w:t>
      </w:r>
      <w:r>
        <w:rPr>
          <w:rFonts w:ascii="DejaVu Sans Mono" w:hAnsi="DejaVu Sans Mono"/>
          <w:b w:val="0"/>
          <w:i w:val="0"/>
          <w:sz w:val="17"/>
        </w:rPr>
        <w:t>ghi</w:t>
      </w:r>
      <w:r>
        <w:rPr>
          <w:b w:val="0"/>
          <w:i w:val="0"/>
        </w:rPr>
        <w:t xml:space="preserve"> and zenith below 87°, the clearness index </w:t>
      </w:r>
      <w:r>
        <w:rPr>
          <w:rFonts w:ascii="DejaVu Sans Mono" w:hAnsi="DejaVu Sans Mono"/>
          <w:b w:val="0"/>
          <w:i w:val="0"/>
          <w:sz w:val="17"/>
        </w:rPr>
        <w:t>kt</w:t>
      </w:r>
      <w:r>
        <w:rPr>
          <w:b w:val="0"/>
          <w:i w:val="0"/>
        </w:rPr>
        <w:t xml:space="preserve"> and diffuse fraction </w:t>
      </w:r>
      <w:r>
        <w:rPr>
          <w:rFonts w:ascii="DejaVu Sans Mono" w:hAnsi="DejaVu Sans Mono"/>
          <w:b w:val="0"/>
          <w:i w:val="0"/>
          <w:sz w:val="17"/>
        </w:rPr>
        <w:t>kd</w:t>
      </w:r>
      <w:r>
        <w:rPr>
          <w:b w:val="0"/>
          <w:i w:val="0"/>
        </w:rPr>
        <w:t xml:space="preserve"> are</w:t>
      </w:r>
    </w:p>
    <w:p>
      <w:pPr>
        <w:spacing w:after="160"/>
        <w:jc w:val="center"/>
      </w:pPr>
      <w:r>
        <w:drawing>
          <wp:inline xmlns:a="http://schemas.openxmlformats.org/drawingml/2006/main" xmlns:pic="http://schemas.openxmlformats.org/drawingml/2006/picture">
            <wp:extent cx="4778654" cy="413845"/>
            <wp:docPr id="22" name="Picture 22"/>
            <wp:cNvGraphicFramePr>
              <a:graphicFrameLocks noChangeAspect="1"/>
            </wp:cNvGraphicFramePr>
            <a:graphic>
              <a:graphicData uri="http://schemas.openxmlformats.org/drawingml/2006/picture">
                <pic:pic>
                  <pic:nvPicPr>
                    <pic:cNvPr id="0" name="eq-022.png"/>
                    <pic:cNvPicPr/>
                  </pic:nvPicPr>
                  <pic:blipFill>
                    <a:blip r:embed="rId32"/>
                    <a:stretch>
                      <a:fillRect/>
                    </a:stretch>
                  </pic:blipFill>
                  <pic:spPr>
                    <a:xfrm>
                      <a:off x="0" y="0"/>
                      <a:ext cx="4778654" cy="413845"/>
                    </a:xfrm>
                    <a:prstGeom prst="rect"/>
                  </pic:spPr>
                </pic:pic>
              </a:graphicData>
            </a:graphic>
          </wp:inline>
        </w:drawing>
      </w:r>
    </w:p>
    <w:p>
      <w:pPr>
        <w:spacing w:after="160"/>
        <w:jc w:val="center"/>
      </w:pPr>
      <w:r>
        <w:drawing>
          <wp:inline xmlns:a="http://schemas.openxmlformats.org/drawingml/2006/main" xmlns:pic="http://schemas.openxmlformats.org/drawingml/2006/picture">
            <wp:extent cx="3232861" cy="1081431"/>
            <wp:docPr id="23" name="Picture 23"/>
            <wp:cNvGraphicFramePr>
              <a:graphicFrameLocks noChangeAspect="1"/>
            </wp:cNvGraphicFramePr>
            <a:graphic>
              <a:graphicData uri="http://schemas.openxmlformats.org/drawingml/2006/picture">
                <pic:pic>
                  <pic:nvPicPr>
                    <pic:cNvPr id="0" name="eq-023.png"/>
                    <pic:cNvPicPr/>
                  </pic:nvPicPr>
                  <pic:blipFill>
                    <a:blip r:embed="rId33"/>
                    <a:stretch>
                      <a:fillRect/>
                    </a:stretch>
                  </pic:blipFill>
                  <pic:spPr>
                    <a:xfrm>
                      <a:off x="0" y="0"/>
                      <a:ext cx="3232861" cy="1081431"/>
                    </a:xfrm>
                    <a:prstGeom prst="rect"/>
                  </pic:spPr>
                </pic:pic>
              </a:graphicData>
            </a:graphic>
          </wp:inline>
        </w:drawing>
      </w:r>
    </w:p>
    <w:p>
      <w:pPr>
        <w:keepNext/>
      </w:pPr>
      <w:r>
        <w:rPr>
          <w:b w:val="0"/>
          <w:i w:val="0"/>
        </w:rPr>
        <w:t xml:space="preserve">The </w:t>
      </w:r>
      <w:r>
        <w:rPr>
          <w:b w:val="0"/>
          <w:i w:val="0"/>
        </w:rPr>
        <w:t>Hay–Davies (1980) transposition</w:t>
      </w:r>
      <w:r>
        <w:rPr>
          <w:b w:val="0"/>
          <w:i w:val="0"/>
        </w:rPr>
        <w:t xml:space="preserve"> combines beam, anisotropic sky-diffuse and ground-reflected irradiance. </w:t>
      </w:r>
      <w:r>
        <w:rPr>
          <w:rFonts w:ascii="DejaVu Sans Mono" w:hAnsi="DejaVu Sans Mono"/>
          <w:b w:val="0"/>
          <w:i w:val="0"/>
          <w:sz w:val="17"/>
        </w:rPr>
        <w:t>dhi</w:t>
      </w:r>
      <w:r>
        <w:rPr>
          <w:b w:val="0"/>
          <w:i w:val="0"/>
        </w:rPr>
        <w:t xml:space="preserve">, </w:t>
      </w:r>
      <w:r>
        <w:rPr>
          <w:rFonts w:ascii="DejaVu Sans Mono" w:hAnsi="DejaVu Sans Mono"/>
          <w:b w:val="0"/>
          <w:i w:val="0"/>
          <w:sz w:val="17"/>
        </w:rPr>
        <w:t>bhi</w:t>
      </w:r>
      <w:r>
        <w:rPr>
          <w:b w:val="0"/>
          <w:i w:val="0"/>
        </w:rPr>
        <w:t xml:space="preserve"> and </w:t>
      </w:r>
      <w:r>
        <w:rPr>
          <w:rFonts w:ascii="DejaVu Sans Mono" w:hAnsi="DejaVu Sans Mono"/>
          <w:b w:val="0"/>
          <w:i w:val="0"/>
          <w:sz w:val="17"/>
        </w:rPr>
        <w:t>dni</w:t>
      </w:r>
      <w:r>
        <w:rPr>
          <w:b w:val="0"/>
          <w:i w:val="0"/>
        </w:rPr>
        <w:t xml:space="preserve"> denote diffuse horizontal, beam horizontal and direct normal irradiance in kW/m²; </w:t>
      </w:r>
      <w:r>
        <w:rPr>
          <w:rFonts w:ascii="DejaVu Sans Mono" w:hAnsi="DejaVu Sans Mono"/>
          <w:b w:val="0"/>
          <w:i w:val="0"/>
          <w:sz w:val="17"/>
        </w:rPr>
        <w:t>anisotropy</w:t>
      </w:r>
      <w:r>
        <w:rPr>
          <w:b w:val="0"/>
          <w:i w:val="0"/>
        </w:rPr>
        <w:t xml:space="preserve">, </w:t>
      </w:r>
      <w:r>
        <w:rPr>
          <w:rFonts w:ascii="DejaVu Sans Mono" w:hAnsi="DejaVu Sans Mono"/>
          <w:b w:val="0"/>
          <w:i w:val="0"/>
          <w:sz w:val="17"/>
        </w:rPr>
        <w:t>beam_ratio</w:t>
      </w:r>
      <w:r>
        <w:rPr>
          <w:b w:val="0"/>
          <w:i w:val="0"/>
        </w:rPr>
        <w:t xml:space="preserve">, </w:t>
      </w:r>
      <w:r>
        <w:rPr>
          <w:rFonts w:ascii="DejaVu Sans Mono" w:hAnsi="DejaVu Sans Mono"/>
          <w:b w:val="0"/>
          <w:i w:val="0"/>
          <w:sz w:val="17"/>
        </w:rPr>
        <w:t>sky_view</w:t>
      </w:r>
      <w:r>
        <w:rPr>
          <w:b w:val="0"/>
          <w:i w:val="0"/>
        </w:rPr>
        <w:t xml:space="preserve"> and </w:t>
      </w:r>
      <w:r>
        <w:rPr>
          <w:rFonts w:ascii="DejaVu Sans Mono" w:hAnsi="DejaVu Sans Mono"/>
          <w:b w:val="0"/>
          <w:i w:val="0"/>
          <w:sz w:val="17"/>
        </w:rPr>
        <w:t>ground_view</w:t>
      </w:r>
      <w:r>
        <w:rPr>
          <w:b w:val="0"/>
          <w:i w:val="0"/>
        </w:rPr>
        <w:t xml:space="preserve"> are dimensionless. With </w:t>
      </w:r>
      <w:r>
        <w:rPr>
          <w:rFonts w:ascii="DejaVu Sans Mono" w:hAnsi="DejaVu Sans Mono"/>
          <w:b w:val="0"/>
          <w:i w:val="0"/>
          <w:sz w:val="17"/>
        </w:rPr>
        <w:t>albedo = 0.2</w:t>
      </w:r>
      <w:r>
        <w:rPr>
          <w:b w:val="0"/>
          <w:i w:val="0"/>
        </w:rPr>
        <w:t xml:space="preserve">, the array-plane irradiance </w:t>
      </w:r>
      <w:r>
        <w:rPr>
          <w:rFonts w:ascii="DejaVu Sans Mono" w:hAnsi="DejaVu Sans Mono"/>
          <w:b w:val="0"/>
          <w:i w:val="0"/>
          <w:sz w:val="17"/>
        </w:rPr>
        <w:t>poa</w:t>
      </w:r>
      <w:r>
        <w:rPr>
          <w:b w:val="0"/>
          <w:i w:val="0"/>
        </w:rPr>
        <w:t xml:space="preserve"> is</w:t>
      </w:r>
    </w:p>
    <w:p>
      <w:pPr>
        <w:spacing w:after="160"/>
        <w:jc w:val="center"/>
      </w:pPr>
      <w:r>
        <w:drawing>
          <wp:inline xmlns:a="http://schemas.openxmlformats.org/drawingml/2006/main" xmlns:pic="http://schemas.openxmlformats.org/drawingml/2006/picture">
            <wp:extent cx="4915052" cy="2482673"/>
            <wp:docPr id="24" name="Picture 24"/>
            <wp:cNvGraphicFramePr>
              <a:graphicFrameLocks noChangeAspect="1"/>
            </wp:cNvGraphicFramePr>
            <a:graphic>
              <a:graphicData uri="http://schemas.openxmlformats.org/drawingml/2006/picture">
                <pic:pic>
                  <pic:nvPicPr>
                    <pic:cNvPr id="0" name="eq-024.png"/>
                    <pic:cNvPicPr/>
                  </pic:nvPicPr>
                  <pic:blipFill>
                    <a:blip r:embed="rId34"/>
                    <a:stretch>
                      <a:fillRect/>
                    </a:stretch>
                  </pic:blipFill>
                  <pic:spPr>
                    <a:xfrm>
                      <a:off x="0" y="0"/>
                      <a:ext cx="4915052" cy="2482673"/>
                    </a:xfrm>
                    <a:prstGeom prst="rect"/>
                  </pic:spPr>
                </pic:pic>
              </a:graphicData>
            </a:graphic>
          </wp:inline>
        </w:drawing>
      </w:r>
    </w:p>
    <w:p>
      <w:pPr>
        <w:keepNext/>
      </w:pPr>
      <w:r>
        <w:rPr>
          <w:b w:val="0"/>
          <w:i w:val="0"/>
        </w:rPr>
        <w:t xml:space="preserve">For zenith at or above 87° or zero </w:t>
      </w:r>
      <w:r>
        <w:rPr>
          <w:rFonts w:ascii="DejaVu Sans Mono" w:hAnsi="DejaVu Sans Mono"/>
          <w:b w:val="0"/>
          <w:i w:val="0"/>
          <w:sz w:val="17"/>
        </w:rPr>
        <w:t>ghi</w:t>
      </w:r>
      <w:r>
        <w:rPr>
          <w:b w:val="0"/>
          <w:i w:val="0"/>
        </w:rPr>
        <w:t xml:space="preserve">, the calculation sets </w:t>
      </w:r>
      <w:r>
        <w:rPr>
          <w:rFonts w:ascii="DejaVu Sans Mono" w:hAnsi="DejaVu Sans Mono"/>
          <w:b w:val="0"/>
          <w:i w:val="0"/>
          <w:sz w:val="17"/>
        </w:rPr>
        <w:t>kd = 1</w:t>
      </w:r>
      <w:r>
        <w:rPr>
          <w:b w:val="0"/>
          <w:i w:val="0"/>
        </w:rPr>
        <w:t xml:space="preserve">, </w:t>
      </w:r>
      <w:r>
        <w:rPr>
          <w:rFonts w:ascii="DejaVu Sans Mono" w:hAnsi="DejaVu Sans Mono"/>
          <w:b w:val="0"/>
          <w:i w:val="0"/>
          <w:sz w:val="17"/>
        </w:rPr>
        <w:t>dhi = ghi</w:t>
      </w:r>
      <w:r>
        <w:rPr>
          <w:b w:val="0"/>
          <w:i w:val="0"/>
        </w:rPr>
        <w:t xml:space="preserve">, </w:t>
      </w:r>
      <w:r>
        <w:rPr>
          <w:rFonts w:ascii="DejaVu Sans Mono" w:hAnsi="DejaVu Sans Mono"/>
          <w:b w:val="0"/>
          <w:i w:val="0"/>
          <w:sz w:val="17"/>
        </w:rPr>
        <w:t>bhi = 0</w:t>
      </w:r>
      <w:r>
        <w:rPr>
          <w:b w:val="0"/>
          <w:i w:val="0"/>
        </w:rPr>
        <w:t xml:space="preserve">, </w:t>
      </w:r>
      <w:r>
        <w:rPr>
          <w:rFonts w:ascii="DejaVu Sans Mono" w:hAnsi="DejaVu Sans Mono"/>
          <w:b w:val="0"/>
          <w:i w:val="0"/>
          <w:sz w:val="17"/>
        </w:rPr>
        <w:t>dni = 0</w:t>
      </w:r>
      <w:r>
        <w:rPr>
          <w:b w:val="0"/>
          <w:i w:val="0"/>
        </w:rPr>
        <w:t xml:space="preserve">, </w:t>
      </w:r>
      <w:r>
        <w:rPr>
          <w:rFonts w:ascii="DejaVu Sans Mono" w:hAnsi="DejaVu Sans Mono"/>
          <w:b w:val="0"/>
          <w:i w:val="0"/>
          <w:sz w:val="17"/>
        </w:rPr>
        <w:t>anisotropy = 0</w:t>
      </w:r>
      <w:r>
        <w:rPr>
          <w:b w:val="0"/>
          <w:i w:val="0"/>
        </w:rPr>
        <w:t xml:space="preserve"> and </w:t>
      </w:r>
      <w:r>
        <w:rPr>
          <w:rFonts w:ascii="DejaVu Sans Mono" w:hAnsi="DejaVu Sans Mono"/>
          <w:b w:val="0"/>
          <w:i w:val="0"/>
          <w:sz w:val="17"/>
        </w:rPr>
        <w:t>beam_ratio = 0</w:t>
      </w:r>
      <w:r>
        <w:rPr>
          <w:b w:val="0"/>
          <w:i w:val="0"/>
        </w:rPr>
        <w:t xml:space="preserve">. The same array-plane sum retains diffuse and ground-reflected irradiance. For corrected accumulated inputs, </w:t>
      </w:r>
      <w:r>
        <w:rPr>
          <w:rFonts w:ascii="DejaVu Sans Mono" w:hAnsi="DejaVu Sans Mono"/>
          <w:b w:val="0"/>
          <w:i w:val="0"/>
          <w:sz w:val="17"/>
        </w:rPr>
        <w:t>site_cf_by_source</w:t>
      </w:r>
      <w:r>
        <w:rPr>
          <w:b w:val="0"/>
          <w:i w:val="0"/>
        </w:rPr>
        <w:t xml:space="preserve"> converts </w:t>
      </w:r>
      <w:r>
        <w:rPr>
          <w:rFonts w:ascii="DejaVu Sans Mono" w:hAnsi="DejaVu Sans Mono"/>
          <w:b w:val="0"/>
          <w:i w:val="0"/>
          <w:sz w:val="17"/>
        </w:rPr>
        <w:t>poa</w:t>
      </w:r>
      <w:r>
        <w:rPr>
          <w:b w:val="0"/>
          <w:i w:val="0"/>
        </w:rPr>
        <w:t xml:space="preserve"> into the output coefficient </w:t>
      </w:r>
      <w:r>
        <w:rPr>
          <w:rFonts w:ascii="DejaVu Sans Mono" w:hAnsi="DejaVu Sans Mono"/>
          <w:b w:val="0"/>
          <w:i w:val="0"/>
          <w:sz w:val="17"/>
        </w:rPr>
        <w:t>values</w:t>
      </w:r>
      <w:r>
        <w:rPr>
          <w:b w:val="0"/>
          <w:i w:val="0"/>
        </w:rPr>
        <w:t>:</w:t>
      </w:r>
    </w:p>
    <w:p>
      <w:pPr>
        <w:spacing w:after="160"/>
        <w:jc w:val="center"/>
      </w:pPr>
      <w:r>
        <w:drawing>
          <wp:inline xmlns:a="http://schemas.openxmlformats.org/drawingml/2006/main" xmlns:pic="http://schemas.openxmlformats.org/drawingml/2006/picture">
            <wp:extent cx="1983333" cy="171371"/>
            <wp:docPr id="25" name="Picture 25"/>
            <wp:cNvGraphicFramePr>
              <a:graphicFrameLocks noChangeAspect="1"/>
            </wp:cNvGraphicFramePr>
            <a:graphic>
              <a:graphicData uri="http://schemas.openxmlformats.org/drawingml/2006/picture">
                <pic:pic>
                  <pic:nvPicPr>
                    <pic:cNvPr id="0" name="eq-025.png"/>
                    <pic:cNvPicPr/>
                  </pic:nvPicPr>
                  <pic:blipFill>
                    <a:blip r:embed="rId35"/>
                    <a:stretch>
                      <a:fillRect/>
                    </a:stretch>
                  </pic:blipFill>
                  <pic:spPr>
                    <a:xfrm>
                      <a:off x="0" y="0"/>
                      <a:ext cx="1983333" cy="171371"/>
                    </a:xfrm>
                    <a:prstGeom prst="rect"/>
                  </pic:spPr>
                </pic:pic>
              </a:graphicData>
            </a:graphic>
          </wp:inline>
        </w:drawing>
      </w:r>
    </w:p>
    <w:p>
      <w:r>
        <w:rPr>
          <w:b w:val="0"/>
          <w:i w:val="0"/>
        </w:rPr>
        <w:t>The accumulated-input convention selects array-plane conversion. Corrected instantaneous inputs, including the current R029 calendar climatology and VALUE 101 synthetic input, apply 0.83 directly to horizontal irradiance. The doctoral reproduction profile and experimental R029 pathway retain horizontal conversion with a multiplier of 1. The following pseudocode uses the implemented function and variable names:</w:t>
      </w:r>
    </w:p>
    <w:p>
      <w:pPr>
        <w:keepLines/>
        <w:spacing w:line="276" w:lineRule="auto" w:after="160"/>
      </w:pPr>
      <w:r>
        <w:rPr>
          <w:rFonts w:ascii="DejaVu Sans Mono" w:hAnsi="DejaVu Sans Mono"/>
          <w:b w:val="0"/>
          <w:i w:val="0"/>
          <w:sz w:val="17"/>
        </w:rPr>
        <w:t>hourly, evidence = hourly_unit_cf(ds, technology, latitude, longitude, binding)</w:t>
        <w:br/>
        <w:t>index = hour_index(periods, len(hourly), method.clock, evidence["time_​convention"])</w:t>
        <w:br/>
        <w:t>values = hourly[index]</w:t>
        <w:br/>
        <w:t>poa_applied = False</w:t>
        <w:br/>
        <w:t>if technology == "solar" and method.plane_of_array:</w:t>
        <w:br/>
        <w:t xml:space="preserve">    poa_applied, reason = plane_​of_​array_​applies(method, evidence["time_​convention"])</w:t>
        <w:br/>
        <w:t xml:space="preserve">    if poa_applied:</w:t>
        <w:br/>
        <w:t xml:space="preserve">        values, poa_evidence = plane_of_array(values, latitude_deg=latitude,</w:t>
        <w:br/>
        <w:t xml:space="preserve">            longitude_​deg=longitude, parameters=plane_​of_​array_​parameters())</w:t>
        <w:br/>
        <w:t>multiplier = method.multiplier(technology)</w:t>
        <w:br/>
        <w:t>values = values * multiplier</w:t>
        <w:br/>
        <w:t>if poa_applied:</w:t>
        <w:br/>
        <w:t xml:space="preserve">    values = minimum(values, 1.0)</w:t>
        <w:br/>
        <w:t>return values</w:t>
        <w:br/>
      </w:r>
    </w:p>
    <w:p>
      <w:pPr>
        <w:pStyle w:val="Heading2"/>
      </w:pPr>
      <w:r>
        <w:rPr>
          <w:b w:val="0"/>
          <w:i w:val="0"/>
        </w:rPr>
        <w:t>Comparison with observed load factors</w:t>
      </w:r>
    </w:p>
    <w:p>
      <w:r>
        <w:rPr>
          <w:b w:val="0"/>
          <w:i w:val="0"/>
        </w:rPr>
        <w:t xml:space="preserve">The GBP1 representative-point weather calculation can be compared with national load factors from </w:t>
      </w:r>
      <w:r>
        <w:rPr>
          <w:b w:val="0"/>
          <w:i w:val="0"/>
        </w:rPr>
        <w:t>DUKES Table 6.3</w:t>
      </w:r>
      <w:r>
        <w:rPr>
          <w:b w:val="0"/>
          <w:i w:val="0"/>
        </w:rPr>
        <w:t>. The model values below are unweighted means across representative points, each evaluated over 17,520 half-hours before curtailment. DUKES divides national generation by the mean of installed capacity at the beginning and end of the year and by annual hours. These definitions determine the scope of the comparison.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39"/>
        <w:gridCol w:w="1468"/>
        <w:gridCol w:w="1652"/>
        <w:gridCol w:w="1652"/>
        <w:gridCol w:w="1800"/>
        <w:gridCol w:w="1781"/>
      </w:tblGrid>
      <w:tr>
        <w:trPr>
          <w:cantSplit/>
          <w:tblHeader w:val="true"/>
        </w:trPr>
        <w:tc>
          <w:tcPr>
            <w:tcW w:type="dxa" w:w="1439"/>
            <w:vAlign w:val="center"/>
            <w:tcMar>
              <w:top w:w="90" w:type="dxa"/>
              <w:left w:w="90" w:type="dxa"/>
              <w:bottom w:w="90" w:type="dxa"/>
              <w:right w:w="90" w:type="dxa"/>
            </w:tcMar>
            <w:shd w:fill="EEEEEE"/>
          </w:tcPr>
          <w:p>
            <w:pPr>
              <w:spacing w:after="40" w:line="276" w:lineRule="auto"/>
            </w:pPr>
            <w:r>
              <w:rPr>
                <w:b/>
                <w:i w:val="0"/>
                <w:sz w:val="18"/>
              </w:rPr>
              <w:t>Technology</w:t>
            </w:r>
          </w:p>
        </w:tc>
        <w:tc>
          <w:tcPr>
            <w:tcW w:type="dxa" w:w="1468"/>
            <w:vAlign w:val="center"/>
            <w:tcMar>
              <w:top w:w="90" w:type="dxa"/>
              <w:left w:w="90" w:type="dxa"/>
              <w:bottom w:w="90" w:type="dxa"/>
              <w:right w:w="90" w:type="dxa"/>
            </w:tcMar>
            <w:shd w:fill="EEEEEE"/>
          </w:tcPr>
          <w:p>
            <w:pPr>
              <w:spacing w:after="40" w:line="276" w:lineRule="auto"/>
            </w:pPr>
            <w:r>
              <w:rPr>
                <w:b/>
                <w:i w:val="0"/>
                <w:sz w:val="18"/>
              </w:rPr>
              <w:t>GBP1 corrected</w:t>
            </w:r>
          </w:p>
        </w:tc>
        <w:tc>
          <w:tcPr>
            <w:tcW w:type="dxa" w:w="1652"/>
            <w:vAlign w:val="center"/>
            <w:tcMar>
              <w:top w:w="90" w:type="dxa"/>
              <w:left w:w="90" w:type="dxa"/>
              <w:bottom w:w="90" w:type="dxa"/>
              <w:right w:w="90" w:type="dxa"/>
            </w:tcMar>
            <w:shd w:fill="EEEEEE"/>
          </w:tcPr>
          <w:p>
            <w:pPr>
              <w:spacing w:after="40" w:line="276" w:lineRule="auto"/>
            </w:pPr>
            <w:r>
              <w:rPr>
                <w:b/>
                <w:i w:val="0"/>
                <w:sz w:val="18"/>
              </w:rPr>
              <w:t>DUKES 2019–2024 mean</w:t>
            </w:r>
          </w:p>
        </w:tc>
        <w:tc>
          <w:tcPr>
            <w:tcW w:type="dxa" w:w="1652"/>
            <w:vAlign w:val="center"/>
            <w:tcMar>
              <w:top w:w="90" w:type="dxa"/>
              <w:left w:w="90" w:type="dxa"/>
              <w:bottom w:w="90" w:type="dxa"/>
              <w:right w:w="90" w:type="dxa"/>
            </w:tcMar>
            <w:shd w:fill="EEEEEE"/>
          </w:tcPr>
          <w:p>
            <w:pPr>
              <w:spacing w:after="40" w:line="276" w:lineRule="auto"/>
            </w:pPr>
            <w:r>
              <w:rPr>
                <w:b/>
                <w:i w:val="0"/>
                <w:sz w:val="18"/>
              </w:rPr>
              <w:t>DUKES 2020–2024 mean</w:t>
            </w:r>
          </w:p>
        </w:tc>
        <w:tc>
          <w:tcPr>
            <w:tcW w:type="dxa" w:w="1800"/>
            <w:vAlign w:val="center"/>
            <w:tcMar>
              <w:top w:w="90" w:type="dxa"/>
              <w:left w:w="90" w:type="dxa"/>
              <w:bottom w:w="90" w:type="dxa"/>
              <w:right w:w="90" w:type="dxa"/>
            </w:tcMar>
            <w:shd w:fill="EEEEEE"/>
          </w:tcPr>
          <w:p>
            <w:pPr>
              <w:spacing w:after="40" w:line="276" w:lineRule="auto"/>
            </w:pPr>
            <w:r>
              <w:rPr>
                <w:b/>
                <w:i w:val="0"/>
                <w:sz w:val="18"/>
              </w:rPr>
              <w:t>Corrected / 2020–2024 mean</w:t>
            </w:r>
          </w:p>
        </w:tc>
        <w:tc>
          <w:tcPr>
            <w:tcW w:type="dxa" w:w="1781"/>
            <w:vAlign w:val="center"/>
            <w:tcMar>
              <w:top w:w="90" w:type="dxa"/>
              <w:left w:w="90" w:type="dxa"/>
              <w:bottom w:w="90" w:type="dxa"/>
              <w:right w:w="90" w:type="dxa"/>
            </w:tcMar>
            <w:shd w:fill="EEEEEE"/>
          </w:tcPr>
          <w:p>
            <w:pPr>
              <w:spacing w:after="40" w:line="276" w:lineRule="auto"/>
            </w:pPr>
            <w:r>
              <w:rPr>
                <w:b/>
                <w:i w:val="0"/>
                <w:sz w:val="18"/>
              </w:rPr>
              <w:t>GBP1 doctoral reproduction</w:t>
            </w:r>
          </w:p>
        </w:tc>
      </w:tr>
      <w:tr>
        <w:trPr>
          <w:cantSplit/>
        </w:trPr>
        <w:tc>
          <w:tcPr>
            <w:tcW w:type="dxa" w:w="1439"/>
            <w:vAlign w:val="center"/>
            <w:tcMar>
              <w:top w:w="90" w:type="dxa"/>
              <w:left w:w="90" w:type="dxa"/>
              <w:bottom w:w="90" w:type="dxa"/>
              <w:right w:w="90" w:type="dxa"/>
            </w:tcMar>
          </w:tcPr>
          <w:p>
            <w:pPr>
              <w:spacing w:after="40" w:line="276" w:lineRule="auto"/>
            </w:pPr>
            <w:r>
              <w:rPr>
                <w:b w:val="0"/>
                <w:i w:val="0"/>
                <w:sz w:val="18"/>
              </w:rPr>
              <w:t>Onshore wind</w:t>
            </w:r>
          </w:p>
        </w:tc>
        <w:tc>
          <w:tcPr>
            <w:tcW w:type="dxa" w:w="1468"/>
            <w:vAlign w:val="center"/>
            <w:tcMar>
              <w:top w:w="90" w:type="dxa"/>
              <w:left w:w="90" w:type="dxa"/>
              <w:bottom w:w="90" w:type="dxa"/>
              <w:right w:w="90" w:type="dxa"/>
            </w:tcMar>
          </w:tcPr>
          <w:p>
            <w:pPr>
              <w:spacing w:after="40" w:line="276" w:lineRule="auto"/>
            </w:pPr>
            <w:r>
              <w:rPr>
                <w:b w:val="0"/>
                <w:i w:val="0"/>
                <w:sz w:val="18"/>
              </w:rPr>
              <w:t>0.4026</w:t>
            </w:r>
          </w:p>
        </w:tc>
        <w:tc>
          <w:tcPr>
            <w:tcW w:type="dxa" w:w="1652"/>
            <w:vAlign w:val="center"/>
            <w:tcMar>
              <w:top w:w="90" w:type="dxa"/>
              <w:left w:w="90" w:type="dxa"/>
              <w:bottom w:w="90" w:type="dxa"/>
              <w:right w:w="90" w:type="dxa"/>
            </w:tcMar>
          </w:tcPr>
          <w:p>
            <w:pPr>
              <w:spacing w:after="40" w:line="276" w:lineRule="auto"/>
            </w:pPr>
            <w:r>
              <w:rPr>
                <w:b w:val="0"/>
                <w:i w:val="0"/>
                <w:sz w:val="18"/>
              </w:rPr>
              <w:t>0.2593</w:t>
            </w:r>
          </w:p>
        </w:tc>
        <w:tc>
          <w:tcPr>
            <w:tcW w:type="dxa" w:w="1652"/>
            <w:vAlign w:val="center"/>
            <w:tcMar>
              <w:top w:w="90" w:type="dxa"/>
              <w:left w:w="90" w:type="dxa"/>
              <w:bottom w:w="90" w:type="dxa"/>
              <w:right w:w="90" w:type="dxa"/>
            </w:tcMar>
          </w:tcPr>
          <w:p>
            <w:pPr>
              <w:spacing w:after="40" w:line="276" w:lineRule="auto"/>
            </w:pPr>
            <w:r>
              <w:rPr>
                <w:b w:val="0"/>
                <w:i w:val="0"/>
                <w:sz w:val="18"/>
              </w:rPr>
              <w:t>0.2582</w:t>
            </w:r>
          </w:p>
        </w:tc>
        <w:tc>
          <w:tcPr>
            <w:tcW w:type="dxa" w:w="1800"/>
            <w:vAlign w:val="center"/>
            <w:tcMar>
              <w:top w:w="90" w:type="dxa"/>
              <w:left w:w="90" w:type="dxa"/>
              <w:bottom w:w="90" w:type="dxa"/>
              <w:right w:w="90" w:type="dxa"/>
            </w:tcMar>
          </w:tcPr>
          <w:p>
            <w:pPr>
              <w:spacing w:after="40" w:line="276" w:lineRule="auto"/>
            </w:pPr>
            <w:r>
              <w:rPr>
                <w:b w:val="0"/>
                <w:i w:val="0"/>
                <w:sz w:val="18"/>
              </w:rPr>
              <w:t>1.56</w:t>
            </w:r>
          </w:p>
        </w:tc>
        <w:tc>
          <w:tcPr>
            <w:tcW w:type="dxa" w:w="1781"/>
            <w:vAlign w:val="center"/>
            <w:tcMar>
              <w:top w:w="90" w:type="dxa"/>
              <w:left w:w="90" w:type="dxa"/>
              <w:bottom w:w="90" w:type="dxa"/>
              <w:right w:w="90" w:type="dxa"/>
            </w:tcMar>
          </w:tcPr>
          <w:p>
            <w:pPr>
              <w:spacing w:after="40" w:line="276" w:lineRule="auto"/>
            </w:pPr>
            <w:r>
              <w:rPr>
                <w:b w:val="0"/>
                <w:i w:val="0"/>
                <w:sz w:val="18"/>
              </w:rPr>
              <w:t>0.4458</w:t>
            </w:r>
          </w:p>
        </w:tc>
      </w:tr>
      <w:tr>
        <w:trPr>
          <w:cantSplit/>
        </w:trPr>
        <w:tc>
          <w:tcPr>
            <w:tcW w:type="dxa" w:w="1439"/>
            <w:vAlign w:val="center"/>
            <w:tcMar>
              <w:top w:w="90" w:type="dxa"/>
              <w:left w:w="90" w:type="dxa"/>
              <w:bottom w:w="90" w:type="dxa"/>
              <w:right w:w="90" w:type="dxa"/>
            </w:tcMar>
          </w:tcPr>
          <w:p>
            <w:pPr>
              <w:spacing w:after="40" w:line="276" w:lineRule="auto"/>
            </w:pPr>
            <w:r>
              <w:rPr>
                <w:b w:val="0"/>
                <w:i w:val="0"/>
                <w:sz w:val="18"/>
              </w:rPr>
              <w:t>Offshore wind</w:t>
            </w:r>
          </w:p>
        </w:tc>
        <w:tc>
          <w:tcPr>
            <w:tcW w:type="dxa" w:w="1468"/>
            <w:vAlign w:val="center"/>
            <w:tcMar>
              <w:top w:w="90" w:type="dxa"/>
              <w:left w:w="90" w:type="dxa"/>
              <w:bottom w:w="90" w:type="dxa"/>
              <w:right w:w="90" w:type="dxa"/>
            </w:tcMar>
          </w:tcPr>
          <w:p>
            <w:pPr>
              <w:spacing w:after="40" w:line="276" w:lineRule="auto"/>
            </w:pPr>
            <w:r>
              <w:rPr>
                <w:b w:val="0"/>
                <w:i w:val="0"/>
                <w:sz w:val="18"/>
              </w:rPr>
              <w:t>0.4913</w:t>
            </w:r>
          </w:p>
        </w:tc>
        <w:tc>
          <w:tcPr>
            <w:tcW w:type="dxa" w:w="1652"/>
            <w:vAlign w:val="center"/>
            <w:tcMar>
              <w:top w:w="90" w:type="dxa"/>
              <w:left w:w="90" w:type="dxa"/>
              <w:bottom w:w="90" w:type="dxa"/>
              <w:right w:w="90" w:type="dxa"/>
            </w:tcMar>
          </w:tcPr>
          <w:p>
            <w:pPr>
              <w:spacing w:after="40" w:line="276" w:lineRule="auto"/>
            </w:pPr>
            <w:r>
              <w:rPr>
                <w:b w:val="0"/>
                <w:i w:val="0"/>
                <w:sz w:val="18"/>
              </w:rPr>
              <w:t>0.4016</w:t>
            </w:r>
          </w:p>
        </w:tc>
        <w:tc>
          <w:tcPr>
            <w:tcW w:type="dxa" w:w="1652"/>
            <w:vAlign w:val="center"/>
            <w:tcMar>
              <w:top w:w="90" w:type="dxa"/>
              <w:left w:w="90" w:type="dxa"/>
              <w:bottom w:w="90" w:type="dxa"/>
              <w:right w:w="90" w:type="dxa"/>
            </w:tcMar>
          </w:tcPr>
          <w:p>
            <w:pPr>
              <w:spacing w:after="40" w:line="276" w:lineRule="auto"/>
            </w:pPr>
            <w:r>
              <w:rPr>
                <w:b w:val="0"/>
                <w:i w:val="0"/>
                <w:sz w:val="18"/>
              </w:rPr>
              <w:t>0.4009</w:t>
            </w:r>
          </w:p>
        </w:tc>
        <w:tc>
          <w:tcPr>
            <w:tcW w:type="dxa" w:w="1800"/>
            <w:vAlign w:val="center"/>
            <w:tcMar>
              <w:top w:w="90" w:type="dxa"/>
              <w:left w:w="90" w:type="dxa"/>
              <w:bottom w:w="90" w:type="dxa"/>
              <w:right w:w="90" w:type="dxa"/>
            </w:tcMar>
          </w:tcPr>
          <w:p>
            <w:pPr>
              <w:spacing w:after="40" w:line="276" w:lineRule="auto"/>
            </w:pPr>
            <w:r>
              <w:rPr>
                <w:b w:val="0"/>
                <w:i w:val="0"/>
                <w:sz w:val="18"/>
              </w:rPr>
              <w:t>1.23</w:t>
            </w:r>
          </w:p>
        </w:tc>
        <w:tc>
          <w:tcPr>
            <w:tcW w:type="dxa" w:w="1781"/>
            <w:vAlign w:val="center"/>
            <w:tcMar>
              <w:top w:w="90" w:type="dxa"/>
              <w:left w:w="90" w:type="dxa"/>
              <w:bottom w:w="90" w:type="dxa"/>
              <w:right w:w="90" w:type="dxa"/>
            </w:tcMar>
          </w:tcPr>
          <w:p>
            <w:pPr>
              <w:spacing w:after="40" w:line="276" w:lineRule="auto"/>
            </w:pPr>
            <w:r>
              <w:rPr>
                <w:b w:val="0"/>
                <w:i w:val="0"/>
                <w:sz w:val="18"/>
              </w:rPr>
              <w:t>0.6028</w:t>
            </w:r>
          </w:p>
        </w:tc>
      </w:tr>
      <w:tr>
        <w:trPr>
          <w:cantSplit/>
        </w:trPr>
        <w:tc>
          <w:tcPr>
            <w:tcW w:type="dxa" w:w="1439"/>
            <w:vAlign w:val="center"/>
            <w:tcMar>
              <w:top w:w="90" w:type="dxa"/>
              <w:left w:w="90" w:type="dxa"/>
              <w:bottom w:w="90" w:type="dxa"/>
              <w:right w:w="90" w:type="dxa"/>
            </w:tcMar>
          </w:tcPr>
          <w:p>
            <w:pPr>
              <w:spacing w:after="40" w:line="276" w:lineRule="auto"/>
            </w:pPr>
            <w:r>
              <w:rPr>
                <w:b w:val="0"/>
                <w:i w:val="0"/>
                <w:sz w:val="18"/>
              </w:rPr>
              <w:t>Solar PV</w:t>
            </w:r>
          </w:p>
        </w:tc>
        <w:tc>
          <w:tcPr>
            <w:tcW w:type="dxa" w:w="1468"/>
            <w:vAlign w:val="center"/>
            <w:tcMar>
              <w:top w:w="90" w:type="dxa"/>
              <w:left w:w="90" w:type="dxa"/>
              <w:bottom w:w="90" w:type="dxa"/>
              <w:right w:w="90" w:type="dxa"/>
            </w:tcMar>
          </w:tcPr>
          <w:p>
            <w:pPr>
              <w:spacing w:after="40" w:line="276" w:lineRule="auto"/>
            </w:pPr>
            <w:r>
              <w:rPr>
                <w:b w:val="0"/>
                <w:i w:val="0"/>
                <w:sz w:val="18"/>
              </w:rPr>
              <w:t>0.1065</w:t>
            </w:r>
          </w:p>
        </w:tc>
        <w:tc>
          <w:tcPr>
            <w:tcW w:type="dxa" w:w="1652"/>
            <w:vAlign w:val="center"/>
            <w:tcMar>
              <w:top w:w="90" w:type="dxa"/>
              <w:left w:w="90" w:type="dxa"/>
              <w:bottom w:w="90" w:type="dxa"/>
              <w:right w:w="90" w:type="dxa"/>
            </w:tcMar>
          </w:tcPr>
          <w:p>
            <w:pPr>
              <w:spacing w:after="40" w:line="276" w:lineRule="auto"/>
            </w:pPr>
            <w:r>
              <w:rPr>
                <w:b w:val="0"/>
                <w:i w:val="0"/>
                <w:sz w:val="18"/>
              </w:rPr>
              <w:t>0.1033</w:t>
            </w:r>
          </w:p>
        </w:tc>
        <w:tc>
          <w:tcPr>
            <w:tcW w:type="dxa" w:w="1652"/>
            <w:vAlign w:val="center"/>
            <w:tcMar>
              <w:top w:w="90" w:type="dxa"/>
              <w:left w:w="90" w:type="dxa"/>
              <w:bottom w:w="90" w:type="dxa"/>
              <w:right w:w="90" w:type="dxa"/>
            </w:tcMar>
          </w:tcPr>
          <w:p>
            <w:pPr>
              <w:spacing w:after="40" w:line="276" w:lineRule="auto"/>
            </w:pPr>
            <w:r>
              <w:rPr>
                <w:b w:val="0"/>
                <w:i w:val="0"/>
                <w:sz w:val="18"/>
              </w:rPr>
              <w:t>0.1025</w:t>
            </w:r>
          </w:p>
        </w:tc>
        <w:tc>
          <w:tcPr>
            <w:tcW w:type="dxa" w:w="1800"/>
            <w:vAlign w:val="center"/>
            <w:tcMar>
              <w:top w:w="90" w:type="dxa"/>
              <w:left w:w="90" w:type="dxa"/>
              <w:bottom w:w="90" w:type="dxa"/>
              <w:right w:w="90" w:type="dxa"/>
            </w:tcMar>
          </w:tcPr>
          <w:p>
            <w:pPr>
              <w:spacing w:after="40" w:line="276" w:lineRule="auto"/>
            </w:pPr>
            <w:r>
              <w:rPr>
                <w:b w:val="0"/>
                <w:i w:val="0"/>
                <w:sz w:val="18"/>
              </w:rPr>
              <w:t>1.04</w:t>
            </w:r>
          </w:p>
        </w:tc>
        <w:tc>
          <w:tcPr>
            <w:tcW w:type="dxa" w:w="1781"/>
            <w:vAlign w:val="center"/>
            <w:tcMar>
              <w:top w:w="90" w:type="dxa"/>
              <w:left w:w="90" w:type="dxa"/>
              <w:bottom w:w="90" w:type="dxa"/>
              <w:right w:w="90" w:type="dxa"/>
            </w:tcMar>
          </w:tcPr>
          <w:p>
            <w:pPr>
              <w:spacing w:after="40" w:line="276" w:lineRule="auto"/>
            </w:pPr>
            <w:r>
              <w:rPr>
                <w:b w:val="0"/>
                <w:i w:val="0"/>
                <w:sz w:val="18"/>
              </w:rPr>
              <w:t>0.1201</w:t>
            </w:r>
          </w:p>
        </w:tc>
      </w:tr>
    </w:tbl>
    <w:p>
      <w:pPr>
        <w:spacing w:after="20"/>
      </w:pPr>
    </w:p>
    <w:p>
      <w:r>
        <w:rPr>
          <w:b w:val="0"/>
          <w:i w:val="0"/>
        </w:rPr>
        <w:t>The corrected wind values remain above the observed national averages. The calculation combines unadjusted ERA5 wind speeds, one power curve for each wind technology and fixed loss multipliers. DUKES measures realised fleet generation, including the effects of dispatch and the operating fleet's composition. The table provides an external comparison for the specified parameterisation.</w:t>
      </w:r>
    </w:p>
    <w:p>
      <w:r>
        <w:rPr>
          <w:b w:val="0"/>
          <w:i w:val="0"/>
        </w:rPr>
        <w:t>The solar calculation uses a climatological radiation series followed by nonlinear decomposition and transposition. For the GBP1 representative points, the calculated diffuse share is approximately 0.63–0.75 and the ratio of array-plane to horizontal irradiation is approximately 1.05–1.10. These quantities describe the adopted climatology and transformation; year-specific simulations require year-specific weather inputs.</w:t>
      </w:r>
    </w:p>
    <w:p>
      <w:pPr>
        <w:pStyle w:val="Heading2"/>
      </w:pPr>
      <w:r>
        <w:rPr>
          <w:b w:val="0"/>
          <w:i w:val="0"/>
        </w:rPr>
        <w:t>Project locations, asset aggregation and zones</w:t>
      </w:r>
    </w:p>
    <w:p>
      <w:r>
        <w:rPr>
          <w:b w:val="0"/>
          <w:i w:val="0"/>
        </w:rPr>
        <w:t xml:space="preserve">Wind and solar projects obtain their spatial weather correspondence through representative points of the same technology. The initial GB template contains 11 solar and 11 onshore representative points, plus 21 offshore point names. R029's 2025 initial specification contains 11 solar, 11 onshore and 18 offshore assets with positive capacity. </w:t>
      </w:r>
      <w:r>
        <w:rPr>
          <w:rFonts w:ascii="DejaVu Sans Mono" w:hAnsi="DejaVu Sans Mono"/>
          <w:b w:val="0"/>
          <w:i w:val="0"/>
          <w:sz w:val="17"/>
        </w:rPr>
        <w:t>fleet.locations</w:t>
      </w:r>
      <w:r>
        <w:rPr>
          <w:b w:val="0"/>
          <w:i w:val="0"/>
        </w:rPr>
        <w:t xml:space="preserve"> and generator names jointly specify representative-point locations.</w:t>
      </w:r>
    </w:p>
    <w:p>
      <w:pPr>
        <w:keepNext/>
      </w:pPr>
      <w:r>
        <w:rPr>
          <w:b w:val="0"/>
          <w:i w:val="0"/>
        </w:rPr>
        <w:t xml:space="preserve">Projects with explicit coordinates use the nearest same-technology representative point. </w:t>
      </w:r>
      <w:r>
        <w:rPr>
          <w:rFonts w:ascii="DejaVu Sans Mono" w:hAnsi="DejaVu Sans Mono"/>
          <w:b w:val="0"/>
          <w:i w:val="0"/>
          <w:sz w:val="17"/>
        </w:rPr>
        <w:t>nearest_site</w:t>
      </w:r>
      <w:r>
        <w:rPr>
          <w:b w:val="0"/>
          <w:i w:val="0"/>
        </w:rPr>
        <w:t xml:space="preserve"> converts project latitude and longitude to radians as </w:t>
      </w:r>
      <w:r>
        <w:rPr>
          <w:rFonts w:ascii="DejaVu Sans Mono" w:hAnsi="DejaVu Sans Mono"/>
          <w:b w:val="0"/>
          <w:i w:val="0"/>
          <w:sz w:val="17"/>
        </w:rPr>
        <w:t>lat1</w:t>
      </w:r>
      <w:r>
        <w:rPr>
          <w:b w:val="0"/>
          <w:i w:val="0"/>
        </w:rPr>
        <w:t xml:space="preserve"> and </w:t>
      </w:r>
      <w:r>
        <w:rPr>
          <w:rFonts w:ascii="DejaVu Sans Mono" w:hAnsi="DejaVu Sans Mono"/>
          <w:b w:val="0"/>
          <w:i w:val="0"/>
          <w:sz w:val="17"/>
        </w:rPr>
        <w:t>lon1</w:t>
      </w:r>
      <w:r>
        <w:rPr>
          <w:b w:val="0"/>
          <w:i w:val="0"/>
        </w:rPr>
        <w:t xml:space="preserve">, and candidate coordinates as </w:t>
      </w:r>
      <w:r>
        <w:rPr>
          <w:rFonts w:ascii="DejaVu Sans Mono" w:hAnsi="DejaVu Sans Mono"/>
          <w:b w:val="0"/>
          <w:i w:val="0"/>
          <w:sz w:val="17"/>
        </w:rPr>
        <w:t>lat2</w:t>
      </w:r>
      <w:r>
        <w:rPr>
          <w:b w:val="0"/>
          <w:i w:val="0"/>
        </w:rPr>
        <w:t xml:space="preserve"> and </w:t>
      </w:r>
      <w:r>
        <w:rPr>
          <w:rFonts w:ascii="DejaVu Sans Mono" w:hAnsi="DejaVu Sans Mono"/>
          <w:b w:val="0"/>
          <w:i w:val="0"/>
          <w:sz w:val="17"/>
        </w:rPr>
        <w:t>lon2</w:t>
      </w:r>
      <w:r>
        <w:rPr>
          <w:b w:val="0"/>
          <w:i w:val="0"/>
        </w:rPr>
        <w:t>. Its great-circle distance is</w:t>
      </w:r>
    </w:p>
    <w:p>
      <w:pPr>
        <w:spacing w:after="160"/>
        <w:jc w:val="center"/>
      </w:pPr>
      <w:r>
        <w:drawing>
          <wp:inline xmlns:a="http://schemas.openxmlformats.org/drawingml/2006/main" xmlns:pic="http://schemas.openxmlformats.org/drawingml/2006/picture">
            <wp:extent cx="4308805" cy="985196"/>
            <wp:docPr id="26" name="Picture 26"/>
            <wp:cNvGraphicFramePr>
              <a:graphicFrameLocks noChangeAspect="1"/>
            </wp:cNvGraphicFramePr>
            <a:graphic>
              <a:graphicData uri="http://schemas.openxmlformats.org/drawingml/2006/picture">
                <pic:pic>
                  <pic:nvPicPr>
                    <pic:cNvPr id="0" name="eq-026.png"/>
                    <pic:cNvPicPr/>
                  </pic:nvPicPr>
                  <pic:blipFill>
                    <a:blip r:embed="rId36"/>
                    <a:stretch>
                      <a:fillRect/>
                    </a:stretch>
                  </pic:blipFill>
                  <pic:spPr>
                    <a:xfrm>
                      <a:off x="0" y="0"/>
                      <a:ext cx="4308805" cy="985196"/>
                    </a:xfrm>
                    <a:prstGeom prst="rect"/>
                  </pic:spPr>
                </pic:pic>
              </a:graphicData>
            </a:graphic>
          </wp:inline>
        </w:drawing>
      </w:r>
    </w:p>
    <w:p>
      <w:r>
        <w:rPr>
          <w:b w:val="0"/>
          <w:i w:val="0"/>
        </w:rPr>
        <w:t>Equal distances retain the first point in the candidate list. Solar and onshore projects without an explicit location first use the REPD region mapping below.</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cantSplit/>
          <w:tblHeader w:val="true"/>
        </w:trPr>
        <w:tc>
          <w:tcPr>
            <w:tcW w:type="dxa" w:w="4896"/>
            <w:vAlign w:val="center"/>
            <w:tcMar>
              <w:top w:w="90" w:type="dxa"/>
              <w:left w:w="90" w:type="dxa"/>
              <w:bottom w:w="90" w:type="dxa"/>
              <w:right w:w="90" w:type="dxa"/>
            </w:tcMar>
            <w:shd w:fill="EEEEEE"/>
          </w:tcPr>
          <w:p>
            <w:pPr>
              <w:spacing w:after="40" w:line="276" w:lineRule="auto"/>
            </w:pPr>
            <w:r>
              <w:rPr>
                <w:b/>
                <w:i w:val="0"/>
                <w:sz w:val="18"/>
              </w:rPr>
              <w:t>REPD region</w:t>
            </w:r>
          </w:p>
        </w:tc>
        <w:tc>
          <w:tcPr>
            <w:tcW w:type="dxa" w:w="4896"/>
            <w:vAlign w:val="center"/>
            <w:tcMar>
              <w:top w:w="90" w:type="dxa"/>
              <w:left w:w="90" w:type="dxa"/>
              <w:bottom w:w="90" w:type="dxa"/>
              <w:right w:w="90" w:type="dxa"/>
            </w:tcMar>
            <w:shd w:fill="EEEEEE"/>
          </w:tcPr>
          <w:p>
            <w:pPr>
              <w:spacing w:after="40" w:line="276" w:lineRule="auto"/>
            </w:pPr>
            <w:r>
              <w:rPr>
                <w:b/>
                <w:i w:val="0"/>
                <w:sz w:val="18"/>
              </w:rPr>
              <w:t>Representative point</w:t>
            </w:r>
          </w:p>
        </w:tc>
      </w:tr>
      <w:tr>
        <w:trPr>
          <w:cantSplit/>
        </w:trPr>
        <w:tc>
          <w:tcPr>
            <w:tcW w:type="dxa" w:w="4896"/>
            <w:vAlign w:val="center"/>
            <w:tcMar>
              <w:top w:w="90" w:type="dxa"/>
              <w:left w:w="90" w:type="dxa"/>
              <w:bottom w:w="90" w:type="dxa"/>
              <w:right w:w="90" w:type="dxa"/>
            </w:tcMar>
          </w:tcPr>
          <w:p>
            <w:pPr>
              <w:spacing w:after="40" w:line="276" w:lineRule="auto"/>
            </w:pPr>
            <w:r>
              <w:rPr>
                <w:b w:val="0"/>
                <w:i w:val="0"/>
                <w:sz w:val="18"/>
              </w:rPr>
              <w:t>East Midlands</w:t>
            </w:r>
          </w:p>
        </w:tc>
        <w:tc>
          <w:tcPr>
            <w:tcW w:type="dxa" w:w="4896"/>
            <w:vAlign w:val="center"/>
            <w:tcMar>
              <w:top w:w="90" w:type="dxa"/>
              <w:left w:w="90" w:type="dxa"/>
              <w:bottom w:w="90" w:type="dxa"/>
              <w:right w:w="90" w:type="dxa"/>
            </w:tcMar>
          </w:tcPr>
          <w:p>
            <w:pPr>
              <w:spacing w:after="40" w:line="276" w:lineRule="auto"/>
            </w:pPr>
            <w:r>
              <w:rPr>
                <w:b w:val="0"/>
                <w:i w:val="0"/>
                <w:sz w:val="18"/>
              </w:rPr>
              <w:t>Nottingham</w:t>
            </w:r>
          </w:p>
        </w:tc>
      </w:tr>
      <w:tr>
        <w:trPr>
          <w:cantSplit/>
        </w:trPr>
        <w:tc>
          <w:tcPr>
            <w:tcW w:type="dxa" w:w="4896"/>
            <w:vAlign w:val="center"/>
            <w:tcMar>
              <w:top w:w="90" w:type="dxa"/>
              <w:left w:w="90" w:type="dxa"/>
              <w:bottom w:w="90" w:type="dxa"/>
              <w:right w:w="90" w:type="dxa"/>
            </w:tcMar>
          </w:tcPr>
          <w:p>
            <w:pPr>
              <w:spacing w:after="40" w:line="276" w:lineRule="auto"/>
            </w:pPr>
            <w:r>
              <w:rPr>
                <w:b w:val="0"/>
                <w:i w:val="0"/>
                <w:sz w:val="18"/>
              </w:rPr>
              <w:t>Eastern</w:t>
            </w:r>
          </w:p>
        </w:tc>
        <w:tc>
          <w:tcPr>
            <w:tcW w:type="dxa" w:w="4896"/>
            <w:vAlign w:val="center"/>
            <w:tcMar>
              <w:top w:w="90" w:type="dxa"/>
              <w:left w:w="90" w:type="dxa"/>
              <w:bottom w:w="90" w:type="dxa"/>
              <w:right w:w="90" w:type="dxa"/>
            </w:tcMar>
          </w:tcPr>
          <w:p>
            <w:pPr>
              <w:spacing w:after="40" w:line="276" w:lineRule="auto"/>
            </w:pPr>
            <w:r>
              <w:rPr>
                <w:b w:val="0"/>
                <w:i w:val="0"/>
                <w:sz w:val="18"/>
              </w:rPr>
              <w:t>Ipswich</w:t>
            </w:r>
          </w:p>
        </w:tc>
      </w:tr>
      <w:tr>
        <w:trPr>
          <w:cantSplit/>
        </w:trPr>
        <w:tc>
          <w:tcPr>
            <w:tcW w:type="dxa" w:w="4896"/>
            <w:vAlign w:val="center"/>
            <w:tcMar>
              <w:top w:w="90" w:type="dxa"/>
              <w:left w:w="90" w:type="dxa"/>
              <w:bottom w:w="90" w:type="dxa"/>
              <w:right w:w="90" w:type="dxa"/>
            </w:tcMar>
          </w:tcPr>
          <w:p>
            <w:pPr>
              <w:spacing w:after="40" w:line="276" w:lineRule="auto"/>
            </w:pPr>
            <w:r>
              <w:rPr>
                <w:b w:val="0"/>
                <w:i w:val="0"/>
                <w:sz w:val="18"/>
              </w:rPr>
              <w:t>London</w:t>
            </w:r>
          </w:p>
        </w:tc>
        <w:tc>
          <w:tcPr>
            <w:tcW w:type="dxa" w:w="4896"/>
            <w:vAlign w:val="center"/>
            <w:tcMar>
              <w:top w:w="90" w:type="dxa"/>
              <w:left w:w="90" w:type="dxa"/>
              <w:bottom w:w="90" w:type="dxa"/>
              <w:right w:w="90" w:type="dxa"/>
            </w:tcMar>
          </w:tcPr>
          <w:p>
            <w:pPr>
              <w:spacing w:after="40" w:line="276" w:lineRule="auto"/>
            </w:pPr>
            <w:r>
              <w:rPr>
                <w:b w:val="0"/>
                <w:i w:val="0"/>
                <w:sz w:val="18"/>
              </w:rPr>
              <w:t>London</w:t>
            </w:r>
          </w:p>
        </w:tc>
      </w:tr>
      <w:tr>
        <w:trPr>
          <w:cantSplit/>
        </w:trPr>
        <w:tc>
          <w:tcPr>
            <w:tcW w:type="dxa" w:w="4896"/>
            <w:vAlign w:val="center"/>
            <w:tcMar>
              <w:top w:w="90" w:type="dxa"/>
              <w:left w:w="90" w:type="dxa"/>
              <w:bottom w:w="90" w:type="dxa"/>
              <w:right w:w="90" w:type="dxa"/>
            </w:tcMar>
          </w:tcPr>
          <w:p>
            <w:pPr>
              <w:spacing w:after="40" w:line="276" w:lineRule="auto"/>
            </w:pPr>
            <w:r>
              <w:rPr>
                <w:b w:val="0"/>
                <w:i w:val="0"/>
                <w:sz w:val="18"/>
              </w:rPr>
              <w:t>North East</w:t>
            </w:r>
          </w:p>
        </w:tc>
        <w:tc>
          <w:tcPr>
            <w:tcW w:type="dxa" w:w="4896"/>
            <w:vAlign w:val="center"/>
            <w:tcMar>
              <w:top w:w="90" w:type="dxa"/>
              <w:left w:w="90" w:type="dxa"/>
              <w:bottom w:w="90" w:type="dxa"/>
              <w:right w:w="90" w:type="dxa"/>
            </w:tcMar>
          </w:tcPr>
          <w:p>
            <w:pPr>
              <w:spacing w:after="40" w:line="276" w:lineRule="auto"/>
            </w:pPr>
            <w:r>
              <w:rPr>
                <w:b w:val="0"/>
                <w:i w:val="0"/>
                <w:sz w:val="18"/>
              </w:rPr>
              <w:t>Newcastle</w:t>
            </w:r>
          </w:p>
        </w:tc>
      </w:tr>
      <w:tr>
        <w:trPr>
          <w:cantSplit/>
        </w:trPr>
        <w:tc>
          <w:tcPr>
            <w:tcW w:type="dxa" w:w="4896"/>
            <w:vAlign w:val="center"/>
            <w:tcMar>
              <w:top w:w="90" w:type="dxa"/>
              <w:left w:w="90" w:type="dxa"/>
              <w:bottom w:w="90" w:type="dxa"/>
              <w:right w:w="90" w:type="dxa"/>
            </w:tcMar>
          </w:tcPr>
          <w:p>
            <w:pPr>
              <w:spacing w:after="40" w:line="276" w:lineRule="auto"/>
            </w:pPr>
            <w:r>
              <w:rPr>
                <w:b w:val="0"/>
                <w:i w:val="0"/>
                <w:sz w:val="18"/>
              </w:rPr>
              <w:t>North West</w:t>
            </w:r>
          </w:p>
        </w:tc>
        <w:tc>
          <w:tcPr>
            <w:tcW w:type="dxa" w:w="4896"/>
            <w:vAlign w:val="center"/>
            <w:tcMar>
              <w:top w:w="90" w:type="dxa"/>
              <w:left w:w="90" w:type="dxa"/>
              <w:bottom w:w="90" w:type="dxa"/>
              <w:right w:w="90" w:type="dxa"/>
            </w:tcMar>
          </w:tcPr>
          <w:p>
            <w:pPr>
              <w:spacing w:after="40" w:line="276" w:lineRule="auto"/>
            </w:pPr>
            <w:r>
              <w:rPr>
                <w:b w:val="0"/>
                <w:i w:val="0"/>
                <w:sz w:val="18"/>
              </w:rPr>
              <w:t>Manchester</w:t>
            </w:r>
          </w:p>
        </w:tc>
      </w:tr>
      <w:tr>
        <w:trPr>
          <w:cantSplit/>
        </w:trPr>
        <w:tc>
          <w:tcPr>
            <w:tcW w:type="dxa" w:w="4896"/>
            <w:vAlign w:val="center"/>
            <w:tcMar>
              <w:top w:w="90" w:type="dxa"/>
              <w:left w:w="90" w:type="dxa"/>
              <w:bottom w:w="90" w:type="dxa"/>
              <w:right w:w="90" w:type="dxa"/>
            </w:tcMar>
          </w:tcPr>
          <w:p>
            <w:pPr>
              <w:spacing w:after="40" w:line="276" w:lineRule="auto"/>
            </w:pPr>
            <w:r>
              <w:rPr>
                <w:b w:val="0"/>
                <w:i w:val="0"/>
                <w:sz w:val="18"/>
              </w:rPr>
              <w:t>Scotland</w:t>
            </w:r>
          </w:p>
        </w:tc>
        <w:tc>
          <w:tcPr>
            <w:tcW w:type="dxa" w:w="4896"/>
            <w:vAlign w:val="center"/>
            <w:tcMar>
              <w:top w:w="90" w:type="dxa"/>
              <w:left w:w="90" w:type="dxa"/>
              <w:bottom w:w="90" w:type="dxa"/>
              <w:right w:w="90" w:type="dxa"/>
            </w:tcMar>
          </w:tcPr>
          <w:p>
            <w:pPr>
              <w:spacing w:after="40" w:line="276" w:lineRule="auto"/>
            </w:pPr>
            <w:r>
              <w:rPr>
                <w:b w:val="0"/>
                <w:i w:val="0"/>
                <w:sz w:val="18"/>
              </w:rPr>
              <w:t>Edinburgh</w:t>
            </w:r>
          </w:p>
        </w:tc>
      </w:tr>
      <w:tr>
        <w:trPr>
          <w:cantSplit/>
        </w:trPr>
        <w:tc>
          <w:tcPr>
            <w:tcW w:type="dxa" w:w="4896"/>
            <w:vAlign w:val="center"/>
            <w:tcMar>
              <w:top w:w="90" w:type="dxa"/>
              <w:left w:w="90" w:type="dxa"/>
              <w:bottom w:w="90" w:type="dxa"/>
              <w:right w:w="90" w:type="dxa"/>
            </w:tcMar>
          </w:tcPr>
          <w:p>
            <w:pPr>
              <w:spacing w:after="40" w:line="276" w:lineRule="auto"/>
            </w:pPr>
            <w:r>
              <w:rPr>
                <w:b w:val="0"/>
                <w:i w:val="0"/>
                <w:sz w:val="18"/>
              </w:rPr>
              <w:t>South East</w:t>
            </w:r>
          </w:p>
        </w:tc>
        <w:tc>
          <w:tcPr>
            <w:tcW w:type="dxa" w:w="4896"/>
            <w:vAlign w:val="center"/>
            <w:tcMar>
              <w:top w:w="90" w:type="dxa"/>
              <w:left w:w="90" w:type="dxa"/>
              <w:bottom w:w="90" w:type="dxa"/>
              <w:right w:w="90" w:type="dxa"/>
            </w:tcMar>
          </w:tcPr>
          <w:p>
            <w:pPr>
              <w:spacing w:after="40" w:line="276" w:lineRule="auto"/>
            </w:pPr>
            <w:r>
              <w:rPr>
                <w:b w:val="0"/>
                <w:i w:val="0"/>
                <w:sz w:val="18"/>
              </w:rPr>
              <w:t>Portsmouth</w:t>
            </w:r>
          </w:p>
        </w:tc>
      </w:tr>
      <w:tr>
        <w:trPr>
          <w:cantSplit/>
        </w:trPr>
        <w:tc>
          <w:tcPr>
            <w:tcW w:type="dxa" w:w="4896"/>
            <w:vAlign w:val="center"/>
            <w:tcMar>
              <w:top w:w="90" w:type="dxa"/>
              <w:left w:w="90" w:type="dxa"/>
              <w:bottom w:w="90" w:type="dxa"/>
              <w:right w:w="90" w:type="dxa"/>
            </w:tcMar>
          </w:tcPr>
          <w:p>
            <w:pPr>
              <w:spacing w:after="40" w:line="276" w:lineRule="auto"/>
            </w:pPr>
            <w:r>
              <w:rPr>
                <w:b w:val="0"/>
                <w:i w:val="0"/>
                <w:sz w:val="18"/>
              </w:rPr>
              <w:t>South West</w:t>
            </w:r>
          </w:p>
        </w:tc>
        <w:tc>
          <w:tcPr>
            <w:tcW w:type="dxa" w:w="4896"/>
            <w:vAlign w:val="center"/>
            <w:tcMar>
              <w:top w:w="90" w:type="dxa"/>
              <w:left w:w="90" w:type="dxa"/>
              <w:bottom w:w="90" w:type="dxa"/>
              <w:right w:w="90" w:type="dxa"/>
            </w:tcMar>
          </w:tcPr>
          <w:p>
            <w:pPr>
              <w:spacing w:after="40" w:line="276" w:lineRule="auto"/>
            </w:pPr>
            <w:r>
              <w:rPr>
                <w:b w:val="0"/>
                <w:i w:val="0"/>
                <w:sz w:val="18"/>
              </w:rPr>
              <w:t>Bournemouth</w:t>
            </w:r>
          </w:p>
        </w:tc>
      </w:tr>
      <w:tr>
        <w:trPr>
          <w:cantSplit/>
        </w:trPr>
        <w:tc>
          <w:tcPr>
            <w:tcW w:type="dxa" w:w="4896"/>
            <w:vAlign w:val="center"/>
            <w:tcMar>
              <w:top w:w="90" w:type="dxa"/>
              <w:left w:w="90" w:type="dxa"/>
              <w:bottom w:w="90" w:type="dxa"/>
              <w:right w:w="90" w:type="dxa"/>
            </w:tcMar>
          </w:tcPr>
          <w:p>
            <w:pPr>
              <w:spacing w:after="40" w:line="276" w:lineRule="auto"/>
            </w:pPr>
            <w:r>
              <w:rPr>
                <w:b w:val="0"/>
                <w:i w:val="0"/>
                <w:sz w:val="18"/>
              </w:rPr>
              <w:t>Wales</w:t>
            </w:r>
          </w:p>
        </w:tc>
        <w:tc>
          <w:tcPr>
            <w:tcW w:type="dxa" w:w="4896"/>
            <w:vAlign w:val="center"/>
            <w:tcMar>
              <w:top w:w="90" w:type="dxa"/>
              <w:left w:w="90" w:type="dxa"/>
              <w:bottom w:w="90" w:type="dxa"/>
              <w:right w:w="90" w:type="dxa"/>
            </w:tcMar>
          </w:tcPr>
          <w:p>
            <w:pPr>
              <w:spacing w:after="40" w:line="276" w:lineRule="auto"/>
            </w:pPr>
            <w:r>
              <w:rPr>
                <w:b w:val="0"/>
                <w:i w:val="0"/>
                <w:sz w:val="18"/>
              </w:rPr>
              <w:t>Cardiff</w:t>
            </w:r>
          </w:p>
        </w:tc>
      </w:tr>
      <w:tr>
        <w:trPr>
          <w:cantSplit/>
        </w:trPr>
        <w:tc>
          <w:tcPr>
            <w:tcW w:type="dxa" w:w="4896"/>
            <w:vAlign w:val="center"/>
            <w:tcMar>
              <w:top w:w="90" w:type="dxa"/>
              <w:left w:w="90" w:type="dxa"/>
              <w:bottom w:w="90" w:type="dxa"/>
              <w:right w:w="90" w:type="dxa"/>
            </w:tcMar>
          </w:tcPr>
          <w:p>
            <w:pPr>
              <w:spacing w:after="40" w:line="276" w:lineRule="auto"/>
            </w:pPr>
            <w:r>
              <w:rPr>
                <w:b w:val="0"/>
                <w:i w:val="0"/>
                <w:sz w:val="18"/>
              </w:rPr>
              <w:t>West Midlands</w:t>
            </w:r>
          </w:p>
        </w:tc>
        <w:tc>
          <w:tcPr>
            <w:tcW w:type="dxa" w:w="4896"/>
            <w:vAlign w:val="center"/>
            <w:tcMar>
              <w:top w:w="90" w:type="dxa"/>
              <w:left w:w="90" w:type="dxa"/>
              <w:bottom w:w="90" w:type="dxa"/>
              <w:right w:w="90" w:type="dxa"/>
            </w:tcMar>
          </w:tcPr>
          <w:p>
            <w:pPr>
              <w:spacing w:after="40" w:line="276" w:lineRule="auto"/>
            </w:pPr>
            <w:r>
              <w:rPr>
                <w:b w:val="0"/>
                <w:i w:val="0"/>
                <w:sz w:val="18"/>
              </w:rPr>
              <w:t>Birmingham</w:t>
            </w:r>
          </w:p>
        </w:tc>
      </w:tr>
      <w:tr>
        <w:trPr>
          <w:cantSplit/>
        </w:trPr>
        <w:tc>
          <w:tcPr>
            <w:tcW w:type="dxa" w:w="4896"/>
            <w:vAlign w:val="center"/>
            <w:tcMar>
              <w:top w:w="90" w:type="dxa"/>
              <w:left w:w="90" w:type="dxa"/>
              <w:bottom w:w="90" w:type="dxa"/>
              <w:right w:w="90" w:type="dxa"/>
            </w:tcMar>
          </w:tcPr>
          <w:p>
            <w:pPr>
              <w:spacing w:after="40" w:line="276" w:lineRule="auto"/>
            </w:pPr>
            <w:r>
              <w:rPr>
                <w:b w:val="0"/>
                <w:i w:val="0"/>
                <w:sz w:val="18"/>
              </w:rPr>
              <w:t>Yorkshire and Humber</w:t>
            </w:r>
          </w:p>
        </w:tc>
        <w:tc>
          <w:tcPr>
            <w:tcW w:type="dxa" w:w="4896"/>
            <w:vAlign w:val="center"/>
            <w:tcMar>
              <w:top w:w="90" w:type="dxa"/>
              <w:left w:w="90" w:type="dxa"/>
              <w:bottom w:w="90" w:type="dxa"/>
              <w:right w:w="90" w:type="dxa"/>
            </w:tcMar>
          </w:tcPr>
          <w:p>
            <w:pPr>
              <w:spacing w:after="40" w:line="276" w:lineRule="auto"/>
            </w:pPr>
            <w:r>
              <w:rPr>
                <w:b w:val="0"/>
                <w:i w:val="0"/>
                <w:sz w:val="18"/>
              </w:rPr>
              <w:t>Sheffield</w:t>
            </w:r>
          </w:p>
        </w:tc>
      </w:tr>
    </w:tbl>
    <w:p>
      <w:pPr>
        <w:spacing w:after="20"/>
      </w:pPr>
    </w:p>
    <w:p>
      <w:r>
        <w:rPr>
          <w:b w:val="0"/>
          <w:i w:val="0"/>
        </w:rPr>
        <w:t xml:space="preserve">Remaining unlocated projects are distributed in proportion to existing same-technology capacity. In </w:t>
      </w:r>
      <w:r>
        <w:rPr>
          <w:rFonts w:ascii="DejaVu Sans Mono" w:hAnsi="DejaVu Sans Mono"/>
          <w:b w:val="0"/>
          <w:i w:val="0"/>
          <w:sz w:val="17"/>
        </w:rPr>
        <w:t>commissioned_​project_​weather</w:t>
      </w:r>
      <w:r>
        <w:rPr>
          <w:b w:val="0"/>
          <w:i w:val="0"/>
        </w:rPr>
        <w:t xml:space="preserve">, </w:t>
      </w:r>
      <w:r>
        <w:rPr>
          <w:rFonts w:ascii="DejaVu Sans Mono" w:hAnsi="DejaVu Sans Mono"/>
          <w:b w:val="0"/>
          <w:i w:val="0"/>
          <w:sz w:val="17"/>
        </w:rPr>
        <w:t>stock[name]</w:t>
      </w:r>
      <w:r>
        <w:rPr>
          <w:b w:val="0"/>
          <w:i w:val="0"/>
        </w:rPr>
        <w:t xml:space="preserve"> is the operating capacity at a representative point and </w:t>
      </w:r>
      <w:r>
        <w:rPr>
          <w:rFonts w:ascii="DejaVu Sans Mono" w:hAnsi="DejaVu Sans Mono"/>
          <w:b w:val="0"/>
          <w:i w:val="0"/>
          <w:sz w:val="17"/>
        </w:rPr>
        <w:t>total_stock</w:t>
      </w:r>
      <w:r>
        <w:rPr>
          <w:b w:val="0"/>
          <w:i w:val="0"/>
        </w:rPr>
        <w:t xml:space="preserve"> is its sum across the technology. Located projects entering operation in the same year are included first. Each remaining point receives </w:t>
      </w:r>
      <w:r>
        <w:rPr>
          <w:rFonts w:ascii="DejaVu Sans Mono" w:hAnsi="DejaVu Sans Mono"/>
          <w:b w:val="0"/>
          <w:i w:val="0"/>
          <w:sz w:val="17"/>
        </w:rPr>
        <w:t>total_new * stock[name] / total_stock</w:t>
      </w:r>
      <w:r>
        <w:rPr>
          <w:b w:val="0"/>
          <w:i w:val="0"/>
        </w:rPr>
        <w:t xml:space="preserve"> MW, with the final point receiving the remainder. Zero total capacity selects the first representative point; assigned amounts at or below 0.000001 MW have zero weather weight.</w:t>
      </w:r>
    </w:p>
    <w:p>
      <w:pPr>
        <w:keepNext/>
      </w:pPr>
      <w:r>
        <w:rPr>
          <w:b w:val="0"/>
          <w:i w:val="0"/>
        </w:rPr>
        <w:t xml:space="preserve">Assets retain the </w:t>
      </w:r>
      <w:r>
        <w:rPr>
          <w:rFonts w:ascii="DejaVu Sans Mono" w:hAnsi="DejaVu Sans Mono"/>
          <w:b w:val="0"/>
          <w:i w:val="0"/>
          <w:sz w:val="17"/>
        </w:rPr>
        <w:t>weather_source_weights</w:t>
      </w:r>
      <w:r>
        <w:rPr>
          <w:b w:val="0"/>
          <w:i w:val="0"/>
        </w:rPr>
        <w:t xml:space="preserve"> fixed at commissioning. </w:t>
      </w:r>
      <w:r>
        <w:rPr>
          <w:rFonts w:ascii="DejaVu Sans Mono" w:hAnsi="DejaVu Sans Mono"/>
          <w:b w:val="0"/>
          <w:i w:val="0"/>
          <w:sz w:val="17"/>
        </w:rPr>
        <w:t>source_weights</w:t>
      </w:r>
      <w:r>
        <w:rPr>
          <w:b w:val="0"/>
          <w:i w:val="0"/>
        </w:rPr>
        <w:t xml:space="preserve"> supplies the mapping </w:t>
      </w:r>
      <w:r>
        <w:rPr>
          <w:rFonts w:ascii="DejaVu Sans Mono" w:hAnsi="DejaVu Sans Mono"/>
          <w:b w:val="0"/>
          <w:i w:val="0"/>
          <w:sz w:val="17"/>
        </w:rPr>
        <w:t>weights</w:t>
      </w:r>
      <w:r>
        <w:rPr>
          <w:b w:val="0"/>
          <w:i w:val="0"/>
        </w:rPr>
        <w:t xml:space="preserve">; </w:t>
      </w:r>
      <w:r>
        <w:rPr>
          <w:rFonts w:ascii="DejaVu Sans Mono" w:hAnsi="DejaVu Sans Mono"/>
          <w:b w:val="0"/>
          <w:i w:val="0"/>
          <w:sz w:val="17"/>
        </w:rPr>
        <w:t>_map_lineages</w:t>
      </w:r>
      <w:r>
        <w:rPr>
          <w:b w:val="0"/>
          <w:i w:val="0"/>
        </w:rPr>
        <w:t xml:space="preserve"> combines each source curve </w:t>
      </w:r>
      <w:r>
        <w:rPr>
          <w:rFonts w:ascii="DejaVu Sans Mono" w:hAnsi="DejaVu Sans Mono"/>
          <w:b w:val="0"/>
          <w:i w:val="0"/>
          <w:sz w:val="17"/>
        </w:rPr>
        <w:t>values</w:t>
      </w:r>
      <w:r>
        <w:rPr>
          <w:b w:val="0"/>
          <w:i w:val="0"/>
        </w:rPr>
        <w:t xml:space="preserve"> with its associated </w:t>
      </w:r>
      <w:r>
        <w:rPr>
          <w:rFonts w:ascii="DejaVu Sans Mono" w:hAnsi="DejaVu Sans Mono"/>
          <w:b w:val="0"/>
          <w:i w:val="0"/>
          <w:sz w:val="17"/>
        </w:rPr>
        <w:t>weight</w:t>
      </w:r>
      <w:r>
        <w:rPr>
          <w:b w:val="0"/>
          <w:i w:val="0"/>
        </w:rPr>
        <w:t xml:space="preserve">. The resulting dimensionless curve </w:t>
      </w:r>
      <w:r>
        <w:rPr>
          <w:rFonts w:ascii="DejaVu Sans Mono" w:hAnsi="DejaVu Sans Mono"/>
          <w:b w:val="0"/>
          <w:i w:val="0"/>
          <w:sz w:val="17"/>
        </w:rPr>
        <w:t>combined</w:t>
      </w:r>
      <w:r>
        <w:rPr>
          <w:b w:val="0"/>
          <w:i w:val="0"/>
        </w:rPr>
        <w:t xml:space="preserve"> is</w:t>
      </w:r>
    </w:p>
    <w:p>
      <w:pPr>
        <w:spacing w:after="160"/>
        <w:jc w:val="center"/>
      </w:pPr>
      <w:r>
        <w:drawing>
          <wp:inline xmlns:a="http://schemas.openxmlformats.org/drawingml/2006/main" xmlns:pic="http://schemas.openxmlformats.org/drawingml/2006/picture">
            <wp:extent cx="3718407" cy="363385"/>
            <wp:docPr id="27" name="Picture 27"/>
            <wp:cNvGraphicFramePr>
              <a:graphicFrameLocks noChangeAspect="1"/>
            </wp:cNvGraphicFramePr>
            <a:graphic>
              <a:graphicData uri="http://schemas.openxmlformats.org/drawingml/2006/picture">
                <pic:pic>
                  <pic:nvPicPr>
                    <pic:cNvPr id="0" name="eq-027.png"/>
                    <pic:cNvPicPr/>
                  </pic:nvPicPr>
                  <pic:blipFill>
                    <a:blip r:embed="rId37"/>
                    <a:stretch>
                      <a:fillRect/>
                    </a:stretch>
                  </pic:blipFill>
                  <pic:spPr>
                    <a:xfrm>
                      <a:off x="0" y="0"/>
                      <a:ext cx="3718407" cy="363385"/>
                    </a:xfrm>
                    <a:prstGeom prst="rect"/>
                  </pic:spPr>
                </pic:pic>
              </a:graphicData>
            </a:graphic>
          </wp:inline>
        </w:drawing>
      </w:r>
    </w:p>
    <w:p>
      <w:r>
        <w:rPr>
          <w:b w:val="0"/>
          <w:i w:val="0"/>
        </w:rPr>
        <w:t>The weather reader checks source technology and finite, non-negative weights. The weights sum to 1 apart from the bounded effect of the 0.000001 MW allocation rule. Subsequent capacity changes retain these weights.</w:t>
      </w:r>
    </w:p>
    <w:p>
      <w:r>
        <w:rPr>
          <w:b w:val="0"/>
          <w:i w:val="0"/>
        </w:rPr>
        <w:t>The current national market maps annual assets onto a fixed market-agent and representative-weather topology. Mapping first uses identical asset identifiers, then selects agents of the same technology with matching region and allocates by previously mapped capacity. Zero capacity invokes template capacity and then equal allocation. Each market agent's final capacity is the sum of the annual assets assigned to it.</w:t>
      </w:r>
    </w:p>
    <w:p>
      <w:r>
        <w:rPr>
          <w:b w:val="0"/>
          <w:i w:val="0"/>
        </w:rPr>
        <w:t xml:space="preserve">Zonal operation divides asset capacity by </w:t>
      </w:r>
      <w:r>
        <w:rPr>
          <w:rFonts w:ascii="DejaVu Sans Mono" w:hAnsi="DejaVu Sans Mono"/>
          <w:b w:val="0"/>
          <w:i w:val="0"/>
          <w:sz w:val="17"/>
        </w:rPr>
        <w:t>zone_share</w:t>
      </w:r>
      <w:r>
        <w:rPr>
          <w:b w:val="0"/>
          <w:i w:val="0"/>
        </w:rPr>
        <w:t xml:space="preserve">, retaining its weather curve and economic owner. </w:t>
      </w:r>
      <w:r>
        <w:rPr>
          <w:rFonts w:ascii="DejaVu Sans Mono" w:hAnsi="DejaVu Sans Mono"/>
          <w:b w:val="0"/>
          <w:i w:val="0"/>
          <w:sz w:val="17"/>
        </w:rPr>
        <w:t>StagedBidAtCostPSM</w:t>
      </w:r>
      <w:r>
        <w:rPr>
          <w:b w:val="0"/>
          <w:i w:val="0"/>
        </w:rPr>
        <w:t xml:space="preserve"> sets each regional resource's </w:t>
      </w:r>
      <w:r>
        <w:rPr>
          <w:rFonts w:ascii="DejaVu Sans Mono" w:hAnsi="DejaVu Sans Mono"/>
          <w:b w:val="0"/>
          <w:i w:val="0"/>
          <w:sz w:val="17"/>
        </w:rPr>
        <w:t>capacity_mw</w:t>
      </w:r>
      <w:r>
        <w:rPr>
          <w:b w:val="0"/>
          <w:i w:val="0"/>
        </w:rPr>
        <w:t xml:space="preserve"> to the original </w:t>
      </w:r>
      <w:r>
        <w:rPr>
          <w:rFonts w:ascii="DejaVu Sans Mono" w:hAnsi="DejaVu Sans Mono"/>
          <w:b w:val="0"/>
          <w:i w:val="0"/>
          <w:sz w:val="17"/>
        </w:rPr>
        <w:t>resource.capacity_mw</w:t>
      </w:r>
      <w:r>
        <w:rPr>
          <w:b w:val="0"/>
          <w:i w:val="0"/>
        </w:rPr>
        <w:t xml:space="preserve"> multiplied by </w:t>
      </w:r>
      <w:r>
        <w:rPr>
          <w:rFonts w:ascii="DejaVu Sans Mono" w:hAnsi="DejaVu Sans Mono"/>
          <w:b w:val="0"/>
          <w:i w:val="0"/>
          <w:sz w:val="17"/>
        </w:rPr>
        <w:t>share</w:t>
      </w:r>
      <w:r>
        <w:rPr>
          <w:b w:val="0"/>
          <w:i w:val="0"/>
        </w:rPr>
        <w:t xml:space="preserve">; the shares sum to 1. It applies the same multiplication to storage </w:t>
      </w:r>
      <w:r>
        <w:rPr>
          <w:rFonts w:ascii="DejaVu Sans Mono" w:hAnsi="DejaVu Sans Mono"/>
          <w:b w:val="0"/>
          <w:i w:val="0"/>
          <w:sz w:val="17"/>
        </w:rPr>
        <w:t>charge_power_mw</w:t>
      </w:r>
      <w:r>
        <w:rPr>
          <w:b w:val="0"/>
          <w:i w:val="0"/>
        </w:rPr>
        <w:t xml:space="preserve">, </w:t>
      </w:r>
      <w:r>
        <w:rPr>
          <w:rFonts w:ascii="DejaVu Sans Mono" w:hAnsi="DejaVu Sans Mono"/>
          <w:b w:val="0"/>
          <w:i w:val="0"/>
          <w:sz w:val="17"/>
        </w:rPr>
        <w:t>discharge_power_mw</w:t>
      </w:r>
      <w:r>
        <w:rPr>
          <w:b w:val="0"/>
          <w:i w:val="0"/>
        </w:rPr>
        <w:t xml:space="preserve">, </w:t>
      </w:r>
      <w:r>
        <w:rPr>
          <w:rFonts w:ascii="DejaVu Sans Mono" w:hAnsi="DejaVu Sans Mono"/>
          <w:b w:val="0"/>
          <w:i w:val="0"/>
          <w:sz w:val="17"/>
        </w:rPr>
        <w:t>energy_capacity_mwh</w:t>
      </w:r>
      <w:r>
        <w:rPr>
          <w:b w:val="0"/>
          <w:i w:val="0"/>
        </w:rPr>
        <w:t xml:space="preserve"> and </w:t>
      </w:r>
      <w:r>
        <w:rPr>
          <w:rFonts w:ascii="DejaVu Sans Mono" w:hAnsi="DejaVu Sans Mono"/>
          <w:b w:val="0"/>
          <w:i w:val="0"/>
          <w:sz w:val="17"/>
        </w:rPr>
        <w:t>initial_soc_mwh</w:t>
      </w:r>
      <w:r>
        <w:rPr>
          <w:b w:val="0"/>
          <w:i w:val="0"/>
        </w:rPr>
        <w:t>, preserving their national totals.</w:t>
      </w:r>
    </w:p>
    <w:p>
      <w:pPr>
        <w:keepNext/>
      </w:pPr>
      <w:r>
        <w:rPr>
          <w:b w:val="0"/>
          <w:i w:val="0"/>
        </w:rPr>
        <w:t xml:space="preserve">The separate aggregation interface </w:t>
      </w:r>
      <w:r>
        <w:rPr>
          <w:rFonts w:ascii="DejaVu Sans Mono" w:hAnsi="DejaVu Sans Mono"/>
          <w:b w:val="0"/>
          <w:i w:val="0"/>
          <w:sz w:val="17"/>
        </w:rPr>
        <w:t>REPDERA5AggregatedWeather.build</w:t>
      </w:r>
      <w:r>
        <w:rPr>
          <w:b w:val="0"/>
          <w:i w:val="0"/>
        </w:rPr>
        <w:t xml:space="preserve"> combines precomputed project profiles within each owner–technology–zone group. For allocation records </w:t>
      </w:r>
      <w:r>
        <w:rPr>
          <w:rFonts w:ascii="DejaVu Sans Mono" w:hAnsi="DejaVu Sans Mono"/>
          <w:b w:val="0"/>
          <w:i w:val="0"/>
          <w:sz w:val="17"/>
        </w:rPr>
        <w:t>rows</w:t>
      </w:r>
      <w:r>
        <w:rPr>
          <w:b w:val="0"/>
          <w:i w:val="0"/>
        </w:rPr>
        <w:t xml:space="preserve">, </w:t>
      </w:r>
      <w:r>
        <w:rPr>
          <w:rFonts w:ascii="DejaVu Sans Mono" w:hAnsi="DejaVu Sans Mono"/>
          <w:b w:val="0"/>
          <w:i w:val="0"/>
          <w:sz w:val="17"/>
        </w:rPr>
        <w:t>total</w:t>
      </w:r>
      <w:r>
        <w:rPr>
          <w:b w:val="0"/>
          <w:i w:val="0"/>
        </w:rPr>
        <w:t xml:space="preserve"> is their summed </w:t>
      </w:r>
      <w:r>
        <w:rPr>
          <w:rFonts w:ascii="DejaVu Sans Mono" w:hAnsi="DejaVu Sans Mono"/>
          <w:b w:val="0"/>
          <w:i w:val="0"/>
          <w:sz w:val="17"/>
        </w:rPr>
        <w:t>capacity_mw</w:t>
      </w:r>
      <w:r>
        <w:rPr>
          <w:b w:val="0"/>
          <w:i w:val="0"/>
        </w:rPr>
        <w:t xml:space="preserve"> in MW. Each source curve becomes </w:t>
      </w:r>
      <w:r>
        <w:rPr>
          <w:rFonts w:ascii="DejaVu Sans Mono" w:hAnsi="DejaVu Sans Mono"/>
          <w:b w:val="0"/>
          <w:i w:val="0"/>
          <w:sz w:val="17"/>
        </w:rPr>
        <w:t>values</w:t>
      </w:r>
      <w:r>
        <w:rPr>
          <w:b w:val="0"/>
          <w:i w:val="0"/>
        </w:rPr>
        <w:t xml:space="preserve">, and the group curve </w:t>
      </w:r>
      <w:r>
        <w:rPr>
          <w:rFonts w:ascii="DejaVu Sans Mono" w:hAnsi="DejaVu Sans Mono"/>
          <w:b w:val="0"/>
          <w:i w:val="0"/>
          <w:sz w:val="17"/>
        </w:rPr>
        <w:t>weighted</w:t>
      </w:r>
      <w:r>
        <w:rPr>
          <w:b w:val="0"/>
          <w:i w:val="0"/>
        </w:rPr>
        <w:t xml:space="preserve"> is</w:t>
      </w:r>
    </w:p>
    <w:p>
      <w:pPr>
        <w:spacing w:after="160"/>
        <w:jc w:val="center"/>
      </w:pPr>
      <w:r>
        <w:drawing>
          <wp:inline xmlns:a="http://schemas.openxmlformats.org/drawingml/2006/main" xmlns:pic="http://schemas.openxmlformats.org/drawingml/2006/picture">
            <wp:extent cx="4298441" cy="845970"/>
            <wp:docPr id="28" name="Picture 28"/>
            <wp:cNvGraphicFramePr>
              <a:graphicFrameLocks noChangeAspect="1"/>
            </wp:cNvGraphicFramePr>
            <a:graphic>
              <a:graphicData uri="http://schemas.openxmlformats.org/drawingml/2006/picture">
                <pic:pic>
                  <pic:nvPicPr>
                    <pic:cNvPr id="0" name="eq-028.png"/>
                    <pic:cNvPicPr/>
                  </pic:nvPicPr>
                  <pic:blipFill>
                    <a:blip r:embed="rId38"/>
                    <a:stretch>
                      <a:fillRect/>
                    </a:stretch>
                  </pic:blipFill>
                  <pic:spPr>
                    <a:xfrm>
                      <a:off x="0" y="0"/>
                      <a:ext cx="4298441" cy="845970"/>
                    </a:xfrm>
                    <a:prstGeom prst="rect"/>
                  </pic:spPr>
                </pic:pic>
              </a:graphicData>
            </a:graphic>
          </wp:inline>
        </w:drawing>
      </w:r>
    </w:p>
    <w:p>
      <w:r>
        <w:rPr>
          <w:b w:val="0"/>
          <w:i w:val="0"/>
        </w:rPr>
        <w:t>The aggregation accepts equal-length finite profiles within [0,1] and positive total capacity. Its caller supplies the project profiles. The current zonal execution pathway copies the representative profile to each allocated portion of an asset.</w:t>
      </w:r>
    </w:p>
    <w:p>
      <w:pPr>
        <w:pStyle w:val="Heading2"/>
      </w:pPr>
      <w:r>
        <w:rPr>
          <w:b w:val="0"/>
          <w:i w:val="0"/>
        </w:rPr>
        <w:t>Annual wind and solar capacity limits</w:t>
      </w:r>
    </w:p>
    <w:p>
      <w:pPr>
        <w:keepNext/>
      </w:pPr>
      <w:r>
        <w:rPr>
          <w:b w:val="0"/>
          <w:i w:val="0"/>
        </w:rPr>
        <w:t xml:space="preserve">The general investment rule derives capacity headroom from peak demand and the peak of each technology's CSV profile. In </w:t>
      </w:r>
      <w:r>
        <w:rPr>
          <w:rFonts w:ascii="DejaVu Sans Mono" w:hAnsi="DejaVu Sans Mono"/>
          <w:b w:val="0"/>
          <w:i w:val="0"/>
          <w:sz w:val="17"/>
        </w:rPr>
        <w:t>canonical_psm_data</w:t>
      </w:r>
      <w:r>
        <w:rPr>
          <w:b w:val="0"/>
          <w:i w:val="0"/>
        </w:rPr>
        <w:t xml:space="preserve">, </w:t>
      </w:r>
      <w:r>
        <w:rPr>
          <w:rFonts w:ascii="DejaVu Sans Mono" w:hAnsi="DejaVu Sans Mono"/>
          <w:b w:val="0"/>
          <w:i w:val="0"/>
          <w:sz w:val="17"/>
        </w:rPr>
        <w:t>demand</w:t>
      </w:r>
      <w:r>
        <w:rPr>
          <w:b w:val="0"/>
          <w:i w:val="0"/>
        </w:rPr>
        <w:t xml:space="preserve"> is period energy in MWh, </w:t>
      </w:r>
      <w:r>
        <w:rPr>
          <w:rFonts w:ascii="DejaVu Sans Mono" w:hAnsi="DejaVu Sans Mono"/>
          <w:b w:val="0"/>
          <w:i w:val="0"/>
          <w:sz w:val="17"/>
        </w:rPr>
        <w:t>period_hours</w:t>
      </w:r>
      <w:r>
        <w:rPr>
          <w:b w:val="0"/>
          <w:i w:val="0"/>
        </w:rPr>
        <w:t xml:space="preserve"> is 0.5 h, </w:t>
      </w:r>
      <w:r>
        <w:rPr>
          <w:rFonts w:ascii="DejaVu Sans Mono" w:hAnsi="DejaVu Sans Mono"/>
          <w:b w:val="0"/>
          <w:i w:val="0"/>
          <w:sz w:val="17"/>
        </w:rPr>
        <w:t>availability</w:t>
      </w:r>
      <w:r>
        <w:rPr>
          <w:b w:val="0"/>
          <w:i w:val="0"/>
        </w:rPr>
        <w:t xml:space="preserve"> is the dimensionless technology profile and </w:t>
      </w:r>
      <w:r>
        <w:rPr>
          <w:rFonts w:ascii="DejaVu Sans Mono" w:hAnsi="DejaVu Sans Mono"/>
          <w:b w:val="0"/>
          <w:i w:val="0"/>
          <w:sz w:val="17"/>
        </w:rPr>
        <w:t>capacity_by_technology</w:t>
      </w:r>
      <w:r>
        <w:rPr>
          <w:b w:val="0"/>
          <w:i w:val="0"/>
        </w:rPr>
        <w:t xml:space="preserve"> is operating MW. The </w:t>
      </w:r>
      <w:r>
        <w:rPr>
          <w:rFonts w:ascii="DejaVu Sans Mono" w:hAnsi="DejaVu Sans Mono"/>
          <w:b w:val="0"/>
          <w:i w:val="0"/>
          <w:sz w:val="17"/>
        </w:rPr>
        <w:t>vre-expansion-cap</w:t>
      </w:r>
      <w:r>
        <w:rPr>
          <w:b w:val="0"/>
          <w:i w:val="0"/>
        </w:rPr>
        <w:t xml:space="preserve"> module multiplies the resulting </w:t>
      </w:r>
      <w:r>
        <w:rPr>
          <w:rFonts w:ascii="DejaVu Sans Mono" w:hAnsi="DejaVu Sans Mono"/>
          <w:b w:val="0"/>
          <w:i w:val="0"/>
          <w:sz w:val="17"/>
        </w:rPr>
        <w:t>headroom</w:t>
      </w:r>
      <w:r>
        <w:rPr>
          <w:b w:val="0"/>
          <w:i w:val="0"/>
        </w:rPr>
        <w:t xml:space="preserve"> by </w:t>
      </w:r>
      <w:r>
        <w:rPr>
          <w:rFonts w:ascii="DejaVu Sans Mono" w:hAnsi="DejaVu Sans Mono"/>
          <w:b w:val="0"/>
          <w:i w:val="0"/>
          <w:sz w:val="17"/>
        </w:rPr>
        <w:t>expansion.vre_​cap_​fraction</w:t>
      </w:r>
      <w:r>
        <w:rPr>
          <w:b w:val="0"/>
          <w:i w:val="0"/>
        </w:rPr>
        <w:t xml:space="preserve">, recorded as </w:t>
      </w:r>
      <w:r>
        <w:rPr>
          <w:rFonts w:ascii="DejaVu Sans Mono" w:hAnsi="DejaVu Sans Mono"/>
          <w:b w:val="0"/>
          <w:i w:val="0"/>
          <w:sz w:val="17"/>
        </w:rPr>
        <w:t>fraction</w:t>
      </w:r>
      <w:r>
        <w:rPr>
          <w:b w:val="0"/>
          <w:i w:val="0"/>
        </w:rPr>
        <w:t xml:space="preserve">, to obtain annual limits </w:t>
      </w:r>
      <w:r>
        <w:rPr>
          <w:rFonts w:ascii="DejaVu Sans Mono" w:hAnsi="DejaVu Sans Mono"/>
          <w:b w:val="0"/>
          <w:i w:val="0"/>
          <w:sz w:val="17"/>
        </w:rPr>
        <w:t>limits</w:t>
      </w:r>
      <w:r>
        <w:rPr>
          <w:b w:val="0"/>
          <w:i w:val="0"/>
        </w:rPr>
        <w:t xml:space="preserve"> in MW:</w:t>
      </w:r>
    </w:p>
    <w:p>
      <w:pPr>
        <w:spacing w:after="160"/>
        <w:jc w:val="center"/>
      </w:pPr>
      <w:r>
        <w:drawing>
          <wp:inline xmlns:a="http://schemas.openxmlformats.org/drawingml/2006/main" xmlns:pic="http://schemas.openxmlformats.org/drawingml/2006/picture">
            <wp:extent cx="5312968" cy="1415115"/>
            <wp:docPr id="29" name="Picture 29"/>
            <wp:cNvGraphicFramePr>
              <a:graphicFrameLocks noChangeAspect="1"/>
            </wp:cNvGraphicFramePr>
            <a:graphic>
              <a:graphicData uri="http://schemas.openxmlformats.org/drawingml/2006/picture">
                <pic:pic>
                  <pic:nvPicPr>
                    <pic:cNvPr id="0" name="eq-029.png"/>
                    <pic:cNvPicPr/>
                  </pic:nvPicPr>
                  <pic:blipFill>
                    <a:blip r:embed="rId39"/>
                    <a:stretch>
                      <a:fillRect/>
                    </a:stretch>
                  </pic:blipFill>
                  <pic:spPr>
                    <a:xfrm>
                      <a:off x="0" y="0"/>
                      <a:ext cx="5312968" cy="1415115"/>
                    </a:xfrm>
                    <a:prstGeom prst="rect"/>
                  </pic:spPr>
                </pic:pic>
              </a:graphicData>
            </a:graphic>
          </wp:inline>
        </w:drawing>
      </w:r>
    </w:p>
    <w:p>
      <w:r>
        <w:rPr>
          <w:b w:val="0"/>
          <w:i w:val="0"/>
        </w:rPr>
        <w:t xml:space="preserve">Technology-average investment profiles combine 2022 ERA5 data with fleet and project assumptions. The original solar </w:t>
      </w:r>
      <w:r>
        <w:rPr>
          <w:rFonts w:ascii="DejaVu Sans Mono" w:hAnsi="DejaVu Sans Mono"/>
          <w:b w:val="0"/>
          <w:i w:val="0"/>
          <w:sz w:val="17"/>
        </w:rPr>
        <w:t>sa.csv</w:t>
      </w:r>
      <w:r>
        <w:rPr>
          <w:b w:val="0"/>
          <w:i w:val="0"/>
        </w:rPr>
        <w:t xml:space="preserve"> has 8,761 rows, with a final zero at </w:t>
      </w:r>
      <w:r>
        <w:rPr>
          <w:rFonts w:ascii="DejaVu Sans Mono" w:hAnsi="DejaVu Sans Mono"/>
          <w:b w:val="0"/>
          <w:i w:val="0"/>
          <w:sz w:val="17"/>
        </w:rPr>
        <w:t>2023-01-01T00:00:00</w:t>
      </w:r>
      <w:r>
        <w:rPr>
          <w:b w:val="0"/>
          <w:i w:val="0"/>
        </w:rPr>
        <w:t xml:space="preserve">; onshore </w:t>
      </w:r>
      <w:r>
        <w:rPr>
          <w:rFonts w:ascii="DejaVu Sans Mono" w:hAnsi="DejaVu Sans Mono"/>
          <w:b w:val="0"/>
          <w:i w:val="0"/>
          <w:sz w:val="17"/>
        </w:rPr>
        <w:t>wa.csv</w:t>
      </w:r>
      <w:r>
        <w:rPr>
          <w:b w:val="0"/>
          <w:i w:val="0"/>
        </w:rPr>
        <w:t xml:space="preserve"> and offshore </w:t>
      </w:r>
      <w:r>
        <w:rPr>
          <w:rFonts w:ascii="DejaVu Sans Mono" w:hAnsi="DejaVu Sans Mono"/>
          <w:b w:val="0"/>
          <w:i w:val="0"/>
          <w:sz w:val="17"/>
        </w:rPr>
        <w:t>we.csv</w:t>
      </w:r>
      <w:r>
        <w:rPr>
          <w:b w:val="0"/>
          <w:i w:val="0"/>
        </w:rPr>
        <w:t xml:space="preserve"> each have 8,760 rows. Public2 removes the final solar row and declares </w:t>
      </w:r>
      <w:r>
        <w:rPr>
          <w:rFonts w:ascii="DejaVu Sans Mono" w:hAnsi="DejaVu Sans Mono"/>
          <w:b w:val="0"/>
          <w:i w:val="0"/>
          <w:sz w:val="17"/>
        </w:rPr>
        <w:t>interval_minutes=60</w:t>
      </w:r>
      <w:r>
        <w:rPr>
          <w:b w:val="0"/>
          <w:i w:val="0"/>
        </w:rPr>
        <w:t>. Repeating each remaining value for two half-hours preserves the values formerly obtained by annual truncation. The investment reader retains the CSV row order and ERA5 interval-end timestamps; these profiles supply the investment calculation directly, while dispatch uses the weather-clock, loss and solar-plane transformations above.</w:t>
      </w:r>
    </w:p>
    <w:p>
      <w:r>
        <w:rPr>
          <w:b w:val="0"/>
          <w:i w:val="0"/>
        </w:rPr>
        <w:t xml:space="preserve">For a peak demand of 1,000 MW, </w:t>
      </w:r>
      <w:r>
        <w:rPr>
          <w:rFonts w:ascii="DejaVu Sans Mono" w:hAnsi="DejaVu Sans Mono"/>
          <w:b w:val="0"/>
          <w:i w:val="0"/>
          <w:sz w:val="17"/>
        </w:rPr>
        <w:t>peak = 0.8</w:t>
      </w:r>
      <w:r>
        <w:rPr>
          <w:b w:val="0"/>
          <w:i w:val="0"/>
        </w:rPr>
        <w:t xml:space="preserve"> and operating capacity of 300 MW, </w:t>
      </w:r>
      <w:r>
        <w:rPr>
          <w:rFonts w:ascii="DejaVu Sans Mono" w:hAnsi="DejaVu Sans Mono"/>
          <w:b w:val="0"/>
          <w:i w:val="0"/>
          <w:sz w:val="17"/>
        </w:rPr>
        <w:t>headroom</w:t>
      </w:r>
      <w:r>
        <w:rPr>
          <w:b w:val="0"/>
          <w:i w:val="0"/>
        </w:rPr>
        <w:t xml:space="preserve"> is 950 MW and the annual limit is 190 MW. A zero profile peak uses the denominator floor 0.000000000001.</w:t>
      </w:r>
    </w:p>
    <w:p>
      <w:r>
        <w:rPr>
          <w:b w:val="0"/>
          <w:i w:val="0"/>
        </w:rPr>
        <w:t xml:space="preserve">The experimental function </w:t>
      </w:r>
      <w:r>
        <w:rPr>
          <w:rFonts w:ascii="DejaVu Sans Mono" w:hAnsi="DejaVu Sans Mono"/>
          <w:b w:val="0"/>
          <w:i w:val="0"/>
          <w:sz w:val="17"/>
        </w:rPr>
        <w:t>thesis96_​vre_​annual_​expansion_​cap</w:t>
      </w:r>
      <w:r>
        <w:rPr>
          <w:b w:val="0"/>
          <w:i w:val="0"/>
        </w:rPr>
        <w:t xml:space="preserve"> sets an annual addition limit from the number of negative net-demand periods. It takes three full-year inputs: </w:t>
      </w:r>
      <w:r>
        <w:rPr>
          <w:rFonts w:ascii="DejaVu Sans Mono" w:hAnsi="DejaVu Sans Mono"/>
          <w:b w:val="0"/>
          <w:i w:val="0"/>
          <w:sz w:val="17"/>
        </w:rPr>
        <w:t>demand_mwh</w:t>
      </w:r>
      <w:r>
        <w:rPr>
          <w:b w:val="0"/>
          <w:i w:val="0"/>
        </w:rPr>
        <w:t xml:space="preserve">, actual demand energy per period; </w:t>
      </w:r>
      <w:r>
        <w:rPr>
          <w:rFonts w:ascii="DejaVu Sans Mono" w:hAnsi="DejaVu Sans Mono"/>
          <w:b w:val="0"/>
          <w:i w:val="0"/>
          <w:sz w:val="17"/>
        </w:rPr>
        <w:t>operational_​vre_​available_​mwh</w:t>
      </w:r>
      <w:r>
        <w:rPr>
          <w:b w:val="0"/>
          <w:i w:val="0"/>
        </w:rPr>
        <w:t xml:space="preserve">, the physical available energy of all operating wind and solar assets; and </w:t>
      </w:r>
      <w:r>
        <w:rPr>
          <w:rFonts w:ascii="DejaVu Sans Mono" w:hAnsi="DejaVu Sans Mono"/>
          <w:b w:val="0"/>
          <w:i w:val="0"/>
          <w:sz w:val="17"/>
        </w:rPr>
        <w:t>generation_per_mw_mwh</w:t>
      </w:r>
      <w:r>
        <w:rPr>
          <w:b w:val="0"/>
          <w:i w:val="0"/>
        </w:rPr>
        <w:t>, available energy per MW of the technology being expanded. The first two are in MWh/period and the third in MWh/MW/period. The technology curve is the available energy of its operating assets divided by their total MW; zero technology capacity gives a zero curve.</w:t>
      </w:r>
    </w:p>
    <w:p>
      <w:r>
        <w:rPr>
          <w:b w:val="0"/>
          <w:i w:val="0"/>
        </w:rPr>
        <w:t xml:space="preserve">The function subtracts available renewable energy from demand as </w:t>
      </w:r>
      <w:r>
        <w:rPr>
          <w:rFonts w:ascii="DejaVu Sans Mono" w:hAnsi="DejaVu Sans Mono"/>
          <w:b w:val="0"/>
          <w:i w:val="0"/>
          <w:sz w:val="17"/>
        </w:rPr>
        <w:t>net</w:t>
      </w:r>
      <w:r>
        <w:rPr>
          <w:b w:val="0"/>
          <w:i w:val="0"/>
        </w:rPr>
        <w:t xml:space="preserve"> and counts </w:t>
      </w:r>
      <w:r>
        <w:rPr>
          <w:rFonts w:ascii="DejaVu Sans Mono" w:hAnsi="DejaVu Sans Mono"/>
          <w:b w:val="0"/>
          <w:i w:val="0"/>
          <w:sz w:val="17"/>
        </w:rPr>
        <w:t>already_negative</w:t>
      </w:r>
      <w:r>
        <w:rPr>
          <w:b w:val="0"/>
          <w:i w:val="0"/>
        </w:rPr>
        <w:t xml:space="preserve">, the periods with </w:t>
      </w:r>
      <w:r>
        <w:rPr>
          <w:rFonts w:ascii="DejaVu Sans Mono" w:hAnsi="DejaVu Sans Mono"/>
          <w:b w:val="0"/>
          <w:i w:val="0"/>
          <w:sz w:val="17"/>
        </w:rPr>
        <w:t>net &lt; 0</w:t>
      </w:r>
      <w:r>
        <w:rPr>
          <w:b w:val="0"/>
          <w:i w:val="0"/>
        </w:rPr>
        <w:t xml:space="preserve">. The default </w:t>
      </w:r>
      <w:r>
        <w:rPr>
          <w:rFonts w:ascii="DejaVu Sans Mono" w:hAnsi="DejaVu Sans Mono"/>
          <w:b w:val="0"/>
          <w:i w:val="0"/>
          <w:sz w:val="17"/>
        </w:rPr>
        <w:t>negative_threshold = 200</w:t>
      </w:r>
      <w:r>
        <w:rPr>
          <w:b w:val="0"/>
          <w:i w:val="0"/>
        </w:rPr>
        <w:t xml:space="preserve"> half-hours represents 100 hours. Reaching this count gives an addition limit of zero; otherwise each eligible period contributes a capacity transition </w:t>
      </w:r>
      <w:r>
        <w:rPr>
          <w:rFonts w:ascii="DejaVu Sans Mono" w:hAnsi="DejaVu Sans Mono"/>
          <w:b w:val="0"/>
          <w:i w:val="0"/>
          <w:sz w:val="17"/>
        </w:rPr>
        <w:t>net / profile</w:t>
      </w:r>
      <w:r>
        <w:rPr>
          <w:b w:val="0"/>
          <w:i w:val="0"/>
        </w:rPr>
        <w:t xml:space="preserve">, where </w:t>
      </w:r>
      <w:r>
        <w:rPr>
          <w:rFonts w:ascii="DejaVu Sans Mono" w:hAnsi="DejaVu Sans Mono"/>
          <w:b w:val="0"/>
          <w:i w:val="0"/>
          <w:sz w:val="17"/>
        </w:rPr>
        <w:t>profile</w:t>
      </w:r>
      <w:r>
        <w:rPr>
          <w:b w:val="0"/>
          <w:i w:val="0"/>
        </w:rPr>
        <w:t xml:space="preserve"> is the supplied </w:t>
      </w:r>
      <w:r>
        <w:rPr>
          <w:rFonts w:ascii="DejaVu Sans Mono" w:hAnsi="DejaVu Sans Mono"/>
          <w:b w:val="0"/>
          <w:i w:val="0"/>
          <w:sz w:val="17"/>
        </w:rPr>
        <w:t>generation_per_mw_mwh</w:t>
      </w:r>
      <w:r>
        <w:rPr>
          <w:b w:val="0"/>
          <w:i w:val="0"/>
        </w:rPr>
        <w:t xml:space="preserve">. The algorithm selects the required order statistic and multiplies it by </w:t>
      </w:r>
      <w:r>
        <w:rPr>
          <w:rFonts w:ascii="DejaVu Sans Mono" w:hAnsi="DejaVu Sans Mono"/>
          <w:b w:val="0"/>
          <w:i w:val="0"/>
          <w:sz w:val="17"/>
        </w:rPr>
        <w:t>cap_fraction = 0.20</w:t>
      </w:r>
      <w:r>
        <w:rPr>
          <w:b w:val="0"/>
          <w:i w:val="0"/>
        </w:rPr>
        <w:t>:</w:t>
      </w:r>
    </w:p>
    <w:p>
      <w:pPr>
        <w:keepLines/>
        <w:spacing w:line="276" w:lineRule="auto" w:after="160"/>
      </w:pPr>
      <w:r>
        <w:rPr>
          <w:rFonts w:ascii="DejaVu Sans Mono" w:hAnsi="DejaVu Sans Mono"/>
          <w:b w:val="0"/>
          <w:i w:val="0"/>
          <w:sz w:val="17"/>
        </w:rPr>
        <w:t>demand = demand_mwh</w:t>
        <w:br/>
        <w:t>available = operational_​vre_​available_​mwh</w:t>
        <w:br/>
        <w:t>profile = generation_per_mw_mwh</w:t>
        <w:br/>
        <w:t>net = demand - available</w:t>
        <w:br/>
        <w:t>already_negative = count_nonzero(net &lt; 0)</w:t>
        <w:br/>
        <w:t>if already_negative &gt;= negative_threshold:</w:t>
        <w:br/>
        <w:t xml:space="preserve">    return 0.0</w:t>
        <w:br/>
        <w:t>transitions = net[(net &gt;= 0) &amp; (profile &gt; 0)] / profile[(net &gt;= 0) &amp; (profile &gt; 0)]</w:t>
        <w:br/>
        <w:t>needed = negative_threshold - already_negative</w:t>
        <w:br/>
        <w:t>if len(transitions) &lt; needed:</w:t>
        <w:br/>
        <w:t xml:space="preserve">    return 0.0</w:t>
        <w:br/>
        <w:t>critical = partition(transitions, needed - 1)[needed - 1]</w:t>
        <w:br/>
        <w:t>return cap_fraction * critical</w:t>
        <w:br/>
      </w:r>
    </w:p>
    <w:p>
      <w:r>
        <w:rPr>
          <w:rFonts w:ascii="DejaVu Sans Mono" w:hAnsi="DejaVu Sans Mono"/>
          <w:b w:val="0"/>
          <w:i w:val="0"/>
          <w:sz w:val="17"/>
        </w:rPr>
        <w:t>critical</w:t>
      </w:r>
      <w:r>
        <w:rPr>
          <w:b w:val="0"/>
          <w:i w:val="0"/>
        </w:rPr>
        <w:t xml:space="preserve"> is the </w:t>
      </w:r>
      <w:r>
        <w:rPr>
          <w:rFonts w:ascii="DejaVu Sans Mono" w:hAnsi="DejaVu Sans Mono"/>
          <w:b w:val="0"/>
          <w:i w:val="0"/>
          <w:sz w:val="17"/>
        </w:rPr>
        <w:t>needed</w:t>
      </w:r>
      <w:r>
        <w:rPr>
          <w:b w:val="0"/>
          <w:i w:val="0"/>
        </w:rPr>
        <w:t>-th smallest transition in MW. At a transition, the corresponding net demand equals zero; a larger addition makes it negative. A shortage of eligible transitions gives zero under this function's convention. The R029 public2 package published with VALUE 0.7.0-alpha.1 supplies demand, assets and weather for constructing these inputs. Chapter 6 specifies the experimental pathway's execution coverage.</w:t>
      </w:r>
    </w:p>
    <w:p>
      <w:pPr>
        <w:pStyle w:val="Heading2"/>
      </w:pPr>
      <w:r>
        <w:rPr>
          <w:b w:val="0"/>
          <w:i w:val="0"/>
        </w:rPr>
        <w:t>Data and implementation</w:t>
      </w:r>
    </w:p>
    <w:p>
      <w:r>
        <w:rPr>
          <w:rFonts w:ascii="DejaVu Sans Mono" w:hAnsi="DejaVu Sans Mono"/>
          <w:b w:val="0"/>
          <w:i w:val="0"/>
          <w:sz w:val="17"/>
        </w:rPr>
        <w:t>calendar_​mean_​solar_​2020_​2024.nc</w:t>
      </w:r>
      <w:r>
        <w:rPr>
          <w:b w:val="0"/>
          <w:i w:val="0"/>
        </w:rPr>
        <w:t xml:space="preserve"> and </w:t>
      </w:r>
      <w:r>
        <w:rPr>
          <w:rFonts w:ascii="DejaVu Sans Mono" w:hAnsi="DejaVu Sans Mono"/>
          <w:b w:val="0"/>
          <w:i w:val="0"/>
          <w:sz w:val="17"/>
        </w:rPr>
        <w:t>calendar_​mean_​wind_​2020_​2024.nc</w:t>
      </w:r>
      <w:r>
        <w:rPr>
          <w:b w:val="0"/>
          <w:i w:val="0"/>
        </w:rPr>
        <w:t xml:space="preserve"> provide the R029 calendar climatology. </w:t>
      </w:r>
      <w:r>
        <w:rPr>
          <w:rFonts w:ascii="DejaVu Sans Mono" w:hAnsi="DejaVu Sans Mono"/>
          <w:b w:val="0"/>
          <w:i w:val="0"/>
          <w:sz w:val="17"/>
        </w:rPr>
        <w:t>site_weather</w:t>
      </w:r>
      <w:r>
        <w:rPr>
          <w:b w:val="0"/>
          <w:i w:val="0"/>
        </w:rPr>
        <w:t xml:space="preserve"> reads representative-point series and applies the selected clock and conversion; </w:t>
      </w:r>
      <w:r>
        <w:rPr>
          <w:rFonts w:ascii="DejaVu Sans Mono" w:hAnsi="DejaVu Sans Mono"/>
          <w:b w:val="0"/>
          <w:i w:val="0"/>
          <w:sz w:val="17"/>
        </w:rPr>
        <w:t>solar_irradiance</w:t>
      </w:r>
      <w:r>
        <w:rPr>
          <w:b w:val="0"/>
          <w:i w:val="0"/>
        </w:rPr>
        <w:t xml:space="preserve"> calculates array-plane radiation. </w:t>
      </w:r>
      <w:r>
        <w:rPr>
          <w:rFonts w:ascii="DejaVu Sans Mono" w:hAnsi="DejaVu Sans Mono"/>
          <w:b w:val="0"/>
          <w:i w:val="0"/>
          <w:sz w:val="17"/>
        </w:rPr>
        <w:t>value_​uk_​vre_​loss_​factors_​v1.json</w:t>
      </w:r>
      <w:r>
        <w:rPr>
          <w:b w:val="0"/>
          <w:i w:val="0"/>
        </w:rPr>
        <w:t xml:space="preserve"> supplies conversion parameters, and </w:t>
      </w:r>
      <w:r>
        <w:rPr>
          <w:rFonts w:ascii="DejaVu Sans Mono" w:hAnsi="DejaVu Sans Mono"/>
          <w:b w:val="0"/>
          <w:i w:val="0"/>
          <w:sz w:val="17"/>
        </w:rPr>
        <w:t>value_​uk_​vre_​cf_​disclosure_​v1.json</w:t>
      </w:r>
      <w:r>
        <w:rPr>
          <w:b w:val="0"/>
          <w:i w:val="0"/>
        </w:rPr>
        <w:t xml:space="preserve"> records the load-factor comparison. </w:t>
      </w:r>
      <w:r>
        <w:rPr>
          <w:rFonts w:ascii="DejaVu Sans Mono" w:hAnsi="DejaVu Sans Mono"/>
          <w:b w:val="0"/>
          <w:i w:val="0"/>
          <w:sz w:val="17"/>
        </w:rPr>
        <w:t>doctoral_weather</w:t>
      </w:r>
      <w:r>
        <w:rPr>
          <w:b w:val="0"/>
          <w:i w:val="0"/>
        </w:rPr>
        <w:t xml:space="preserve"> provides the frozen conversion for the experimental pathway, while </w:t>
      </w:r>
      <w:r>
        <w:rPr>
          <w:rFonts w:ascii="DejaVu Sans Mono" w:hAnsi="DejaVu Sans Mono"/>
          <w:b w:val="0"/>
          <w:i w:val="0"/>
          <w:sz w:val="17"/>
        </w:rPr>
        <w:t>doctoral_​weather_​mapping</w:t>
      </w:r>
      <w:r>
        <w:rPr>
          <w:b w:val="0"/>
          <w:i w:val="0"/>
        </w:rPr>
        <w:t xml:space="preserve"> manages locations and mixed weather weights.</w:t>
      </w:r>
    </w:p>
    <w:p>
      <w:r>
        <w:rPr>
          <w:rFonts w:ascii="DejaVu Sans Mono" w:hAnsi="DejaVu Sans Mono"/>
          <w:b w:val="0"/>
          <w:i w:val="0"/>
          <w:sz w:val="17"/>
        </w:rPr>
        <w:t>scheme_c_native_psm</w:t>
      </w:r>
      <w:r>
        <w:rPr>
          <w:b w:val="0"/>
          <w:i w:val="0"/>
        </w:rPr>
        <w:t xml:space="preserve"> aggregates capacity into national market agents, and </w:t>
      </w:r>
      <w:r>
        <w:rPr>
          <w:rFonts w:ascii="DejaVu Sans Mono" w:hAnsi="DejaVu Sans Mono"/>
          <w:b w:val="0"/>
          <w:i w:val="0"/>
          <w:sz w:val="17"/>
        </w:rPr>
        <w:t>staged_psm</w:t>
      </w:r>
      <w:r>
        <w:rPr>
          <w:b w:val="0"/>
          <w:i w:val="0"/>
        </w:rPr>
        <w:t xml:space="preserve"> divides capacity among zones. Annual limits use the general peak rule in </w:t>
      </w:r>
      <w:r>
        <w:rPr>
          <w:rFonts w:ascii="DejaVu Sans Mono" w:hAnsi="DejaVu Sans Mono"/>
          <w:b w:val="0"/>
          <w:i w:val="0"/>
          <w:sz w:val="17"/>
        </w:rPr>
        <w:t>canonical_psm_data</w:t>
      </w:r>
      <w:r>
        <w:rPr>
          <w:b w:val="0"/>
          <w:i w:val="0"/>
        </w:rPr>
        <w:t xml:space="preserve"> and </w:t>
      </w:r>
      <w:r>
        <w:rPr>
          <w:rFonts w:ascii="DejaVu Sans Mono" w:hAnsi="DejaVu Sans Mono"/>
          <w:b w:val="0"/>
          <w:i w:val="0"/>
          <w:sz w:val="17"/>
        </w:rPr>
        <w:t>v2_module_definitions</w:t>
      </w:r>
      <w:r>
        <w:rPr>
          <w:b w:val="0"/>
          <w:i w:val="0"/>
        </w:rPr>
        <w:t xml:space="preserve">. The experimental net-demand threshold function </w:t>
      </w:r>
      <w:r>
        <w:rPr>
          <w:rFonts w:ascii="DejaVu Sans Mono" w:hAnsi="DejaVu Sans Mono"/>
          <w:b w:val="0"/>
          <w:i w:val="0"/>
          <w:sz w:val="17"/>
        </w:rPr>
        <w:t>thesis96_​vre_​annual_​expansion_​cap</w:t>
      </w:r>
      <w:r>
        <w:rPr>
          <w:b w:val="0"/>
          <w:i w:val="0"/>
        </w:rPr>
        <w:t xml:space="preserve"> is defined in </w:t>
      </w:r>
      <w:r>
        <w:rPr>
          <w:rFonts w:ascii="DejaVu Sans Mono" w:hAnsi="DejaVu Sans Mono"/>
          <w:b w:val="0"/>
          <w:i w:val="0"/>
          <w:sz w:val="17"/>
        </w:rPr>
        <w:t>doctoral_policy</w:t>
      </w:r>
      <w:r>
        <w:rPr>
          <w:b w:val="0"/>
          <w:i w:val="0"/>
        </w:rPr>
        <w:t>.</w:t>
      </w:r>
    </w:p>
    <w:p>
      <w:pPr>
        <w:pStyle w:val="Heading1"/>
      </w:pPr>
      <w:r>
        <w:rPr>
          <w:b w:val="0"/>
          <w:i w:val="0"/>
        </w:rPr>
        <w:t>4 Operation and annual feedback</w:t>
      </w:r>
    </w:p>
    <w:p>
      <w:r>
        <w:rPr>
          <w:b w:val="0"/>
          <w:i w:val="0"/>
        </w:rPr>
        <w:t>VALUE links half-hourly dispatch to annual investment. Projects due for commissioning enter the operating portfolio at the start of a year; their operation generates the income used for year-end additions and retirements. This chapter defines staged dispatch, storage pricing, investment and system accounts. Chapter 5 describes the default national PSM, and Chapter 6 describes the experimental national accounts.</w:t>
      </w:r>
    </w:p>
    <w:p>
      <w:pPr>
        <w:pStyle w:val="Heading2"/>
      </w:pPr>
      <w:r>
        <w:rPr>
          <w:b w:val="0"/>
          <w:i w:val="0"/>
        </w:rPr>
        <w:t>Model clock and annual state</w:t>
      </w:r>
    </w:p>
    <w:p>
      <w:pPr>
        <w:keepNext/>
      </w:pPr>
      <w:r>
        <w:rPr>
          <w:b w:val="0"/>
          <w:i w:val="0"/>
        </w:rPr>
        <w:t xml:space="preserve">A model year contains 365 days and 17,520 half-hour periods in UTC. </w:t>
      </w:r>
      <w:r>
        <w:rPr>
          <w:rFonts w:ascii="DejaVu Sans Mono" w:hAnsi="DejaVu Sans Mono"/>
          <w:b w:val="0"/>
          <w:i w:val="0"/>
          <w:sz w:val="17"/>
        </w:rPr>
        <w:t>period_start_utc</w:t>
      </w:r>
      <w:r>
        <w:rPr>
          <w:b w:val="0"/>
          <w:i w:val="0"/>
        </w:rPr>
        <w:t xml:space="preserve"> takes the zero-based </w:t>
      </w:r>
      <w:r>
        <w:rPr>
          <w:rFonts w:ascii="DejaVu Sans Mono" w:hAnsi="DejaVu Sans Mono"/>
          <w:b w:val="0"/>
          <w:i w:val="0"/>
          <w:sz w:val="17"/>
        </w:rPr>
        <w:t>period</w:t>
      </w:r>
      <w:r>
        <w:rPr>
          <w:b w:val="0"/>
          <w:i w:val="0"/>
        </w:rPr>
        <w:t xml:space="preserve">, divides it into </w:t>
      </w:r>
      <w:r>
        <w:rPr>
          <w:rFonts w:ascii="DejaVu Sans Mono" w:hAnsi="DejaVu Sans Mono"/>
          <w:b w:val="0"/>
          <w:i w:val="0"/>
          <w:sz w:val="17"/>
        </w:rPr>
        <w:t>day_index</w:t>
      </w:r>
      <w:r>
        <w:rPr>
          <w:b w:val="0"/>
          <w:i w:val="0"/>
        </w:rPr>
        <w:t xml:space="preserve"> and within-day </w:t>
      </w:r>
      <w:r>
        <w:rPr>
          <w:rFonts w:ascii="DejaVu Sans Mono" w:hAnsi="DejaVu Sans Mono"/>
          <w:b w:val="0"/>
          <w:i w:val="0"/>
          <w:sz w:val="17"/>
        </w:rPr>
        <w:t>offset</w:t>
      </w:r>
      <w:r>
        <w:rPr>
          <w:b w:val="0"/>
          <w:i w:val="0"/>
        </w:rPr>
        <w:t xml:space="preserve">, and adds </w:t>
      </w:r>
      <w:r>
        <w:rPr>
          <w:rFonts w:ascii="DejaVu Sans Mono" w:hAnsi="DejaVu Sans Mono"/>
          <w:b w:val="0"/>
          <w:i w:val="0"/>
          <w:sz w:val="17"/>
        </w:rPr>
        <w:t>offset×period_hours</w:t>
      </w:r>
      <w:r>
        <w:rPr>
          <w:b w:val="0"/>
          <w:i w:val="0"/>
        </w:rPr>
        <w:t xml:space="preserve"> hours to the date returned by </w:t>
      </w:r>
      <w:r>
        <w:rPr>
          <w:rFonts w:ascii="DejaVu Sans Mono" w:hAnsi="DejaVu Sans Mono"/>
          <w:b w:val="0"/>
          <w:i w:val="0"/>
          <w:sz w:val="17"/>
        </w:rPr>
        <w:t>model_day</w:t>
      </w:r>
      <w:r>
        <w:rPr>
          <w:b w:val="0"/>
          <w:i w:val="0"/>
        </w:rPr>
        <w:t xml:space="preserve">. With </w:t>
      </w:r>
      <w:r>
        <w:rPr>
          <w:rFonts w:ascii="DejaVu Sans Mono" w:hAnsi="DejaVu Sans Mono"/>
          <w:b w:val="0"/>
          <w:i w:val="0"/>
          <w:sz w:val="17"/>
        </w:rPr>
        <w:t>period_hours=0.5</w:t>
      </w:r>
      <w:r>
        <w:rPr>
          <w:b w:val="0"/>
          <w:i w:val="0"/>
        </w:rPr>
        <w:t>, the calculation is:</w:t>
      </w:r>
    </w:p>
    <w:p>
      <w:pPr>
        <w:spacing w:after="160"/>
        <w:jc w:val="center"/>
      </w:pPr>
      <w:r>
        <w:drawing>
          <wp:inline xmlns:a="http://schemas.openxmlformats.org/drawingml/2006/main" xmlns:pic="http://schemas.openxmlformats.org/drawingml/2006/picture">
            <wp:extent cx="4243654" cy="413848"/>
            <wp:docPr id="30" name="Picture 30"/>
            <wp:cNvGraphicFramePr>
              <a:graphicFrameLocks noChangeAspect="1"/>
            </wp:cNvGraphicFramePr>
            <a:graphic>
              <a:graphicData uri="http://schemas.openxmlformats.org/drawingml/2006/picture">
                <pic:pic>
                  <pic:nvPicPr>
                    <pic:cNvPr id="0" name="eq-030.png"/>
                    <pic:cNvPicPr/>
                  </pic:nvPicPr>
                  <pic:blipFill>
                    <a:blip r:embed="rId40"/>
                    <a:stretch>
                      <a:fillRect/>
                    </a:stretch>
                  </pic:blipFill>
                  <pic:spPr>
                    <a:xfrm>
                      <a:off x="0" y="0"/>
                      <a:ext cx="4243654" cy="413848"/>
                    </a:xfrm>
                    <a:prstGeom prst="rect"/>
                  </pic:spPr>
                </pic:pic>
              </a:graphicData>
            </a:graphic>
          </wp:inline>
        </w:drawing>
      </w:r>
    </w:p>
    <w:p>
      <w:r>
        <w:rPr>
          <w:rFonts w:ascii="DejaVu Sans Mono" w:hAnsi="DejaVu Sans Mono"/>
          <w:b w:val="0"/>
          <w:i w:val="0"/>
          <w:sz w:val="17"/>
        </w:rPr>
        <w:t>model_day</w:t>
      </w:r>
      <w:r>
        <w:rPr>
          <w:b w:val="0"/>
          <w:i w:val="0"/>
        </w:rPr>
        <w:t xml:space="preserve"> skips 29 February. Source series are aligned to this clock before dispatch; records declared as Europe/London are converted to UTC row by row. Output timestamps use ISO 8601 with </w:t>
      </w:r>
      <w:r>
        <w:rPr>
          <w:rFonts w:ascii="DejaVu Sans Mono" w:hAnsi="DejaVu Sans Mono"/>
          <w:b w:val="0"/>
          <w:i w:val="0"/>
          <w:sz w:val="17"/>
        </w:rPr>
        <w:t>Z</w:t>
      </w:r>
      <w:r>
        <w:rPr>
          <w:b w:val="0"/>
          <w:i w:val="0"/>
        </w:rPr>
        <w:t>. Period energy is measured in MWh, rated power in MW and inventory in MWh. Formulas and pseudocode below retain the names used by the corresponding functions and fields.</w:t>
      </w:r>
    </w:p>
    <w:p>
      <w:r>
        <w:rPr>
          <w:b w:val="0"/>
          <w:i w:val="0"/>
        </w:rPr>
        <w:t xml:space="preserve">The annual state carries operating assets, uncommissioned projects, storage-pricing observations and cumulative financial quantities. In the annual orchestrator, </w:t>
      </w:r>
      <w:r>
        <w:rPr>
          <w:rFonts w:ascii="DejaVu Sans Mono" w:hAnsi="DejaVu Sans Mono"/>
          <w:b w:val="0"/>
          <w:i w:val="0"/>
          <w:sz w:val="17"/>
        </w:rPr>
        <w:t>planning.advance_year</w:t>
      </w:r>
      <w:r>
        <w:rPr>
          <w:b w:val="0"/>
          <w:i w:val="0"/>
        </w:rPr>
        <w:t xml:space="preserve"> commissions due projects, </w:t>
      </w:r>
      <w:r>
        <w:rPr>
          <w:rFonts w:ascii="DejaVu Sans Mono" w:hAnsi="DejaVu Sans Mono"/>
          <w:b w:val="0"/>
          <w:i w:val="0"/>
          <w:sz w:val="17"/>
        </w:rPr>
        <w:t>psm_input_factory</w:t>
      </w:r>
      <w:r>
        <w:rPr>
          <w:b w:val="0"/>
          <w:i w:val="0"/>
        </w:rPr>
        <w:t xml:space="preserve"> assembles the year’s demand and availability, and </w:t>
      </w:r>
      <w:r>
        <w:rPr>
          <w:rFonts w:ascii="DejaVu Sans Mono" w:hAnsi="DejaVu Sans Mono"/>
          <w:b w:val="0"/>
          <w:i w:val="0"/>
          <w:sz w:val="17"/>
        </w:rPr>
        <w:t>psm.run</w:t>
      </w:r>
      <w:r>
        <w:rPr>
          <w:b w:val="0"/>
          <w:i w:val="0"/>
        </w:rPr>
        <w:t xml:space="preserve"> returns dispatch and income. Each expansion policy then evaluates annual capacity limits; </w:t>
      </w:r>
      <w:r>
        <w:rPr>
          <w:rFonts w:ascii="DejaVu Sans Mono" w:hAnsi="DejaVu Sans Mono"/>
          <w:b w:val="0"/>
          <w:i w:val="0"/>
          <w:sz w:val="17"/>
        </w:rPr>
        <w:t>investment.decide</w:t>
      </w:r>
      <w:r>
        <w:rPr>
          <w:b w:val="0"/>
          <w:i w:val="0"/>
        </w:rPr>
        <w:t xml:space="preserve"> creates investment decisions and </w:t>
      </w:r>
      <w:r>
        <w:rPr>
          <w:rFonts w:ascii="DejaVu Sans Mono" w:hAnsi="DejaVu Sans Mono"/>
          <w:b w:val="0"/>
          <w:i w:val="0"/>
          <w:sz w:val="17"/>
        </w:rPr>
        <w:t>planning.admit_projects</w:t>
      </w:r>
      <w:r>
        <w:rPr>
          <w:b w:val="0"/>
          <w:i w:val="0"/>
        </w:rPr>
        <w:t xml:space="preserve"> applies the declared success mode. </w:t>
      </w:r>
      <w:r>
        <w:rPr>
          <w:rFonts w:ascii="DejaVu Sans Mono" w:hAnsi="DejaVu Sans Mono"/>
          <w:b w:val="0"/>
          <w:i w:val="0"/>
          <w:sz w:val="17"/>
        </w:rPr>
        <w:t>transition.apply</w:t>
      </w:r>
      <w:r>
        <w:rPr>
          <w:b w:val="0"/>
          <w:i w:val="0"/>
        </w:rPr>
        <w:t xml:space="preserve"> constructs the following year’s state.</w:t>
      </w:r>
    </w:p>
    <w:p>
      <w:r>
        <w:rPr>
          <w:b w:val="0"/>
          <w:i w:val="0"/>
        </w:rPr>
        <w:t xml:space="preserve">The main annual calls use the same data objects throughout. Before transition, </w:t>
      </w:r>
      <w:r>
        <w:rPr>
          <w:rFonts w:ascii="DejaVu Sans Mono" w:hAnsi="DejaVu Sans Mono"/>
          <w:b w:val="0"/>
          <w:i w:val="0"/>
          <w:sz w:val="17"/>
        </w:rPr>
        <w:t>transition_state</w:t>
      </w:r>
      <w:r>
        <w:rPr>
          <w:b w:val="0"/>
          <w:i w:val="0"/>
        </w:rPr>
        <w:t xml:space="preserve"> contains the operating assets, remaining active projects, cumulative metrics and annual observations:</w:t>
      </w:r>
    </w:p>
    <w:p>
      <w:pPr>
        <w:keepLines/>
        <w:spacing w:line="276" w:lineRule="auto" w:after="160"/>
      </w:pPr>
      <w:r>
        <w:rPr>
          <w:rFonts w:ascii="DejaVu Sans Mono" w:hAnsi="DejaVu Sans Mono"/>
          <w:b w:val="0"/>
          <w:i w:val="0"/>
          <w:sz w:val="17"/>
        </w:rPr>
        <w:t>advanced = planning.advance_​year(run, state)</w:t>
        <w:br/>
        <w:t>model_input = psm_input_factory(run, advanced.operating_​state)</w:t>
        <w:br/>
        <w:t>market = psm.run(model_input)</w:t>
        <w:br/>
        <w:t>headroom = []</w:t>
        <w:br/>
        <w:t>for slot in sorted(expansion_​policies):</w:t>
        <w:br/>
        <w:t xml:space="preserve">    policy = expansion_​policies[slot]</w:t>
        <w:br/>
        <w:t xml:space="preserve">    headroom.append(policy.evaluate(run, advanced.operating_​state, market))</w:t>
        <w:br/>
        <w:t>investment_market = adapt_​market_​for_​investment(</w:t>
        <w:br/>
        <w:t xml:space="preserve">    market, advanced.operating_​state)</w:t>
        <w:br/>
        <w:t>decision = investment.decide(</w:t>
        <w:br/>
        <w:t xml:space="preserve">    run, advanced.operating_​state, investment_market, tuple(headroom))</w:t>
        <w:br/>
        <w:t>admission = planning.admit_​projects(</w:t>
        <w:br/>
        <w:t xml:space="preserve">    run, advanced.operating_​state, decision.proposals)</w:t>
        <w:br/>
        <w:t>next_state = transition.apply(run, transition_state, admission, decision)</w:t>
        <w:br/>
      </w:r>
    </w:p>
    <w:p>
      <w:r>
        <w:rPr>
          <w:b w:val="0"/>
          <w:i w:val="0"/>
        </w:rPr>
        <w:t xml:space="preserve">Terminal handling follows the selected study setting. </w:t>
      </w:r>
      <w:r>
        <w:rPr>
          <w:rFonts w:ascii="DejaVu Sans Mono" w:hAnsi="DejaVu Sans Mono"/>
          <w:b w:val="0"/>
          <w:i w:val="0"/>
          <w:sz w:val="17"/>
        </w:rPr>
        <w:t>report_only</w:t>
      </w:r>
      <w:r>
        <w:rPr>
          <w:b w:val="0"/>
          <w:i w:val="0"/>
        </w:rPr>
        <w:t xml:space="preserve"> retains the final state, </w:t>
      </w:r>
      <w:r>
        <w:rPr>
          <w:rFonts w:ascii="DejaVu Sans Mono" w:hAnsi="DejaVu Sans Mono"/>
          <w:b w:val="0"/>
          <w:i w:val="0"/>
          <w:sz w:val="17"/>
        </w:rPr>
        <w:t>pipeline_tail</w:t>
      </w:r>
      <w:r>
        <w:rPr>
          <w:b w:val="0"/>
          <w:i w:val="0"/>
        </w:rPr>
        <w:t xml:space="preserve"> advances projects already in the pipeline, and </w:t>
      </w:r>
      <w:r>
        <w:rPr>
          <w:rFonts w:ascii="DejaVu Sans Mono" w:hAnsi="DejaVu Sans Mono"/>
          <w:b w:val="0"/>
          <w:i w:val="0"/>
          <w:sz w:val="17"/>
        </w:rPr>
        <w:t>full_extension</w:t>
      </w:r>
      <w:r>
        <w:rPr>
          <w:b w:val="0"/>
          <w:i w:val="0"/>
        </w:rPr>
        <w:t xml:space="preserve"> continues annual operation and investment.</w:t>
      </w:r>
    </w:p>
    <w:p>
      <w:pPr>
        <w:pStyle w:val="Heading2"/>
      </w:pPr>
      <w:r>
        <w:rPr>
          <w:b w:val="0"/>
          <w:i w:val="0"/>
        </w:rPr>
        <w:t>Ahead market and balancing</w:t>
      </w:r>
    </w:p>
    <w:p>
      <w:pPr>
        <w:keepNext/>
      </w:pPr>
      <w:r>
        <w:rPr>
          <w:b w:val="0"/>
          <w:i w:val="0"/>
        </w:rPr>
        <w:t xml:space="preserve">The staged PSM clears forecast demand before balancing actual demand. For each non-storage </w:t>
      </w:r>
      <w:r>
        <w:rPr>
          <w:rFonts w:ascii="DejaVu Sans Mono" w:hAnsi="DejaVu Sans Mono"/>
          <w:b w:val="0"/>
          <w:i w:val="0"/>
          <w:sz w:val="17"/>
        </w:rPr>
        <w:t>resource</w:t>
      </w:r>
      <w:r>
        <w:rPr>
          <w:b w:val="0"/>
          <w:i w:val="0"/>
        </w:rPr>
        <w:t xml:space="preserve">, </w:t>
      </w:r>
      <w:r>
        <w:rPr>
          <w:rFonts w:ascii="DejaVu Sans Mono" w:hAnsi="DejaVu Sans Mono"/>
          <w:b w:val="0"/>
          <w:i w:val="0"/>
          <w:sz w:val="17"/>
        </w:rPr>
        <w:t>_ahead_offers</w:t>
      </w:r>
      <w:r>
        <w:rPr>
          <w:b w:val="0"/>
          <w:i w:val="0"/>
        </w:rPr>
        <w:t xml:space="preserve"> reads the period availability and marginal cost. </w:t>
      </w:r>
      <w:r>
        <w:rPr>
          <w:rFonts w:ascii="DejaVu Sans Mono" w:hAnsi="DejaVu Sans Mono"/>
          <w:b w:val="0"/>
          <w:i w:val="0"/>
          <w:sz w:val="17"/>
        </w:rPr>
        <w:t>availability</w:t>
      </w:r>
      <w:r>
        <w:rPr>
          <w:b w:val="0"/>
          <w:i w:val="0"/>
        </w:rPr>
        <w:t xml:space="preserve"> is the supplied availability clipped at zero; </w:t>
      </w:r>
      <w:r>
        <w:rPr>
          <w:rFonts w:ascii="DejaVu Sans Mono" w:hAnsi="DejaVu Sans Mono"/>
          <w:b w:val="0"/>
          <w:i w:val="0"/>
          <w:sz w:val="17"/>
        </w:rPr>
        <w:t>physical_cost</w:t>
      </w:r>
      <w:r>
        <w:rPr>
          <w:b w:val="0"/>
          <w:i w:val="0"/>
        </w:rPr>
        <w:t xml:space="preserve"> is the period-specific cost when supplied, otherwise the constant marginal cost. </w:t>
      </w:r>
      <w:r>
        <w:rPr>
          <w:rFonts w:ascii="DejaVu Sans Mono" w:hAnsi="DejaVu Sans Mono"/>
          <w:b w:val="0"/>
          <w:i w:val="0"/>
          <w:sz w:val="17"/>
        </w:rPr>
        <w:t>multiplier</w:t>
      </w:r>
      <w:r>
        <w:rPr>
          <w:b w:val="0"/>
          <w:i w:val="0"/>
        </w:rPr>
        <w:t xml:space="preserve">, from </w:t>
      </w:r>
      <w:r>
        <w:rPr>
          <w:rFonts w:ascii="DejaVu Sans Mono" w:hAnsi="DejaVu Sans Mono"/>
          <w:b w:val="0"/>
          <w:i w:val="0"/>
          <w:sz w:val="17"/>
        </w:rPr>
        <w:t>market.bid_multiplier</w:t>
      </w:r>
      <w:r>
        <w:rPr>
          <w:b w:val="0"/>
          <w:i w:val="0"/>
        </w:rPr>
        <w:t>, defaults to 1. The offered energy and price are:</w:t>
      </w:r>
    </w:p>
    <w:p>
      <w:pPr>
        <w:spacing w:after="160"/>
        <w:jc w:val="center"/>
      </w:pPr>
      <w:r>
        <w:drawing>
          <wp:inline xmlns:a="http://schemas.openxmlformats.org/drawingml/2006/main" xmlns:pic="http://schemas.openxmlformats.org/drawingml/2006/picture">
            <wp:extent cx="4542282" cy="621792"/>
            <wp:docPr id="31" name="Picture 31"/>
            <wp:cNvGraphicFramePr>
              <a:graphicFrameLocks noChangeAspect="1"/>
            </wp:cNvGraphicFramePr>
            <a:graphic>
              <a:graphicData uri="http://schemas.openxmlformats.org/drawingml/2006/picture">
                <pic:pic>
                  <pic:nvPicPr>
                    <pic:cNvPr id="0" name="eq-031.png"/>
                    <pic:cNvPicPr/>
                  </pic:nvPicPr>
                  <pic:blipFill>
                    <a:blip r:embed="rId41"/>
                    <a:stretch>
                      <a:fillRect/>
                    </a:stretch>
                  </pic:blipFill>
                  <pic:spPr>
                    <a:xfrm>
                      <a:off x="0" y="0"/>
                      <a:ext cx="4542282" cy="621792"/>
                    </a:xfrm>
                    <a:prstGeom prst="rect"/>
                  </pic:spPr>
                </pic:pic>
              </a:graphicData>
            </a:graphic>
          </wp:inline>
        </w:drawing>
      </w:r>
    </w:p>
    <w:p>
      <w:r>
        <w:rPr>
          <w:b w:val="0"/>
          <w:i w:val="0"/>
        </w:rPr>
        <w:t xml:space="preserve">A storage offer is bounded by discharge power and stored energy. </w:t>
      </w:r>
      <w:r>
        <w:rPr>
          <w:rFonts w:ascii="DejaVu Sans Mono" w:hAnsi="DejaVu Sans Mono"/>
          <w:b w:val="0"/>
          <w:i w:val="0"/>
          <w:sz w:val="17"/>
        </w:rPr>
        <w:t>soc[resource.asset_id]</w:t>
      </w:r>
      <w:r>
        <w:rPr>
          <w:b w:val="0"/>
          <w:i w:val="0"/>
        </w:rPr>
        <w:t xml:space="preserve"> is opening stored-side inventory, and </w:t>
      </w:r>
      <w:r>
        <w:rPr>
          <w:rFonts w:ascii="DejaVu Sans Mono" w:hAnsi="DejaVu Sans Mono"/>
          <w:b w:val="0"/>
          <w:i w:val="0"/>
          <w:sz w:val="17"/>
        </w:rPr>
        <w:t>discharge_efficiency</w:t>
      </w:r>
      <w:r>
        <w:rPr>
          <w:b w:val="0"/>
          <w:i w:val="0"/>
        </w:rPr>
        <w:t xml:space="preserve"> converts it to delivered energy:</w:t>
      </w:r>
    </w:p>
    <w:p>
      <w:pPr>
        <w:keepLines/>
        <w:spacing w:line="276" w:lineRule="auto" w:after="160"/>
      </w:pPr>
      <w:r>
        <w:rPr>
          <w:rFonts w:ascii="DejaVu Sans Mono" w:hAnsi="DejaVu Sans Mono"/>
          <w:b w:val="0"/>
          <w:i w:val="0"/>
          <w:sz w:val="17"/>
        </w:rPr>
        <w:t>available_mwh = min(</w:t>
        <w:br/>
        <w:t xml:space="preserve">    resource.discharge_​power_​mw * model_​input.period_​hours,</w:t>
        <w:br/>
        <w:t xml:space="preserve">    soc[resource.asset_id] * resource.discharge_​efficiency</w:t>
        <w:br/>
        <w:t>)</w:t>
        <w:br/>
      </w:r>
    </w:p>
    <w:p>
      <w:pPr>
        <w:keepNext/>
      </w:pPr>
      <w:r>
        <w:rPr>
          <w:rFonts w:ascii="DejaVu Sans Mono" w:hAnsi="DejaVu Sans Mono"/>
          <w:b w:val="0"/>
          <w:i w:val="0"/>
          <w:sz w:val="17"/>
        </w:rPr>
        <w:t>clear_ahead</w:t>
      </w:r>
      <w:r>
        <w:rPr>
          <w:b w:val="0"/>
          <w:i w:val="0"/>
        </w:rPr>
        <w:t xml:space="preserve"> sorts offers by </w:t>
      </w:r>
      <w:r>
        <w:rPr>
          <w:rFonts w:ascii="DejaVu Sans Mono" w:hAnsi="DejaVu Sans Mono"/>
          <w:b w:val="0"/>
          <w:i w:val="0"/>
          <w:sz w:val="17"/>
        </w:rPr>
        <w:t>price_gbp_per_mwh</w:t>
      </w:r>
      <w:r>
        <w:rPr>
          <w:b w:val="0"/>
          <w:i w:val="0"/>
        </w:rPr>
        <w:t xml:space="preserve">, then </w:t>
      </w:r>
      <w:r>
        <w:rPr>
          <w:rFonts w:ascii="DejaVu Sans Mono" w:hAnsi="DejaVu Sans Mono"/>
          <w:b w:val="0"/>
          <w:i w:val="0"/>
          <w:sz w:val="17"/>
        </w:rPr>
        <w:t>offer_id</w:t>
      </w:r>
      <w:r>
        <w:rPr>
          <w:b w:val="0"/>
          <w:i w:val="0"/>
        </w:rPr>
        <w:t xml:space="preserve">. It begins with </w:t>
      </w:r>
      <w:r>
        <w:rPr>
          <w:rFonts w:ascii="DejaVu Sans Mono" w:hAnsi="DejaVu Sans Mono"/>
          <w:b w:val="0"/>
          <w:i w:val="0"/>
          <w:sz w:val="17"/>
        </w:rPr>
        <w:t>remaining=forecast_​demand_​mwh</w:t>
      </w:r>
      <w:r>
        <w:rPr>
          <w:b w:val="0"/>
          <w:i w:val="0"/>
        </w:rPr>
        <w:t xml:space="preserve">, accepts the smaller of remaining demand and each offer’s available energy, and reduces remaining demand by that quantity. The last accepted price becomes </w:t>
      </w:r>
      <w:r>
        <w:rPr>
          <w:rFonts w:ascii="DejaVu Sans Mono" w:hAnsi="DejaVu Sans Mono"/>
          <w:b w:val="0"/>
          <w:i w:val="0"/>
          <w:sz w:val="17"/>
        </w:rPr>
        <w:t>clearing_​price_​gbp_​per_​mwh</w:t>
      </w:r>
      <w:r>
        <w:rPr>
          <w:b w:val="0"/>
          <w:i w:val="0"/>
        </w:rPr>
        <w:t xml:space="preserve">; all accepted energy receives that price. Clearing stops at a remaining demand of 10⁻¹² MWh. Zero accepted supply has a zero clearing price; the remaining forecast shortfall enters </w:t>
      </w:r>
      <w:r>
        <w:rPr>
          <w:rFonts w:ascii="DejaVu Sans Mono" w:hAnsi="DejaVu Sans Mono"/>
          <w:b w:val="0"/>
          <w:i w:val="0"/>
          <w:sz w:val="17"/>
        </w:rPr>
        <w:t>unserved_forecast_mwh</w:t>
      </w:r>
      <w:r>
        <w:rPr>
          <w:b w:val="0"/>
          <w:i w:val="0"/>
        </w:rPr>
        <w:t>.</w:t>
      </w:r>
    </w:p>
    <w:p>
      <w:pPr>
        <w:spacing w:after="160"/>
        <w:jc w:val="center"/>
      </w:pPr>
      <w:r>
        <w:drawing>
          <wp:inline xmlns:a="http://schemas.openxmlformats.org/drawingml/2006/main" xmlns:pic="http://schemas.openxmlformats.org/drawingml/2006/picture">
            <wp:extent cx="6217920" cy="167029"/>
            <wp:docPr id="32" name="Picture 32"/>
            <wp:cNvGraphicFramePr>
              <a:graphicFrameLocks noChangeAspect="1"/>
            </wp:cNvGraphicFramePr>
            <a:graphic>
              <a:graphicData uri="http://schemas.openxmlformats.org/drawingml/2006/picture">
                <pic:pic>
                  <pic:nvPicPr>
                    <pic:cNvPr id="0" name="eq-032.png"/>
                    <pic:cNvPicPr/>
                  </pic:nvPicPr>
                  <pic:blipFill>
                    <a:blip r:embed="rId42"/>
                    <a:stretch>
                      <a:fillRect/>
                    </a:stretch>
                  </pic:blipFill>
                  <pic:spPr>
                    <a:xfrm>
                      <a:off x="0" y="0"/>
                      <a:ext cx="6217920" cy="167029"/>
                    </a:xfrm>
                    <a:prstGeom prst="rect"/>
                  </pic:spPr>
                </pic:pic>
              </a:graphicData>
            </a:graphic>
          </wp:inline>
        </w:drawing>
      </w:r>
    </w:p>
    <w:p>
      <w:r>
        <w:rPr>
          <w:b w:val="0"/>
          <w:i w:val="0"/>
        </w:rPr>
        <w:t xml:space="preserve">Balancing responds to the difference between actual demand and the ahead schedule. In </w:t>
      </w:r>
      <w:r>
        <w:rPr>
          <w:rFonts w:ascii="DejaVu Sans Mono" w:hAnsi="DejaVu Sans Mono"/>
          <w:b w:val="0"/>
          <w:i w:val="0"/>
          <w:sz w:val="17"/>
        </w:rPr>
        <w:t>CopperplateBalancing.clear</w:t>
      </w:r>
      <w:r>
        <w:rPr>
          <w:b w:val="0"/>
          <w:i w:val="0"/>
        </w:rPr>
        <w:t xml:space="preserve">, </w:t>
      </w:r>
      <w:r>
        <w:rPr>
          <w:rFonts w:ascii="DejaVu Sans Mono" w:hAnsi="DejaVu Sans Mono"/>
          <w:b w:val="0"/>
          <w:i w:val="0"/>
          <w:sz w:val="17"/>
        </w:rPr>
        <w:t>final_dispatch</w:t>
      </w:r>
      <w:r>
        <w:rPr>
          <w:b w:val="0"/>
          <w:i w:val="0"/>
        </w:rPr>
        <w:t xml:space="preserve"> initially equals </w:t>
      </w:r>
      <w:r>
        <w:rPr>
          <w:rFonts w:ascii="DejaVu Sans Mono" w:hAnsi="DejaVu Sans Mono"/>
          <w:b w:val="0"/>
          <w:i w:val="0"/>
          <w:sz w:val="17"/>
        </w:rPr>
        <w:t>schedule_mwh_by_asset</w:t>
      </w:r>
      <w:r>
        <w:rPr>
          <w:b w:val="0"/>
          <w:i w:val="0"/>
        </w:rPr>
        <w:t xml:space="preserve">, and </w:t>
      </w:r>
      <w:r>
        <w:rPr>
          <w:rFonts w:ascii="DejaVu Sans Mono" w:hAnsi="DejaVu Sans Mono"/>
          <w:b w:val="0"/>
          <w:i w:val="0"/>
          <w:sz w:val="17"/>
        </w:rPr>
        <w:t>gap_​mwh=real_​demand_​mwh−sum(final_​dispatch.values())</w:t>
      </w:r>
      <w:r>
        <w:rPr>
          <w:b w:val="0"/>
          <w:i w:val="0"/>
        </w:rPr>
        <w:t>. Generation and imports offer their unused available energy upward and their scheduled energy downward. Storage can first withdraw scheduled discharge and then charge within its power, energy and efficiency limits. Exports enter as negative injections at the declared connection location and capacity.</w:t>
      </w:r>
    </w:p>
    <w:p>
      <w:pPr>
        <w:pStyle w:val="Heading2"/>
      </w:pPr>
      <w:r>
        <w:rPr>
          <w:b w:val="0"/>
          <w:i w:val="0"/>
        </w:rPr>
        <w:t>Downward bids and settlement</w:t>
      </w:r>
    </w:p>
    <w:p>
      <w:r>
        <w:rPr>
          <w:b w:val="0"/>
          <w:i w:val="0"/>
        </w:rPr>
        <w:t xml:space="preserve">Downward settlement returns the accepted reduction multiplied by its bid price. Thus an upward adjustment has positive signed </w:t>
      </w:r>
      <w:r>
        <w:rPr>
          <w:rFonts w:ascii="DejaVu Sans Mono" w:hAnsi="DejaVu Sans Mono"/>
          <w:b w:val="0"/>
          <w:i w:val="0"/>
          <w:sz w:val="17"/>
        </w:rPr>
        <w:t>delta</w:t>
      </w:r>
      <w:r>
        <w:rPr>
          <w:b w:val="0"/>
          <w:i w:val="0"/>
        </w:rPr>
        <w:t xml:space="preserve">, a downward adjustment has negative </w:t>
      </w:r>
      <w:r>
        <w:rPr>
          <w:rFonts w:ascii="DejaVu Sans Mono" w:hAnsi="DejaVu Sans Mono"/>
          <w:b w:val="0"/>
          <w:i w:val="0"/>
          <w:sz w:val="17"/>
        </w:rPr>
        <w:t>delta</w:t>
      </w:r>
      <w:r>
        <w:rPr>
          <w:b w:val="0"/>
          <w:i w:val="0"/>
        </w:rPr>
        <w:t xml:space="preserve">, and both use </w:t>
      </w:r>
      <w:r>
        <w:rPr>
          <w:rFonts w:ascii="DejaVu Sans Mono" w:hAnsi="DejaVu Sans Mono"/>
          <w:b w:val="0"/>
          <w:i w:val="0"/>
          <w:sz w:val="17"/>
        </w:rPr>
        <w:t>cashflow=delta×price_​gbp_​per_​mwh</w:t>
      </w:r>
      <w:r>
        <w:rPr>
          <w:b w:val="0"/>
          <w:i w:val="0"/>
        </w:rPr>
        <w:t xml:space="preserve">. The corrected staged and network pathways use </w:t>
      </w:r>
      <w:r>
        <w:rPr>
          <w:rFonts w:ascii="DejaVu Sans Mono" w:hAnsi="DejaVu Sans Mono"/>
          <w:b w:val="0"/>
          <w:i w:val="0"/>
          <w:sz w:val="17"/>
        </w:rPr>
        <w:t>network-economic-v2</w:t>
      </w:r>
      <w:r>
        <w:rPr>
          <w:b w:val="0"/>
          <w:i w:val="0"/>
        </w:rPr>
        <w:t xml:space="preserve"> to construct these prices.</w:t>
      </w:r>
    </w:p>
    <w:p>
      <w:pPr>
        <w:keepNext/>
      </w:pPr>
      <w:r>
        <w:rPr>
          <w:b w:val="0"/>
          <w:i w:val="0"/>
        </w:rPr>
        <w:t xml:space="preserve">Thermal downward bids divide the ahead schedule into the running range and the minimum-stable-output segment. </w:t>
      </w:r>
      <w:r>
        <w:rPr>
          <w:rFonts w:ascii="DejaVu Sans Mono" w:hAnsi="DejaVu Sans Mono"/>
          <w:b w:val="0"/>
          <w:i w:val="0"/>
          <w:sz w:val="17"/>
        </w:rPr>
        <w:t>thermal_dec_segments</w:t>
      </w:r>
      <w:r>
        <w:rPr>
          <w:b w:val="0"/>
          <w:i w:val="0"/>
        </w:rPr>
        <w:t xml:space="preserve"> sets </w:t>
      </w:r>
      <w:r>
        <w:rPr>
          <w:rFonts w:ascii="DejaVu Sans Mono" w:hAnsi="DejaVu Sans Mono"/>
          <w:b w:val="0"/>
          <w:i w:val="0"/>
          <w:sz w:val="17"/>
        </w:rPr>
        <w:t>shutdown_​mwh=min_​stable_​fraction×scheduled_​mwh</w:t>
      </w:r>
      <w:r>
        <w:rPr>
          <w:b w:val="0"/>
          <w:i w:val="0"/>
        </w:rPr>
        <w:t xml:space="preserve"> and puts the remainder in </w:t>
      </w:r>
      <w:r>
        <w:rPr>
          <w:rFonts w:ascii="DejaVu Sans Mono" w:hAnsi="DejaVu Sans Mono"/>
          <w:b w:val="0"/>
          <w:i w:val="0"/>
          <w:sz w:val="17"/>
        </w:rPr>
        <w:t>running_mwh</w:t>
      </w:r>
      <w:r>
        <w:rPr>
          <w:b w:val="0"/>
          <w:i w:val="0"/>
        </w:rPr>
        <w:t xml:space="preserve">. Running-range price is avoided marginal cost after the downward multiplier and policy support. Shutdown price deducts restart expenditure spread across the expected shutdown interval. In </w:t>
      </w:r>
      <w:r>
        <w:rPr>
          <w:rFonts w:ascii="DejaVu Sans Mono" w:hAnsi="DejaVu Sans Mono"/>
          <w:b w:val="0"/>
          <w:i w:val="0"/>
          <w:sz w:val="17"/>
        </w:rPr>
        <w:t>RestartParameters.net_​saving</w:t>
      </w:r>
      <w:r>
        <w:rPr>
          <w:b w:val="0"/>
          <w:i w:val="0"/>
        </w:rPr>
        <w:t xml:space="preserve">, </w:t>
      </w:r>
      <w:r>
        <w:rPr>
          <w:rFonts w:ascii="DejaVu Sans Mono" w:hAnsi="DejaVu Sans Mono"/>
          <w:b w:val="0"/>
          <w:i w:val="0"/>
          <w:sz w:val="17"/>
        </w:rPr>
        <w:t>avoided_cost</w:t>
      </w:r>
      <w:r>
        <w:rPr>
          <w:b w:val="0"/>
          <w:i w:val="0"/>
        </w:rPr>
        <w:t xml:space="preserve"> is GBP/MWh, </w:t>
      </w:r>
      <w:r>
        <w:rPr>
          <w:rFonts w:ascii="DejaVu Sans Mono" w:hAnsi="DejaVu Sans Mono"/>
          <w:b w:val="0"/>
          <w:i w:val="0"/>
          <w:sz w:val="17"/>
        </w:rPr>
        <w:t>restart_cost(horizon_h)</w:t>
      </w:r>
      <w:r>
        <w:rPr>
          <w:b w:val="0"/>
          <w:i w:val="0"/>
        </w:rPr>
        <w:t xml:space="preserve"> is GBP/MW per start, and </w:t>
      </w:r>
      <w:r>
        <w:rPr>
          <w:rFonts w:ascii="DejaVu Sans Mono" w:hAnsi="DejaVu Sans Mono"/>
          <w:b w:val="0"/>
          <w:i w:val="0"/>
          <w:sz w:val="17"/>
        </w:rPr>
        <w:t>horizon_h</w:t>
      </w:r>
      <w:r>
        <w:rPr>
          <w:b w:val="0"/>
          <w:i w:val="0"/>
        </w:rPr>
        <w:t xml:space="preserve"> is hours:</w:t>
      </w:r>
    </w:p>
    <w:p>
      <w:pPr>
        <w:spacing w:after="160"/>
        <w:jc w:val="center"/>
      </w:pPr>
      <w:r>
        <w:drawing>
          <wp:inline xmlns:a="http://schemas.openxmlformats.org/drawingml/2006/main" xmlns:pic="http://schemas.openxmlformats.org/drawingml/2006/picture">
            <wp:extent cx="4347667" cy="610319"/>
            <wp:docPr id="33" name="Picture 33"/>
            <wp:cNvGraphicFramePr>
              <a:graphicFrameLocks noChangeAspect="1"/>
            </wp:cNvGraphicFramePr>
            <a:graphic>
              <a:graphicData uri="http://schemas.openxmlformats.org/drawingml/2006/picture">
                <pic:pic>
                  <pic:nvPicPr>
                    <pic:cNvPr id="0" name="eq-033.png"/>
                    <pic:cNvPicPr/>
                  </pic:nvPicPr>
                  <pic:blipFill>
                    <a:blip r:embed="rId43"/>
                    <a:stretch>
                      <a:fillRect/>
                    </a:stretch>
                  </pic:blipFill>
                  <pic:spPr>
                    <a:xfrm>
                      <a:off x="0" y="0"/>
                      <a:ext cx="4347667" cy="610319"/>
                    </a:xfrm>
                    <a:prstGeom prst="rect"/>
                  </pic:spPr>
                </pic:pic>
              </a:graphicData>
            </a:graphic>
          </wp:inline>
        </w:drawing>
      </w:r>
    </w:p>
    <w:p>
      <w:r>
        <w:rPr>
          <w:rFonts w:ascii="DejaVu Sans Mono" w:hAnsi="DejaVu Sans Mono"/>
          <w:b w:val="0"/>
          <w:i w:val="0"/>
          <w:sz w:val="17"/>
        </w:rPr>
        <w:t>shutdown_horizon_hours</w:t>
      </w:r>
      <w:r>
        <w:rPr>
          <w:b w:val="0"/>
          <w:i w:val="0"/>
        </w:rPr>
        <w:t xml:space="preserve"> counts the current period plus consecutive later periods whose forecast demand is covered by declared VRE and nuclear availability. Its returned duration is </w:t>
      </w:r>
      <w:r>
        <w:rPr>
          <w:rFonts w:ascii="DejaVu Sans Mono" w:hAnsi="DejaVu Sans Mono"/>
          <w:b w:val="0"/>
          <w:i w:val="0"/>
          <w:sz w:val="17"/>
        </w:rPr>
        <w:t>(1+run_​after[period])×period_​hours</w:t>
      </w:r>
      <w:r>
        <w:rPr>
          <w:b w:val="0"/>
          <w:i w:val="0"/>
        </w:rPr>
        <w:t xml:space="preserve">. When this duration is shorter than </w:t>
      </w:r>
      <w:r>
        <w:rPr>
          <w:rFonts w:ascii="DejaVu Sans Mono" w:hAnsi="DejaVu Sans Mono"/>
          <w:b w:val="0"/>
          <w:i w:val="0"/>
          <w:sz w:val="17"/>
        </w:rPr>
        <w:t>min_down_time_h</w:t>
      </w:r>
      <w:r>
        <w:rPr>
          <w:b w:val="0"/>
          <w:i w:val="0"/>
        </w:rPr>
        <w:t xml:space="preserve">, </w:t>
      </w:r>
      <w:r>
        <w:rPr>
          <w:rFonts w:ascii="DejaVu Sans Mono" w:hAnsi="DejaVu Sans Mono"/>
          <w:b w:val="0"/>
          <w:i w:val="0"/>
          <w:sz w:val="17"/>
        </w:rPr>
        <w:t>last_resort_price</w:t>
      </w:r>
      <w:r>
        <w:rPr>
          <w:b w:val="0"/>
          <w:i w:val="0"/>
        </w:rPr>
        <w:t xml:space="preserve"> places the shutdown bid at least 0.01 GBP/MWh below the lowest rounded ordinary downward bid. Otherwise the shutdown price is its net saving. With an empty ordinary-bid set, net saving supplies the price.</w:t>
      </w:r>
    </w:p>
    <w:p>
      <w:r>
        <w:rPr>
          <w:b w:val="0"/>
          <w:i w:val="0"/>
        </w:rPr>
        <w:t>CCGT uses a minimum stable fraction of 0.50, minimum downtime of 6 h and hot, warm and cold restart costs of 113.7, 134.4 and 155.0 GBP/MW. OCGT uses 0.50, 0.5 h and 175.7 GBP/MW; biomass uses 0.35, 6 h and 129.2 GBP/MW. CCGT selects hot starts below 12 h, warm starts from 12 through 48 h and cold starts above 48 h. These costs are in 2025 GBP. The running range precedes the unit’s shutdown segment; the shutdown segment precedes unsupported wind only when its net saving is positive. Wind precedes shutdown at a price tie.</w:t>
      </w:r>
    </w:p>
    <w:p>
      <w:r>
        <w:rPr>
          <w:b w:val="0"/>
          <w:i w:val="0"/>
        </w:rPr>
        <w:t xml:space="preserve">Other downward prices use </w:t>
      </w:r>
      <w:r>
        <w:rPr>
          <w:rFonts w:ascii="DejaVu Sans Mono" w:hAnsi="DejaVu Sans Mono"/>
          <w:b w:val="0"/>
          <w:i w:val="0"/>
          <w:sz w:val="17"/>
        </w:rPr>
        <w:t>resource_dec_price</w:t>
      </w:r>
      <w:r>
        <w:rPr>
          <w:b w:val="0"/>
          <w:i w:val="0"/>
        </w:rPr>
        <w:t xml:space="preserve">. Imports return </w:t>
      </w:r>
      <w:r>
        <w:rPr>
          <w:rFonts w:ascii="DejaVu Sans Mono" w:hAnsi="DejaVu Sans Mono"/>
          <w:b w:val="0"/>
          <w:i w:val="0"/>
          <w:sz w:val="17"/>
        </w:rPr>
        <w:t>marginal×dec_multiplier</w:t>
      </w:r>
      <w:r>
        <w:rPr>
          <w:b w:val="0"/>
          <w:i w:val="0"/>
        </w:rPr>
        <w:t xml:space="preserve">; wind, solar and run-of-river hydro return </w:t>
      </w:r>
      <w:r>
        <w:rPr>
          <w:rFonts w:ascii="DejaVu Sans Mono" w:hAnsi="DejaVu Sans Mono"/>
          <w:b w:val="0"/>
          <w:i w:val="0"/>
          <w:sz w:val="17"/>
        </w:rPr>
        <w:t>−support</w:t>
      </w:r>
      <w:r>
        <w:rPr>
          <w:b w:val="0"/>
          <w:i w:val="0"/>
        </w:rPr>
        <w:t xml:space="preserve">; nuclear returns </w:t>
      </w:r>
      <w:r>
        <w:rPr>
          <w:rFonts w:ascii="DejaVu Sans Mono" w:hAnsi="DejaVu Sans Mono"/>
          <w:b w:val="0"/>
          <w:i w:val="0"/>
          <w:sz w:val="17"/>
        </w:rPr>
        <w:t>marginal×dec_​multiplier−support−premium</w:t>
      </w:r>
      <w:r>
        <w:rPr>
          <w:b w:val="0"/>
          <w:i w:val="0"/>
        </w:rPr>
        <w:t xml:space="preserve">; other fuel resources return </w:t>
      </w:r>
      <w:r>
        <w:rPr>
          <w:rFonts w:ascii="DejaVu Sans Mono" w:hAnsi="DejaVu Sans Mono"/>
          <w:b w:val="0"/>
          <w:i w:val="0"/>
          <w:sz w:val="17"/>
        </w:rPr>
        <w:t>marginal×dec_​multiplier−support</w:t>
      </w:r>
      <w:r>
        <w:rPr>
          <w:b w:val="0"/>
          <w:i w:val="0"/>
        </w:rPr>
        <w:t xml:space="preserve">. </w:t>
      </w:r>
      <w:r>
        <w:rPr>
          <w:rFonts w:ascii="DejaVu Sans Mono" w:hAnsi="DejaVu Sans Mono"/>
          <w:b w:val="0"/>
          <w:i w:val="0"/>
          <w:sz w:val="17"/>
        </w:rPr>
        <w:t>market.dec_multiplier</w:t>
      </w:r>
      <w:r>
        <w:rPr>
          <w:b w:val="0"/>
          <w:i w:val="0"/>
        </w:rPr>
        <w:t xml:space="preserve"> defaults to 1 and is at most </w:t>
      </w:r>
      <w:r>
        <w:rPr>
          <w:rFonts w:ascii="DejaVu Sans Mono" w:hAnsi="DejaVu Sans Mono"/>
          <w:b w:val="0"/>
          <w:i w:val="0"/>
          <w:sz w:val="17"/>
        </w:rPr>
        <w:t>market.bid_multiplier</w:t>
      </w:r>
      <w:r>
        <w:rPr>
          <w:b w:val="0"/>
          <w:i w:val="0"/>
        </w:rPr>
        <w:t xml:space="preserve">. Unlisted policy support is zero, while nuclear’s default premium is 100 GBP/MWh. Storage uses </w:t>
      </w:r>
      <w:r>
        <w:rPr>
          <w:rFonts w:ascii="DejaVu Sans Mono" w:hAnsi="DejaVu Sans Mono"/>
          <w:b w:val="0"/>
          <w:i w:val="0"/>
          <w:sz w:val="17"/>
        </w:rPr>
        <w:t>storage_dec_price</w:t>
      </w:r>
      <w:r>
        <w:rPr>
          <w:b w:val="0"/>
          <w:i w:val="0"/>
        </w:rPr>
        <w:t>, bounded by its upward bid times charging and discharge efficiency and by the lowest available upward price.</w:t>
      </w:r>
    </w:p>
    <w:p>
      <w:r>
        <w:rPr>
          <w:b w:val="0"/>
          <w:i w:val="0"/>
        </w:rPr>
        <w:t>Copperplate balancing ranks upward bids by increasing price, with storage after generation at a price tie; bids above VoLL remain outside the accepted set. It ranks downward bids by decreasing price rounded to 0.01 GBP/MWh, then by class, then by exact price. The class order is fuel running range, imports, storage, run-of-river hydro, VRE, thermal shutdown, nuclear and short-downtime shutdown. Equal-price bids of the same direction and class share acceptance in proportion to available energy.</w:t>
      </w:r>
    </w:p>
    <w:p>
      <w:r>
        <w:rPr>
          <w:b w:val="0"/>
          <w:i w:val="0"/>
        </w:rPr>
        <w:t xml:space="preserve">For each equal-price group, </w:t>
      </w:r>
      <w:r>
        <w:rPr>
          <w:rFonts w:ascii="DejaVu Sans Mono" w:hAnsi="DejaVu Sans Mono"/>
          <w:b w:val="0"/>
          <w:i w:val="0"/>
          <w:sz w:val="17"/>
        </w:rPr>
        <w:t>total</w:t>
      </w:r>
      <w:r>
        <w:rPr>
          <w:b w:val="0"/>
          <w:i w:val="0"/>
        </w:rPr>
        <w:t xml:space="preserve"> is available MWh and </w:t>
      </w:r>
      <w:r>
        <w:rPr>
          <w:rFonts w:ascii="DejaVu Sans Mono" w:hAnsi="DejaVu Sans Mono"/>
          <w:b w:val="0"/>
          <w:i w:val="0"/>
          <w:sz w:val="17"/>
        </w:rPr>
        <w:t>fraction</w:t>
      </w:r>
      <w:r>
        <w:rPr>
          <w:b w:val="0"/>
          <w:i w:val="0"/>
        </w:rPr>
        <w:t xml:space="preserve"> is the smaller of the imbalance-to-available ratio and 1. The resulting </w:t>
      </w:r>
      <w:r>
        <w:rPr>
          <w:rFonts w:ascii="DejaVu Sans Mono" w:hAnsi="DejaVu Sans Mono"/>
          <w:b w:val="0"/>
          <w:i w:val="0"/>
          <w:sz w:val="17"/>
        </w:rPr>
        <w:t>delta</w:t>
      </w:r>
      <w:r>
        <w:rPr>
          <w:b w:val="0"/>
          <w:i w:val="0"/>
        </w:rPr>
        <w:t xml:space="preserve"> changes </w:t>
      </w:r>
      <w:r>
        <w:rPr>
          <w:rFonts w:ascii="DejaVu Sans Mono" w:hAnsi="DejaVu Sans Mono"/>
          <w:b w:val="0"/>
          <w:i w:val="0"/>
          <w:sz w:val="17"/>
        </w:rPr>
        <w:t>final_dispatch</w:t>
      </w:r>
      <w:r>
        <w:rPr>
          <w:b w:val="0"/>
          <w:i w:val="0"/>
        </w:rPr>
        <w:t xml:space="preserve"> and earns </w:t>
      </w:r>
      <w:r>
        <w:rPr>
          <w:rFonts w:ascii="DejaVu Sans Mono" w:hAnsi="DejaVu Sans Mono"/>
          <w:b w:val="0"/>
          <w:i w:val="0"/>
          <w:sz w:val="17"/>
        </w:rPr>
        <w:t>cashflow</w:t>
      </w:r>
      <w:r>
        <w:rPr>
          <w:b w:val="0"/>
          <w:i w:val="0"/>
        </w:rPr>
        <w:t xml:space="preserve">. Positive residual demand becomes </w:t>
      </w:r>
      <w:r>
        <w:rPr>
          <w:rFonts w:ascii="DejaVu Sans Mono" w:hAnsi="DejaVu Sans Mono"/>
          <w:b w:val="0"/>
          <w:i w:val="0"/>
          <w:sz w:val="17"/>
        </w:rPr>
        <w:t>blackout_mwh</w:t>
      </w:r>
      <w:r>
        <w:rPr>
          <w:b w:val="0"/>
          <w:i w:val="0"/>
        </w:rPr>
        <w:t>. Final supply plus blackout must match actual demand within 10⁻⁸ MWh. Zonal balancing applies the same schedule and bid definitions inside the Chapter 7 network constraints, with exact-price optimisation followed by physical tie-breaking.</w:t>
      </w:r>
    </w:p>
    <w:p>
      <w:r>
        <w:rPr>
          <w:b w:val="0"/>
          <w:i w:val="0"/>
        </w:rPr>
        <w:t>A 50 MWh forecast illustrates the two settlements. Wind offers 30 MWh at £0/MWh and gas offers 30 MWh at £60/MWh. The ahead schedule accepts 30 MWh of wind and 20 MWh of gas, paying £3,000 at the common £60/MWh price. If actual demand is 55 MWh, gas supplies 5 MWh more and receives £300 in balancing. Gas physical expenditure is based on its final 25 MWh and equals £1,500.</w:t>
      </w:r>
    </w:p>
    <w:p>
      <w:pPr>
        <w:pStyle w:val="Heading2"/>
      </w:pPr>
      <w:r>
        <w:rPr>
          <w:b w:val="0"/>
          <w:i w:val="0"/>
        </w:rPr>
        <w:t>Storage inventory and bidding</w:t>
      </w:r>
    </w:p>
    <w:p>
      <w:pPr>
        <w:keepNext/>
      </w:pPr>
      <w:r>
        <w:rPr>
          <w:b w:val="0"/>
          <w:i w:val="0"/>
        </w:rPr>
        <w:t xml:space="preserve">Storage inventory follows final net injection in each period. In </w:t>
      </w:r>
      <w:r>
        <w:rPr>
          <w:rFonts w:ascii="DejaVu Sans Mono" w:hAnsi="DejaVu Sans Mono"/>
          <w:b w:val="0"/>
          <w:i w:val="0"/>
          <w:sz w:val="17"/>
        </w:rPr>
        <w:t>CopperplateBalancing.clear</w:t>
      </w:r>
      <w:r>
        <w:rPr>
          <w:b w:val="0"/>
          <w:i w:val="0"/>
        </w:rPr>
        <w:t xml:space="preserve">, </w:t>
      </w:r>
      <w:r>
        <w:rPr>
          <w:rFonts w:ascii="DejaVu Sans Mono" w:hAnsi="DejaVu Sans Mono"/>
          <w:b w:val="0"/>
          <w:i w:val="0"/>
          <w:sz w:val="17"/>
        </w:rPr>
        <w:t>opening</w:t>
      </w:r>
      <w:r>
        <w:rPr>
          <w:b w:val="0"/>
          <w:i w:val="0"/>
        </w:rPr>
        <w:t xml:space="preserve"> is initial stored-side MWh and </w:t>
      </w:r>
      <w:r>
        <w:rPr>
          <w:rFonts w:ascii="DejaVu Sans Mono" w:hAnsi="DejaVu Sans Mono"/>
          <w:b w:val="0"/>
          <w:i w:val="0"/>
          <w:sz w:val="17"/>
        </w:rPr>
        <w:t>dispatch</w:t>
      </w:r>
      <w:r>
        <w:rPr>
          <w:b w:val="0"/>
          <w:i w:val="0"/>
        </w:rPr>
        <w:t xml:space="preserve"> is final MWh delivered to the grid; a negative value denotes charging. The updated </w:t>
      </w:r>
      <w:r>
        <w:rPr>
          <w:rFonts w:ascii="DejaVu Sans Mono" w:hAnsi="DejaVu Sans Mono"/>
          <w:b w:val="0"/>
          <w:i w:val="0"/>
          <w:sz w:val="17"/>
        </w:rPr>
        <w:t>soc</w:t>
      </w:r>
      <w:r>
        <w:rPr>
          <w:b w:val="0"/>
          <w:i w:val="0"/>
        </w:rPr>
        <w:t xml:space="preserve"> is:</w:t>
      </w:r>
    </w:p>
    <w:p>
      <w:pPr>
        <w:spacing w:after="160"/>
        <w:jc w:val="center"/>
      </w:pPr>
      <w:r>
        <w:drawing>
          <wp:inline xmlns:a="http://schemas.openxmlformats.org/drawingml/2006/main" xmlns:pic="http://schemas.openxmlformats.org/drawingml/2006/picture">
            <wp:extent cx="5403951" cy="413754"/>
            <wp:docPr id="34" name="Picture 34"/>
            <wp:cNvGraphicFramePr>
              <a:graphicFrameLocks noChangeAspect="1"/>
            </wp:cNvGraphicFramePr>
            <a:graphic>
              <a:graphicData uri="http://schemas.openxmlformats.org/drawingml/2006/picture">
                <pic:pic>
                  <pic:nvPicPr>
                    <pic:cNvPr id="0" name="eq-034.png"/>
                    <pic:cNvPicPr/>
                  </pic:nvPicPr>
                  <pic:blipFill>
                    <a:blip r:embed="rId44"/>
                    <a:stretch>
                      <a:fillRect/>
                    </a:stretch>
                  </pic:blipFill>
                  <pic:spPr>
                    <a:xfrm>
                      <a:off x="0" y="0"/>
                      <a:ext cx="5403951" cy="413754"/>
                    </a:xfrm>
                    <a:prstGeom prst="rect"/>
                  </pic:spPr>
                </pic:pic>
              </a:graphicData>
            </a:graphic>
          </wp:inline>
        </w:drawing>
      </w:r>
    </w:p>
    <w:p>
      <w:r>
        <w:rPr>
          <w:b w:val="0"/>
          <w:i w:val="0"/>
        </w:rPr>
        <w:t xml:space="preserve">Inventory remains between zero and </w:t>
      </w:r>
      <w:r>
        <w:rPr>
          <w:rFonts w:ascii="DejaVu Sans Mono" w:hAnsi="DejaVu Sans Mono"/>
          <w:b w:val="0"/>
          <w:i w:val="0"/>
          <w:sz w:val="17"/>
        </w:rPr>
        <w:t>energy_capacity_mwh</w:t>
      </w:r>
      <w:r>
        <w:rPr>
          <w:b w:val="0"/>
          <w:i w:val="0"/>
        </w:rPr>
        <w:t xml:space="preserve">, with a 10⁻⁸ MWh rounding tolerance. Zonal dispatch represents charge and discharge separately and requires at most one to exceed 10⁻⁸ MWh. Each year opens from </w:t>
      </w:r>
      <w:r>
        <w:rPr>
          <w:rFonts w:ascii="DejaVu Sans Mono" w:hAnsi="DejaVu Sans Mono"/>
          <w:b w:val="0"/>
          <w:i w:val="0"/>
          <w:sz w:val="17"/>
        </w:rPr>
        <w:t>initial_soc_mwh</w:t>
      </w:r>
      <w:r>
        <w:rPr>
          <w:b w:val="0"/>
          <w:i w:val="0"/>
        </w:rPr>
        <w:t xml:space="preserve">: </w:t>
      </w:r>
      <w:r>
        <w:rPr>
          <w:rFonts w:ascii="DejaVu Sans Mono" w:hAnsi="DejaVu Sans Mono"/>
          <w:b w:val="0"/>
          <w:i w:val="0"/>
          <w:sz w:val="17"/>
        </w:rPr>
        <w:t>canonical_psm_data.py</w:t>
      </w:r>
      <w:r>
        <w:rPr>
          <w:b w:val="0"/>
          <w:i w:val="0"/>
        </w:rPr>
        <w:t xml:space="preserve"> assigns half the energy capacity to ordinary inputs and zero to the designated research-input alignment. The staged inventory carries between periods, while the following year takes its opening inventory from annual inputs. Storage-pricing observations carry between years; Chapter 6 gives the experimental dated-batch transition.</w:t>
      </w:r>
    </w:p>
    <w:p>
      <w:pPr>
        <w:keepNext/>
      </w:pPr>
      <w:r>
        <w:rPr>
          <w:rFonts w:ascii="DejaVu Sans Mono" w:hAnsi="DejaVu Sans Mono"/>
          <w:b w:val="0"/>
          <w:i w:val="0"/>
          <w:sz w:val="17"/>
        </w:rPr>
        <w:t>DynamicAnnualStorageCost</w:t>
      </w:r>
      <w:r>
        <w:rPr>
          <w:b w:val="0"/>
          <w:i w:val="0"/>
        </w:rPr>
        <w:t xml:space="preserve"> divides equipment-cost recovery into cycle depreciation and holding recovery. </w:t>
      </w:r>
      <w:r>
        <w:rPr>
          <w:rFonts w:ascii="DejaVu Sans Mono" w:hAnsi="DejaVu Sans Mono"/>
          <w:b w:val="0"/>
          <w:i w:val="0"/>
          <w:sz w:val="17"/>
        </w:rPr>
        <w:t>capital_recovery_factor</w:t>
      </w:r>
      <w:r>
        <w:rPr>
          <w:b w:val="0"/>
          <w:i w:val="0"/>
        </w:rPr>
        <w:t xml:space="preserve"> uses </w:t>
      </w:r>
      <w:r>
        <w:rPr>
          <w:rFonts w:ascii="DejaVu Sans Mono" w:hAnsi="DejaVu Sans Mono"/>
          <w:b w:val="0"/>
          <w:i w:val="0"/>
          <w:sz w:val="17"/>
        </w:rPr>
        <w:t>discount_rate</w:t>
      </w:r>
      <w:r>
        <w:rPr>
          <w:b w:val="0"/>
          <w:i w:val="0"/>
        </w:rPr>
        <w:t xml:space="preserve"> and </w:t>
      </w:r>
      <w:r>
        <w:rPr>
          <w:rFonts w:ascii="DejaVu Sans Mono" w:hAnsi="DejaVu Sans Mono"/>
          <w:b w:val="0"/>
          <w:i w:val="0"/>
          <w:sz w:val="17"/>
        </w:rPr>
        <w:t>lifetime_years</w:t>
      </w:r>
      <w:r>
        <w:rPr>
          <w:b w:val="0"/>
          <w:i w:val="0"/>
        </w:rPr>
        <w:t>; at a nonpositive discount rate it returns the inverse lifetime, otherwise it uses:</w:t>
      </w:r>
    </w:p>
    <w:p>
      <w:pPr>
        <w:spacing w:after="160"/>
        <w:jc w:val="center"/>
      </w:pPr>
      <w:r>
        <w:drawing>
          <wp:inline xmlns:a="http://schemas.openxmlformats.org/drawingml/2006/main" xmlns:pic="http://schemas.openxmlformats.org/drawingml/2006/picture">
            <wp:extent cx="4877562" cy="623981"/>
            <wp:docPr id="35" name="Picture 35"/>
            <wp:cNvGraphicFramePr>
              <a:graphicFrameLocks noChangeAspect="1"/>
            </wp:cNvGraphicFramePr>
            <a:graphic>
              <a:graphicData uri="http://schemas.openxmlformats.org/drawingml/2006/picture">
                <pic:pic>
                  <pic:nvPicPr>
                    <pic:cNvPr id="0" name="eq-035.png"/>
                    <pic:cNvPicPr/>
                  </pic:nvPicPr>
                  <pic:blipFill>
                    <a:blip r:embed="rId45"/>
                    <a:stretch>
                      <a:fillRect/>
                    </a:stretch>
                  </pic:blipFill>
                  <pic:spPr>
                    <a:xfrm>
                      <a:off x="0" y="0"/>
                      <a:ext cx="4877562" cy="623981"/>
                    </a:xfrm>
                    <a:prstGeom prst="rect"/>
                  </pic:spPr>
                </pic:pic>
              </a:graphicData>
            </a:graphic>
          </wp:inline>
        </w:drawing>
      </w:r>
    </w:p>
    <w:p>
      <w:r>
        <w:rPr>
          <w:b w:val="0"/>
          <w:i w:val="0"/>
        </w:rPr>
        <w:t xml:space="preserve">Annual cost is annualised asset CAPEX plus fixed maintenance. </w:t>
      </w:r>
      <w:r>
        <w:rPr>
          <w:rFonts w:ascii="DejaVu Sans Mono" w:hAnsi="DejaVu Sans Mono"/>
          <w:b w:val="0"/>
          <w:i w:val="0"/>
          <w:sz w:val="17"/>
        </w:rPr>
        <w:t>prepare_year</w:t>
      </w:r>
      <w:r>
        <w:rPr>
          <w:b w:val="0"/>
          <w:i w:val="0"/>
        </w:rPr>
        <w:t xml:space="preserve"> takes actual asset </w:t>
      </w:r>
      <w:r>
        <w:rPr>
          <w:rFonts w:ascii="DejaVu Sans Mono" w:hAnsi="DejaVu Sans Mono"/>
          <w:b w:val="0"/>
          <w:i w:val="0"/>
          <w:sz w:val="17"/>
        </w:rPr>
        <w:t>capital_cost_gbp</w:t>
      </w:r>
      <w:r>
        <w:rPr>
          <w:b w:val="0"/>
          <w:i w:val="0"/>
        </w:rPr>
        <w:t xml:space="preserve">, </w:t>
      </w:r>
      <w:r>
        <w:rPr>
          <w:rFonts w:ascii="DejaVu Sans Mono" w:hAnsi="DejaVu Sans Mono"/>
          <w:b w:val="0"/>
          <w:i w:val="0"/>
          <w:sz w:val="17"/>
        </w:rPr>
        <w:t>power_capacity_mw</w:t>
      </w:r>
      <w:r>
        <w:rPr>
          <w:b w:val="0"/>
          <w:i w:val="0"/>
        </w:rPr>
        <w:t xml:space="preserve">, </w:t>
      </w:r>
      <w:r>
        <w:rPr>
          <w:rFonts w:ascii="DejaVu Sans Mono" w:hAnsi="DejaVu Sans Mono"/>
          <w:b w:val="0"/>
          <w:i w:val="0"/>
          <w:sz w:val="17"/>
        </w:rPr>
        <w:t>energy_capacity_mwh</w:t>
      </w:r>
      <w:r>
        <w:rPr>
          <w:b w:val="0"/>
          <w:i w:val="0"/>
        </w:rPr>
        <w:t xml:space="preserve"> and </w:t>
      </w:r>
      <w:r>
        <w:rPr>
          <w:rFonts w:ascii="DejaVu Sans Mono" w:hAnsi="DejaVu Sans Mono"/>
          <w:b w:val="0"/>
          <w:i w:val="0"/>
          <w:sz w:val="17"/>
        </w:rPr>
        <w:t>discharge_efficiency</w:t>
      </w:r>
      <w:r>
        <w:rPr>
          <w:b w:val="0"/>
          <w:i w:val="0"/>
        </w:rPr>
        <w:t xml:space="preserve">. Catalogue lifetime, duration, cycle life and fixed-maintenance rate come from </w:t>
      </w:r>
      <w:r>
        <w:rPr>
          <w:rFonts w:ascii="DejaVu Sans Mono" w:hAnsi="DejaVu Sans Mono"/>
          <w:b w:val="0"/>
          <w:i w:val="0"/>
          <w:sz w:val="17"/>
        </w:rPr>
        <w:t>spec</w:t>
      </w:r>
      <w:r>
        <w:rPr>
          <w:b w:val="0"/>
          <w:i w:val="0"/>
        </w:rPr>
        <w:t>. The calculation keeps the asset’s declared energy-to-power ratio.</w:t>
      </w:r>
    </w:p>
    <w:p>
      <w:pPr>
        <w:keepLines/>
        <w:spacing w:line="276" w:lineRule="auto" w:after="160"/>
      </w:pPr>
      <w:r>
        <w:rPr>
          <w:rFonts w:ascii="DejaVu Sans Mono" w:hAnsi="DejaVu Sans Mono"/>
          <w:b w:val="0"/>
          <w:i w:val="0"/>
          <w:sz w:val="17"/>
        </w:rPr>
        <w:t>capex = max(capital_cost_gbp, 0)</w:t>
        <w:br/>
        <w:t>annualized_​capital_​cost_​gbp = capex * capital_​recovery_​factor(</w:t>
        <w:br/>
        <w:t xml:space="preserve">    discount_rate, spec.economic_​lifetime_​years)</w:t>
        <w:br/>
        <w:t>annual_fixed_opex_gbp = (</w:t>
        <w:br/>
        <w:t xml:space="preserve">    max(power_capacity_mw, 0) * 1000 * spec.fixed_​opex_​gbp_​per_​kw_​year)</w:t>
        <w:br/>
        <w:t>annual_​levelized_​project_​cost_​gbp = (</w:t>
        <w:br/>
        <w:t xml:space="preserve">    annualized_​capital_​cost_​gbp + annual_fixed_opex_gbp)</w:t>
        <w:br/>
      </w:r>
    </w:p>
    <w:p>
      <w:r>
        <w:rPr>
          <w:b w:val="0"/>
          <w:i w:val="0"/>
        </w:rPr>
        <w:t xml:space="preserve">Reference annual sales use the smaller of lifetime cycles per year and physically possible charge-discharge cycles. </w:t>
      </w:r>
      <w:r>
        <w:rPr>
          <w:rFonts w:ascii="DejaVu Sans Mono" w:hAnsi="DejaVu Sans Mono"/>
          <w:b w:val="0"/>
          <w:i w:val="0"/>
          <w:sz w:val="17"/>
        </w:rPr>
        <w:t>_reference_observation</w:t>
      </w:r>
      <w:r>
        <w:rPr>
          <w:b w:val="0"/>
          <w:i w:val="0"/>
        </w:rPr>
        <w:t xml:space="preserve"> calculates </w:t>
      </w:r>
      <w:r>
        <w:rPr>
          <w:rFonts w:ascii="DejaVu Sans Mono" w:hAnsi="DejaVu Sans Mono"/>
          <w:b w:val="0"/>
          <w:i w:val="0"/>
          <w:sz w:val="17"/>
        </w:rPr>
        <w:t>cycles_per_year</w:t>
      </w:r>
      <w:r>
        <w:rPr>
          <w:b w:val="0"/>
          <w:i w:val="0"/>
        </w:rPr>
        <w:t xml:space="preserve">, annual delivered sales </w:t>
      </w:r>
      <w:r>
        <w:rPr>
          <w:rFonts w:ascii="DejaVu Sans Mono" w:hAnsi="DejaVu Sans Mono"/>
          <w:b w:val="0"/>
          <w:i w:val="0"/>
          <w:sz w:val="17"/>
        </w:rPr>
        <w:t>sold</w:t>
      </w:r>
      <w:r>
        <w:rPr>
          <w:b w:val="0"/>
          <w:i w:val="0"/>
        </w:rPr>
        <w:t xml:space="preserve"> in MWh, and reference holding time </w:t>
      </w:r>
      <w:r>
        <w:rPr>
          <w:rFonts w:ascii="DejaVu Sans Mono" w:hAnsi="DejaVu Sans Mono"/>
          <w:b w:val="0"/>
          <w:i w:val="0"/>
          <w:sz w:val="17"/>
        </w:rPr>
        <w:t>dwell_periods</w:t>
      </w:r>
      <w:r>
        <w:rPr>
          <w:b w:val="0"/>
          <w:i w:val="0"/>
        </w:rPr>
        <w:t xml:space="preserve"> in model periods:</w:t>
      </w:r>
    </w:p>
    <w:p>
      <w:pPr>
        <w:keepLines/>
        <w:spacing w:line="276" w:lineRule="auto" w:after="160"/>
      </w:pPr>
      <w:r>
        <w:rPr>
          <w:rFonts w:ascii="DejaVu Sans Mono" w:hAnsi="DejaVu Sans Mono"/>
          <w:b w:val="0"/>
          <w:i w:val="0"/>
          <w:sz w:val="17"/>
        </w:rPr>
        <w:t>cycles_per_year = min(</w:t>
        <w:br/>
        <w:t xml:space="preserve">    spec.maximum_cycles / spec.economic_​lifetime_​years,</w:t>
        <w:br/>
        <w:t xml:space="preserve">    8760 / (2 * spec.duration_hours)</w:t>
        <w:br/>
        <w:t>)</w:t>
        <w:br/>
        <w:t>sold = energy_capacity_mwh * discharge_efficiency * cycles_per_year</w:t>
        <w:br/>
        <w:t>dwell_periods = max(spec.duration_hours / period_hours, 2)</w:t>
        <w:br/>
      </w:r>
    </w:p>
    <w:p>
      <w:r>
        <w:rPr>
          <w:b w:val="0"/>
          <w:i w:val="0"/>
        </w:rPr>
        <w:t xml:space="preserve">The pricing basis uses previous-year sales when positive, subject to a floor tied to reference sales. </w:t>
      </w:r>
      <w:r>
        <w:rPr>
          <w:rFonts w:ascii="DejaVu Sans Mono" w:hAnsi="DejaVu Sans Mono"/>
          <w:b w:val="0"/>
          <w:i w:val="0"/>
          <w:sz w:val="17"/>
        </w:rPr>
        <w:t>reference</w:t>
      </w:r>
      <w:r>
        <w:rPr>
          <w:b w:val="0"/>
          <w:i w:val="0"/>
        </w:rPr>
        <w:t xml:space="preserve"> is the observation returned by </w:t>
      </w:r>
      <w:r>
        <w:rPr>
          <w:rFonts w:ascii="DejaVu Sans Mono" w:hAnsi="DejaVu Sans Mono"/>
          <w:b w:val="0"/>
          <w:i w:val="0"/>
          <w:sz w:val="17"/>
        </w:rPr>
        <w:t>_reference_observation</w:t>
      </w:r>
      <w:r>
        <w:rPr>
          <w:b w:val="0"/>
          <w:i w:val="0"/>
        </w:rPr>
        <w:t xml:space="preserve">; it stores </w:t>
      </w:r>
      <w:r>
        <w:rPr>
          <w:rFonts w:ascii="DejaVu Sans Mono" w:hAnsi="DejaVu Sans Mono"/>
          <w:b w:val="0"/>
          <w:i w:val="0"/>
          <w:sz w:val="17"/>
        </w:rPr>
        <w:t>sold</w:t>
      </w:r>
      <w:r>
        <w:rPr>
          <w:b w:val="0"/>
          <w:i w:val="0"/>
        </w:rPr>
        <w:t xml:space="preserve"> in </w:t>
      </w:r>
      <w:r>
        <w:rPr>
          <w:rFonts w:ascii="DejaVu Sans Mono" w:hAnsi="DejaVu Sans Mono"/>
          <w:b w:val="0"/>
          <w:i w:val="0"/>
          <w:sz w:val="17"/>
        </w:rPr>
        <w:t>sold_energy_mwh</w:t>
      </w:r>
      <w:r>
        <w:rPr>
          <w:b w:val="0"/>
          <w:i w:val="0"/>
        </w:rPr>
        <w:t xml:space="preserve"> and its reference holding time in </w:t>
      </w:r>
      <w:r>
        <w:rPr>
          <w:rFonts w:ascii="DejaVu Sans Mono" w:hAnsi="DejaVu Sans Mono"/>
          <w:b w:val="0"/>
          <w:i w:val="0"/>
          <w:sz w:val="17"/>
        </w:rPr>
        <w:t>average_dwell_periods</w:t>
      </w:r>
      <w:r>
        <w:rPr>
          <w:b w:val="0"/>
          <w:i w:val="0"/>
        </w:rPr>
        <w:t xml:space="preserve">. </w:t>
      </w:r>
      <w:r>
        <w:rPr>
          <w:rFonts w:ascii="DejaVu Sans Mono" w:hAnsi="DejaVu Sans Mono"/>
          <w:b w:val="0"/>
          <w:i w:val="0"/>
          <w:sz w:val="17"/>
        </w:rPr>
        <w:t>previous</w:t>
      </w:r>
      <w:r>
        <w:rPr>
          <w:b w:val="0"/>
          <w:i w:val="0"/>
        </w:rPr>
        <w:t xml:space="preserve"> holds the preceding year’s observation. The selected </w:t>
      </w:r>
      <w:r>
        <w:rPr>
          <w:rFonts w:ascii="DejaVu Sans Mono" w:hAnsi="DejaVu Sans Mono"/>
          <w:b w:val="0"/>
          <w:i w:val="0"/>
          <w:sz w:val="17"/>
        </w:rPr>
        <w:t>basis_sold</w:t>
      </w:r>
      <w:r>
        <w:rPr>
          <w:b w:val="0"/>
          <w:i w:val="0"/>
        </w:rPr>
        <w:t xml:space="preserve"> is MWh and </w:t>
      </w:r>
      <w:r>
        <w:rPr>
          <w:rFonts w:ascii="DejaVu Sans Mono" w:hAnsi="DejaVu Sans Mono"/>
          <w:b w:val="0"/>
          <w:i w:val="0"/>
          <w:sz w:val="17"/>
        </w:rPr>
        <w:t>average_dwell</w:t>
      </w:r>
      <w:r>
        <w:rPr>
          <w:b w:val="0"/>
          <w:i w:val="0"/>
        </w:rPr>
        <w:t xml:space="preserve"> is the delivered-MWh-weighted number of holding periods:</w:t>
      </w:r>
    </w:p>
    <w:p>
      <w:pPr>
        <w:keepLines/>
        <w:spacing w:line="276" w:lineRule="auto" w:after="160"/>
      </w:pPr>
      <w:r>
        <w:rPr>
          <w:rFonts w:ascii="DejaVu Sans Mono" w:hAnsi="DejaVu Sans Mono"/>
          <w:b w:val="0"/>
          <w:i w:val="0"/>
          <w:sz w:val="17"/>
        </w:rPr>
        <w:t>observed = previous</w:t>
        <w:br/>
        <w:t>minimum_sold = reference.sold_​energy_​mwh * max(utilisation_floor, 0)</w:t>
        <w:br/>
        <w:t>if observed.sold_​energy_​mwh &gt; 0:</w:t>
        <w:br/>
        <w:t xml:space="preserve">    basis_sold = max(observed.sold_​energy_​mwh, minimum_sold)</w:t>
        <w:br/>
        <w:t xml:space="preserve">    average_dwell = max(observed.average_​dwell_​periods, 2)</w:t>
        <w:br/>
        <w:t>else:</w:t>
        <w:br/>
        <w:t xml:space="preserve">    basis_sold = reference.sold_​energy_​mwh</w:t>
        <w:br/>
        <w:t xml:space="preserve">    average_dwell = reference.average_​dwell_​periods</w:t>
        <w:br/>
      </w:r>
    </w:p>
    <w:p>
      <w:r>
        <w:rPr>
          <w:b w:val="0"/>
          <w:i w:val="0"/>
        </w:rPr>
        <w:t xml:space="preserve">Defaults are </w:t>
      </w:r>
      <w:r>
        <w:rPr>
          <w:rFonts w:ascii="DejaVu Sans Mono" w:hAnsi="DejaVu Sans Mono"/>
          <w:b w:val="0"/>
          <w:i w:val="0"/>
          <w:sz w:val="17"/>
        </w:rPr>
        <w:t>utilisation_floor=0</w:t>
      </w:r>
      <w:r>
        <w:rPr>
          <w:b w:val="0"/>
          <w:i w:val="0"/>
        </w:rPr>
        <w:t xml:space="preserve"> and </w:t>
      </w:r>
      <w:r>
        <w:rPr>
          <w:rFonts w:ascii="DejaVu Sans Mono" w:hAnsi="DejaVu Sans Mono"/>
          <w:b w:val="0"/>
          <w:i w:val="0"/>
          <w:sz w:val="17"/>
        </w:rPr>
        <w:t>discount_rate=0.05</w:t>
      </w:r>
      <w:r>
        <w:rPr>
          <w:b w:val="0"/>
          <w:i w:val="0"/>
        </w:rPr>
        <w:t>. Batteries recover cycle depreciation from delivered MWh; pumped hydro and hydrogen have a zero cycle-depreciation component.</w:t>
      </w:r>
    </w:p>
    <w:p>
      <w:pPr>
        <w:keepLines/>
        <w:spacing w:line="276" w:lineRule="auto" w:after="160"/>
      </w:pPr>
      <w:r>
        <w:rPr>
          <w:rFonts w:ascii="DejaVu Sans Mono" w:hAnsi="DejaVu Sans Mono"/>
          <w:b w:val="0"/>
          <w:i w:val="0"/>
          <w:sz w:val="17"/>
        </w:rPr>
        <w:t>usable_cycle_output = energy_capacity_mwh * discharge_efficiency</w:t>
        <w:br/>
        <w:t>cycle_​depreciation_​gbp_​per_​mwh = (</w:t>
        <w:br/>
        <w:t xml:space="preserve">    capex / (usable_cycle_output * spec.maximum_cycles))</w:t>
        <w:br/>
        <w:t>expected_cycle_recovery = cycle_​depreciation_​gbp_​per_​mwh * basis_sold</w:t>
        <w:br/>
        <w:t>remaining_​annual_​recovery = max(</w:t>
        <w:br/>
        <w:t xml:space="preserve">    annual_​levelized_​project_​cost_​gbp - expected_​cycle_​recovery, 0)</w:t>
        <w:br/>
        <w:t>weighted_basis = basis_sold * max(average_dwell, 1)</w:t>
        <w:br/>
        <w:t>holding_​recovery_​gbp_​per_​mwh_​period = (</w:t>
        <w:br/>
        <w:t xml:space="preserve">    remaining_​annual_​recovery / weighted_basis)</w:t>
        <w:br/>
      </w:r>
    </w:p>
    <w:p>
      <w:r>
        <w:rPr>
          <w:b w:val="0"/>
          <w:i w:val="0"/>
        </w:rPr>
        <w:t xml:space="preserve">The cycle formula applies where </w:t>
      </w:r>
      <w:r>
        <w:rPr>
          <w:rFonts w:ascii="DejaVu Sans Mono" w:hAnsi="DejaVu Sans Mono"/>
          <w:b w:val="0"/>
          <w:i w:val="0"/>
          <w:sz w:val="17"/>
        </w:rPr>
        <w:t>has_cycle_depreciation</w:t>
      </w:r>
      <w:r>
        <w:rPr>
          <w:b w:val="0"/>
          <w:i w:val="0"/>
        </w:rPr>
        <w:t xml:space="preserve"> is true and both denominator terms are positive. Other cases give zero cycle depreciation. Holding recovery is zero when </w:t>
      </w:r>
      <w:r>
        <w:rPr>
          <w:rFonts w:ascii="DejaVu Sans Mono" w:hAnsi="DejaVu Sans Mono"/>
          <w:b w:val="0"/>
          <w:i w:val="0"/>
          <w:sz w:val="17"/>
        </w:rPr>
        <w:t>weighted_basis</w:t>
      </w:r>
      <w:r>
        <w:rPr>
          <w:b w:val="0"/>
          <w:i w:val="0"/>
        </w:rPr>
        <w:t xml:space="preserve"> is zero. </w:t>
      </w:r>
      <w:r>
        <w:rPr>
          <w:rFonts w:ascii="DejaVu Sans Mono" w:hAnsi="DejaVu Sans Mono"/>
          <w:b w:val="0"/>
          <w:i w:val="0"/>
          <w:sz w:val="17"/>
        </w:rPr>
        <w:t>bid_​price_​gbp_​per_​mwh(dwell_​periods)</w:t>
      </w:r>
      <w:r>
        <w:rPr>
          <w:b w:val="0"/>
          <w:i w:val="0"/>
        </w:rPr>
        <w:t xml:space="preserve"> adds cycle depreciation to nonnegative holding age times holding recovery. The corrected default PSM supplies cycle-only bids: battery bids equal </w:t>
      </w:r>
      <w:r>
        <w:rPr>
          <w:rFonts w:ascii="DejaVu Sans Mono" w:hAnsi="DejaVu Sans Mono"/>
          <w:b w:val="0"/>
          <w:i w:val="0"/>
          <w:sz w:val="17"/>
        </w:rPr>
        <w:t>cycle_​depreciation_​gbp_​per_​mwh</w:t>
      </w:r>
      <w:r>
        <w:rPr>
          <w:b w:val="0"/>
          <w:i w:val="0"/>
        </w:rPr>
        <w:t>, while pumped-hydro and hydrogen bids are zero. Its oldest inventory tranche is discharged first.</w:t>
      </w:r>
    </w:p>
    <w:p>
      <w:r>
        <w:rPr>
          <w:b w:val="0"/>
          <w:i w:val="0"/>
        </w:rPr>
        <w:t xml:space="preserve">The staged caller passes </w:t>
      </w:r>
      <w:r>
        <w:rPr>
          <w:rFonts w:ascii="DejaVu Sans Mono" w:hAnsi="DejaVu Sans Mono"/>
          <w:b w:val="0"/>
          <w:i w:val="0"/>
          <w:sz w:val="17"/>
        </w:rPr>
        <w:t>dwell_periods=0</w:t>
      </w:r>
      <w:r>
        <w:rPr>
          <w:b w:val="0"/>
          <w:i w:val="0"/>
        </w:rPr>
        <w:t xml:space="preserve"> and records sale ages as zero; its report labels the age source </w:t>
      </w:r>
      <w:r>
        <w:rPr>
          <w:rFonts w:ascii="DejaVu Sans Mono" w:hAnsi="DejaVu Sans Mono"/>
          <w:b w:val="0"/>
          <w:i w:val="0"/>
          <w:sz w:val="17"/>
        </w:rPr>
        <w:t>not_​tracked_​staged_​single_​pool</w:t>
      </w:r>
      <w:r>
        <w:rPr>
          <w:b w:val="0"/>
          <w:i w:val="0"/>
        </w:rPr>
        <w:t xml:space="preserve">. The holding component therefore contributes zero to its dynamic bid. General holding-recovery quantities remain available as investment-adequacy diagnostics. The fixed-fee alternative uses </w:t>
      </w:r>
      <w:r>
        <w:rPr>
          <w:rFonts w:ascii="DejaVu Sans Mono" w:hAnsi="DejaVu Sans Mono"/>
          <w:b w:val="0"/>
          <w:i w:val="0"/>
          <w:sz w:val="17"/>
        </w:rPr>
        <w:t>storage_​fee_​gbp_​per_​mwh+dwell_​periods×holding_​fee_​gbp_​per_​mwh_​period</w:t>
      </w:r>
      <w:r>
        <w:rPr>
          <w:b w:val="0"/>
          <w:i w:val="0"/>
        </w:rPr>
        <w:t>. The doctoral reproduction profile uses its legacy tariff configuration.</w:t>
      </w:r>
    </w:p>
    <w:p>
      <w:r>
        <w:rPr>
          <w:b w:val="0"/>
          <w:i w:val="0"/>
        </w:rPr>
        <w:t>Catalogue fixed-maintenance rates in 2025 GBP/kW/year are 13.4 for pumped hydro, 6.6 for each of the 1C, 0.5C and 0.25C batteries, and 19.7 for hydrogen. The pumped-hydro catalogue capital cost is 360,000 GBP/MW. These fixed costs enter annual bid-cost recovery; wind, solar and storage fixed OPEX is recorded separately as a memo in the system cost account.</w:t>
      </w:r>
    </w:p>
    <w:p>
      <w:pPr>
        <w:pStyle w:val="Heading2"/>
      </w:pPr>
      <w:r>
        <w:rPr>
          <w:b w:val="0"/>
          <w:i w:val="0"/>
        </w:rPr>
        <w:t>Storage expansion limits</w:t>
      </w:r>
    </w:p>
    <w:p>
      <w:pPr>
        <w:keepNext/>
      </w:pPr>
      <w:r>
        <w:rPr>
          <w:b w:val="0"/>
          <w:i w:val="0"/>
        </w:rPr>
        <w:t xml:space="preserve">Corrected storage expansion uses the surplus remaining after existing stores have charged. </w:t>
      </w:r>
      <w:r>
        <w:rPr>
          <w:rFonts w:ascii="DejaVu Sans Mono" w:hAnsi="DejaVu Sans Mono"/>
          <w:b w:val="0"/>
          <w:i w:val="0"/>
          <w:sz w:val="17"/>
        </w:rPr>
        <w:t>corrected_​storage_​headroom</w:t>
      </w:r>
      <w:r>
        <w:rPr>
          <w:b w:val="0"/>
          <w:i w:val="0"/>
        </w:rPr>
        <w:t xml:space="preserve"> reads </w:t>
      </w:r>
      <w:r>
        <w:rPr>
          <w:rFonts w:ascii="DejaVu Sans Mono" w:hAnsi="DejaVu Sans Mono"/>
          <w:b w:val="0"/>
          <w:i w:val="0"/>
          <w:sz w:val="17"/>
        </w:rPr>
        <w:t>leftover_excess_mwh</w:t>
      </w:r>
      <w:r>
        <w:rPr>
          <w:b w:val="0"/>
          <w:i w:val="0"/>
        </w:rPr>
        <w:t xml:space="preserve"> from </w:t>
      </w:r>
      <w:r>
        <w:rPr>
          <w:rFonts w:ascii="DejaVu Sans Mono" w:hAnsi="DejaVu Sans Mono"/>
          <w:b w:val="0"/>
          <w:i w:val="0"/>
          <w:sz w:val="17"/>
        </w:rPr>
        <w:t>storage_headroom_inputs</w:t>
      </w:r>
      <w:r>
        <w:rPr>
          <w:b w:val="0"/>
          <w:i w:val="0"/>
        </w:rPr>
        <w:t xml:space="preserve"> and reads </w:t>
      </w:r>
      <w:r>
        <w:rPr>
          <w:rFonts w:ascii="DejaVu Sans Mono" w:hAnsi="DejaVu Sans Mono"/>
          <w:b w:val="0"/>
          <w:i w:val="0"/>
          <w:sz w:val="17"/>
        </w:rPr>
        <w:t>vre_accepted_mwh</w:t>
      </w:r>
      <w:r>
        <w:rPr>
          <w:b w:val="0"/>
          <w:i w:val="0"/>
        </w:rPr>
        <w:t xml:space="preserve">, </w:t>
      </w:r>
      <w:r>
        <w:rPr>
          <w:rFonts w:ascii="DejaVu Sans Mono" w:hAnsi="DejaVu Sans Mono"/>
          <w:b w:val="0"/>
          <w:i w:val="0"/>
          <w:sz w:val="17"/>
        </w:rPr>
        <w:t>real_demand_mwh</w:t>
      </w:r>
      <w:r>
        <w:rPr>
          <w:b w:val="0"/>
          <w:i w:val="0"/>
        </w:rPr>
        <w:t xml:space="preserve"> and </w:t>
      </w:r>
      <w:r>
        <w:rPr>
          <w:rFonts w:ascii="DejaVu Sans Mono" w:hAnsi="DejaVu Sans Mono"/>
          <w:b w:val="0"/>
          <w:i w:val="0"/>
          <w:sz w:val="17"/>
        </w:rPr>
        <w:t>storage_discharge_mwh</w:t>
      </w:r>
      <w:r>
        <w:rPr>
          <w:b w:val="0"/>
          <w:i w:val="0"/>
        </w:rPr>
        <w:t xml:space="preserve"> from each period summary. These fields form the period-MWh arrays </w:t>
      </w:r>
      <w:r>
        <w:rPr>
          <w:rFonts w:ascii="DejaVu Sans Mono" w:hAnsi="DejaVu Sans Mono"/>
          <w:b w:val="0"/>
          <w:i w:val="0"/>
          <w:sz w:val="17"/>
        </w:rPr>
        <w:t>leftover</w:t>
      </w:r>
      <w:r>
        <w:rPr>
          <w:b w:val="0"/>
          <w:i w:val="0"/>
        </w:rPr>
        <w:t xml:space="preserve">, </w:t>
      </w:r>
      <w:r>
        <w:rPr>
          <w:rFonts w:ascii="DejaVu Sans Mono" w:hAnsi="DejaVu Sans Mono"/>
          <w:b w:val="0"/>
          <w:i w:val="0"/>
          <w:sz w:val="17"/>
        </w:rPr>
        <w:t>vre</w:t>
      </w:r>
      <w:r>
        <w:rPr>
          <w:b w:val="0"/>
          <w:i w:val="0"/>
        </w:rPr>
        <w:t xml:space="preserve">, </w:t>
      </w:r>
      <w:r>
        <w:rPr>
          <w:rFonts w:ascii="DejaVu Sans Mono" w:hAnsi="DejaVu Sans Mono"/>
          <w:b w:val="0"/>
          <w:i w:val="0"/>
          <w:sz w:val="17"/>
        </w:rPr>
        <w:t>demand</w:t>
      </w:r>
      <w:r>
        <w:rPr>
          <w:b w:val="0"/>
          <w:i w:val="0"/>
        </w:rPr>
        <w:t xml:space="preserve"> and </w:t>
      </w:r>
      <w:r>
        <w:rPr>
          <w:rFonts w:ascii="DejaVu Sans Mono" w:hAnsi="DejaVu Sans Mono"/>
          <w:b w:val="0"/>
          <w:i w:val="0"/>
          <w:sz w:val="17"/>
        </w:rPr>
        <w:t>discharge</w:t>
      </w:r>
      <w:r>
        <w:rPr>
          <w:b w:val="0"/>
          <w:i w:val="0"/>
        </w:rPr>
        <w:t xml:space="preserve"> respectively. The surplus supplies </w:t>
      </w:r>
      <w:r>
        <w:rPr>
          <w:rFonts w:ascii="DejaVu Sans Mono" w:hAnsi="DejaVu Sans Mono"/>
          <w:b w:val="0"/>
          <w:i w:val="0"/>
          <w:sz w:val="17"/>
        </w:rPr>
        <w:t>excess</w:t>
      </w:r>
      <w:r>
        <w:rPr>
          <w:b w:val="0"/>
          <w:i w:val="0"/>
        </w:rPr>
        <w:t xml:space="preserve">; the remaining VRE gap after existing discharge supplies </w:t>
      </w:r>
      <w:r>
        <w:rPr>
          <w:rFonts w:ascii="DejaVu Sans Mono" w:hAnsi="DejaVu Sans Mono"/>
          <w:b w:val="0"/>
          <w:i w:val="0"/>
          <w:sz w:val="17"/>
        </w:rPr>
        <w:t>deficit</w:t>
      </w:r>
      <w:r>
        <w:rPr>
          <w:b w:val="0"/>
          <w:i w:val="0"/>
        </w:rPr>
        <w:t>:</w:t>
      </w:r>
    </w:p>
    <w:p>
      <w:pPr>
        <w:spacing w:after="160"/>
        <w:jc w:val="center"/>
      </w:pPr>
      <w:r>
        <w:drawing>
          <wp:inline xmlns:a="http://schemas.openxmlformats.org/drawingml/2006/main" xmlns:pic="http://schemas.openxmlformats.org/drawingml/2006/picture">
            <wp:extent cx="3579875" cy="395478"/>
            <wp:docPr id="36" name="Picture 36"/>
            <wp:cNvGraphicFramePr>
              <a:graphicFrameLocks noChangeAspect="1"/>
            </wp:cNvGraphicFramePr>
            <a:graphic>
              <a:graphicData uri="http://schemas.openxmlformats.org/drawingml/2006/picture">
                <pic:pic>
                  <pic:nvPicPr>
                    <pic:cNvPr id="0" name="eq-036.png"/>
                    <pic:cNvPicPr/>
                  </pic:nvPicPr>
                  <pic:blipFill>
                    <a:blip r:embed="rId46"/>
                    <a:stretch>
                      <a:fillRect/>
                    </a:stretch>
                  </pic:blipFill>
                  <pic:spPr>
                    <a:xfrm>
                      <a:off x="0" y="0"/>
                      <a:ext cx="3579875" cy="395478"/>
                    </a:xfrm>
                    <a:prstGeom prst="rect"/>
                  </pic:spPr>
                </pic:pic>
              </a:graphicData>
            </a:graphic>
          </wp:inline>
        </w:drawing>
      </w:r>
    </w:p>
    <w:p>
      <w:r>
        <w:rPr>
          <w:b w:val="0"/>
          <w:i w:val="0"/>
        </w:rPr>
        <w:t xml:space="preserve">The virtual store begins empty and has </w:t>
      </w:r>
      <w:r>
        <w:rPr>
          <w:rFonts w:ascii="DejaVu Sans Mono" w:hAnsi="DejaVu Sans Mono"/>
          <w:b w:val="0"/>
          <w:i w:val="0"/>
          <w:sz w:val="17"/>
        </w:rPr>
        <w:t>power_mw=10⁹</w:t>
      </w:r>
      <w:r>
        <w:rPr>
          <w:b w:val="0"/>
          <w:i w:val="0"/>
        </w:rPr>
        <w:t xml:space="preserve"> MW, </w:t>
      </w:r>
      <w:r>
        <w:rPr>
          <w:rFonts w:ascii="DejaVu Sans Mono" w:hAnsi="DejaVu Sans Mono"/>
          <w:b w:val="0"/>
          <w:i w:val="0"/>
          <w:sz w:val="17"/>
        </w:rPr>
        <w:t>energy_cap_mwh=10⁹</w:t>
      </w:r>
      <w:r>
        <w:rPr>
          <w:b w:val="0"/>
          <w:i w:val="0"/>
        </w:rPr>
        <w:t xml:space="preserve"> MWh and charging efficiency </w:t>
      </w:r>
      <w:r>
        <w:rPr>
          <w:rFonts w:ascii="DejaVu Sans Mono" w:hAnsi="DejaVu Sans Mono"/>
          <w:b w:val="0"/>
          <w:i w:val="0"/>
          <w:sz w:val="17"/>
        </w:rPr>
        <w:t>rte=0.98</w:t>
      </w:r>
      <w:r>
        <w:rPr>
          <w:b w:val="0"/>
          <w:i w:val="0"/>
        </w:rPr>
        <w:t xml:space="preserve">; discharge efficiency is 1. </w:t>
      </w:r>
      <w:r>
        <w:rPr>
          <w:rFonts w:ascii="DejaVu Sans Mono" w:hAnsi="DejaVu Sans Mono"/>
          <w:b w:val="0"/>
          <w:i w:val="0"/>
          <w:sz w:val="17"/>
        </w:rPr>
        <w:t>_simulate_virtual_pool</w:t>
      </w:r>
      <w:r>
        <w:rPr>
          <w:b w:val="0"/>
          <w:i w:val="0"/>
        </w:rPr>
        <w:t xml:space="preserve"> charges before discharging in each period. In the following update, </w:t>
      </w:r>
      <w:r>
        <w:rPr>
          <w:rFonts w:ascii="DejaVu Sans Mono" w:hAnsi="DejaVu Sans Mono"/>
          <w:b w:val="0"/>
          <w:i w:val="0"/>
          <w:sz w:val="17"/>
        </w:rPr>
        <w:t>exc</w:t>
      </w:r>
      <w:r>
        <w:rPr>
          <w:b w:val="0"/>
          <w:i w:val="0"/>
        </w:rPr>
        <w:t xml:space="preserve"> and </w:t>
      </w:r>
      <w:r>
        <w:rPr>
          <w:rFonts w:ascii="DejaVu Sans Mono" w:hAnsi="DejaVu Sans Mono"/>
          <w:b w:val="0"/>
          <w:i w:val="0"/>
          <w:sz w:val="17"/>
        </w:rPr>
        <w:t>dfc</w:t>
      </w:r>
      <w:r>
        <w:rPr>
          <w:b w:val="0"/>
          <w:i w:val="0"/>
        </w:rPr>
        <w:t xml:space="preserve"> are period excess and deficit, and </w:t>
      </w:r>
      <w:r>
        <w:rPr>
          <w:rFonts w:ascii="DejaVu Sans Mono" w:hAnsi="DejaVu Sans Mono"/>
          <w:b w:val="0"/>
          <w:i w:val="0"/>
          <w:sz w:val="17"/>
        </w:rPr>
        <w:t>max_​period_​mwh=power_​mw×PERIOD_​HOURS</w:t>
      </w:r>
      <w:r>
        <w:rPr>
          <w:b w:val="0"/>
          <w:i w:val="0"/>
        </w:rPr>
        <w:t>:</w:t>
      </w:r>
    </w:p>
    <w:p>
      <w:pPr>
        <w:keepLines/>
        <w:spacing w:line="276" w:lineRule="auto" w:after="160"/>
      </w:pPr>
      <w:r>
        <w:rPr>
          <w:rFonts w:ascii="DejaVu Sans Mono" w:hAnsi="DejaVu Sans Mono"/>
          <w:b w:val="0"/>
          <w:i w:val="0"/>
          <w:sz w:val="17"/>
        </w:rPr>
        <w:t>ch = min(exc, max_period_mwh, (energy_cap_mwh - soc) / rte)</w:t>
        <w:br/>
        <w:t>soc += ch * rte</w:t>
        <w:br/>
        <w:t>dis = min(dfc, max_period_mwh, soc)</w:t>
        <w:br/>
        <w:t>soc -= dis</w:t>
        <w:br/>
        <w:t>charge[t] = ch</w:t>
        <w:br/>
        <w:t>discharge[t] = dis</w:t>
        <w:br/>
      </w:r>
    </w:p>
    <w:p>
      <w:r>
        <w:rPr>
          <w:rFonts w:ascii="DejaVu Sans Mono" w:hAnsi="DejaVu Sans Mono"/>
          <w:b w:val="0"/>
          <w:i w:val="0"/>
          <w:sz w:val="17"/>
        </w:rPr>
        <w:t>aligned_max_mw</w:t>
      </w:r>
      <w:r>
        <w:rPr>
          <w:b w:val="0"/>
          <w:i w:val="0"/>
        </w:rPr>
        <w:t xml:space="preserve"> finds the largest common charging and discharging power with at least </w:t>
      </w:r>
      <w:r>
        <w:rPr>
          <w:rFonts w:ascii="DejaVu Sans Mono" w:hAnsi="DejaVu Sans Mono"/>
          <w:b w:val="0"/>
          <w:i w:val="0"/>
          <w:sz w:val="17"/>
        </w:rPr>
        <w:t>min_hours</w:t>
      </w:r>
      <w:r>
        <w:rPr>
          <w:b w:val="0"/>
          <w:i w:val="0"/>
        </w:rPr>
        <w:t xml:space="preserve"> of use. </w:t>
      </w:r>
      <w:r>
        <w:rPr>
          <w:rFonts w:ascii="DejaVu Sans Mono" w:hAnsi="DejaVu Sans Mono"/>
          <w:b w:val="0"/>
          <w:i w:val="0"/>
          <w:sz w:val="17"/>
        </w:rPr>
        <w:t>hours_​above_​power(power_​mw,p_​mw)</w:t>
      </w:r>
      <w:r>
        <w:rPr>
          <w:b w:val="0"/>
          <w:i w:val="0"/>
        </w:rPr>
        <w:t xml:space="preserve"> counts periods strictly above the tested power and multiplies by 0.5 h. The search uses 64 bisection steps between zero and the smaller charging/discharging peak; an unattainable duration returns zero, and a nonpositive duration returns that peak.</w:t>
      </w:r>
    </w:p>
    <w:p>
      <w:pPr>
        <w:keepNext/>
      </w:pPr>
      <w:r>
        <w:rPr>
          <w:rFonts w:ascii="DejaVu Sans Mono" w:hAnsi="DejaVu Sans Mono"/>
          <w:b w:val="0"/>
          <w:i w:val="0"/>
          <w:sz w:val="17"/>
        </w:rPr>
        <w:t>aligned_​utilisation_​spectrum</w:t>
      </w:r>
      <w:r>
        <w:rPr>
          <w:b w:val="0"/>
          <w:i w:val="0"/>
        </w:rPr>
        <w:t xml:space="preserve"> applies this calculation at 730, 365, 52 and 0 hours, producing </w:t>
      </w:r>
      <w:r>
        <w:rPr>
          <w:rFonts w:ascii="DejaVu Sans Mono" w:hAnsi="DejaVu Sans Mono"/>
          <w:b w:val="0"/>
          <w:i w:val="0"/>
          <w:sz w:val="17"/>
        </w:rPr>
        <w:t>mw_730</w:t>
      </w:r>
      <w:r>
        <w:rPr>
          <w:b w:val="0"/>
          <w:i w:val="0"/>
        </w:rPr>
        <w:t xml:space="preserve">, </w:t>
      </w:r>
      <w:r>
        <w:rPr>
          <w:rFonts w:ascii="DejaVu Sans Mono" w:hAnsi="DejaVu Sans Mono"/>
          <w:b w:val="0"/>
          <w:i w:val="0"/>
          <w:sz w:val="17"/>
        </w:rPr>
        <w:t>mw_365</w:t>
      </w:r>
      <w:r>
        <w:rPr>
          <w:b w:val="0"/>
          <w:i w:val="0"/>
        </w:rPr>
        <w:t xml:space="preserve">, </w:t>
      </w:r>
      <w:r>
        <w:rPr>
          <w:rFonts w:ascii="DejaVu Sans Mono" w:hAnsi="DejaVu Sans Mono"/>
          <w:b w:val="0"/>
          <w:i w:val="0"/>
          <w:sz w:val="17"/>
        </w:rPr>
        <w:t>mw_52</w:t>
      </w:r>
      <w:r>
        <w:rPr>
          <w:b w:val="0"/>
          <w:i w:val="0"/>
        </w:rPr>
        <w:t xml:space="preserve"> and </w:t>
      </w:r>
      <w:r>
        <w:rPr>
          <w:rFonts w:ascii="DejaVu Sans Mono" w:hAnsi="DejaVu Sans Mono"/>
          <w:b w:val="0"/>
          <w:i w:val="0"/>
          <w:sz w:val="17"/>
        </w:rPr>
        <w:t>mw_0</w:t>
      </w:r>
      <w:r>
        <w:rPr>
          <w:b w:val="0"/>
          <w:i w:val="0"/>
        </w:rPr>
        <w:t>. Its successive MW bands are:</w:t>
      </w:r>
    </w:p>
    <w:p>
      <w:pPr>
        <w:spacing w:after="160"/>
        <w:jc w:val="center"/>
      </w:pPr>
      <w:r>
        <w:drawing>
          <wp:inline xmlns:a="http://schemas.openxmlformats.org/drawingml/2006/main" xmlns:pic="http://schemas.openxmlformats.org/drawingml/2006/picture">
            <wp:extent cx="2916555" cy="845710"/>
            <wp:docPr id="37" name="Picture 37"/>
            <wp:cNvGraphicFramePr>
              <a:graphicFrameLocks noChangeAspect="1"/>
            </wp:cNvGraphicFramePr>
            <a:graphic>
              <a:graphicData uri="http://schemas.openxmlformats.org/drawingml/2006/picture">
                <pic:pic>
                  <pic:nvPicPr>
                    <pic:cNvPr id="0" name="eq-037.png"/>
                    <pic:cNvPicPr/>
                  </pic:nvPicPr>
                  <pic:blipFill>
                    <a:blip r:embed="rId47"/>
                    <a:stretch>
                      <a:fillRect/>
                    </a:stretch>
                  </pic:blipFill>
                  <pic:spPr>
                    <a:xfrm>
                      <a:off x="0" y="0"/>
                      <a:ext cx="2916555" cy="845710"/>
                    </a:xfrm>
                    <a:prstGeom prst="rect"/>
                  </pic:spPr>
                </pic:pic>
              </a:graphicData>
            </a:graphic>
          </wp:inline>
        </w:drawing>
      </w:r>
    </w:p>
    <w:p>
      <w:r>
        <w:rPr>
          <w:b w:val="0"/>
          <w:i w:val="0"/>
        </w:rPr>
        <w:t xml:space="preserve">Each of the three battery types receives </w:t>
      </w:r>
      <w:r>
        <w:rPr>
          <w:rFonts w:ascii="DejaVu Sans Mono" w:hAnsi="DejaVu Sans Mono"/>
          <w:b w:val="0"/>
          <w:i w:val="0"/>
          <w:sz w:val="17"/>
        </w:rPr>
        <w:t>power_​cap=cap_​fraction×power_​room</w:t>
      </w:r>
      <w:r>
        <w:rPr>
          <w:b w:val="0"/>
          <w:i w:val="0"/>
        </w:rPr>
        <w:t xml:space="preserve">, where </w:t>
      </w:r>
      <w:r>
        <w:rPr>
          <w:rFonts w:ascii="DejaVu Sans Mono" w:hAnsi="DejaVu Sans Mono"/>
          <w:b w:val="0"/>
          <w:i w:val="0"/>
          <w:sz w:val="17"/>
        </w:rPr>
        <w:t>power_​room=daily+intraday</w:t>
      </w:r>
      <w:r>
        <w:rPr>
          <w:b w:val="0"/>
          <w:i w:val="0"/>
        </w:rPr>
        <w:t xml:space="preserve"> and the default </w:t>
      </w:r>
      <w:r>
        <w:rPr>
          <w:rFonts w:ascii="DejaVu Sans Mono" w:hAnsi="DejaVu Sans Mono"/>
          <w:b w:val="0"/>
          <w:i w:val="0"/>
          <w:sz w:val="17"/>
        </w:rPr>
        <w:t>cap_fraction</w:t>
      </w:r>
      <w:r>
        <w:rPr>
          <w:b w:val="0"/>
          <w:i w:val="0"/>
        </w:rPr>
        <w:t xml:space="preserve"> is 0.20. Hydrogen receives </w:t>
      </w:r>
      <w:r>
        <w:rPr>
          <w:rFonts w:ascii="DejaVu Sans Mono" w:hAnsi="DejaVu Sans Mono"/>
          <w:b w:val="0"/>
          <w:i w:val="0"/>
          <w:sz w:val="17"/>
        </w:rPr>
        <w:t>hydrogen_​cap=cap_​fraction×seasonal</w:t>
      </w:r>
      <w:r>
        <w:rPr>
          <w:b w:val="0"/>
          <w:i w:val="0"/>
        </w:rPr>
        <w:t>. Thus 1C, 0.5C and 0.25C each have a separate 0.20 share of the same power opportunity. Owners of a common technology consume its remaining limit in stable order. Prices and investment returns are evaluated separately.</w:t>
      </w:r>
    </w:p>
    <w:p>
      <w:r>
        <w:rPr>
          <w:b w:val="0"/>
          <w:i w:val="0"/>
        </w:rPr>
        <w:t xml:space="preserve">This calculation requires 17,520 half-hours and the post-charge surplus series. Partial years return zero with </w:t>
      </w:r>
      <w:r>
        <w:rPr>
          <w:rFonts w:ascii="DejaVu Sans Mono" w:hAnsi="DejaVu Sans Mono"/>
          <w:b w:val="0"/>
          <w:i w:val="0"/>
          <w:sz w:val="17"/>
        </w:rPr>
        <w:t>partial_year_chronology</w:t>
      </w:r>
      <w:r>
        <w:rPr>
          <w:b w:val="0"/>
          <w:i w:val="0"/>
        </w:rPr>
        <w:t xml:space="preserve">; a missing series returns zero with </w:t>
      </w:r>
      <w:r>
        <w:rPr>
          <w:rFonts w:ascii="DejaVu Sans Mono" w:hAnsi="DejaVu Sans Mono"/>
          <w:b w:val="0"/>
          <w:i w:val="0"/>
          <w:sz w:val="17"/>
        </w:rPr>
        <w:t>leftover_​trace_​unavailable</w:t>
      </w:r>
      <w:r>
        <w:rPr>
          <w:b w:val="0"/>
          <w:i w:val="0"/>
        </w:rPr>
        <w:t>. Native dispatch supplies the series. Staged dispatch, perfect-foresight LP, DC dispatch and the experimental national pathway receive zero corrected storage headroom under these checks. The doctoral reproduction profile instead derives surplus from accepted VRE minus demand; accepted VRE in that PSM stays within demand, yielding zero headroom.</w:t>
      </w:r>
    </w:p>
    <w:p>
      <w:pPr>
        <w:pStyle w:val="Heading2"/>
      </w:pPr>
      <w:r>
        <w:rPr>
          <w:b w:val="0"/>
          <w:i w:val="0"/>
        </w:rPr>
        <w:t>Annual investment</w:t>
      </w:r>
    </w:p>
    <w:p>
      <w:r>
        <w:rPr>
          <w:b w:val="0"/>
          <w:i w:val="0"/>
        </w:rPr>
        <w:t xml:space="preserve">Investment pools assets by owner, technology and region. </w:t>
      </w:r>
      <w:r>
        <w:rPr>
          <w:rFonts w:ascii="DejaVu Sans Mono" w:hAnsi="DejaVu Sans Mono"/>
          <w:b w:val="0"/>
          <w:i w:val="0"/>
          <w:sz w:val="17"/>
        </w:rPr>
        <w:t>adapt_​market_​for_​investment</w:t>
      </w:r>
      <w:r>
        <w:rPr>
          <w:b w:val="0"/>
          <w:i w:val="0"/>
        </w:rPr>
        <w:t xml:space="preserve"> first assigns owner-level income to assets in proportion to their operating MW; asset-level income enters directly. </w:t>
      </w:r>
      <w:r>
        <w:rPr>
          <w:rFonts w:ascii="DejaVu Sans Mono" w:hAnsi="DejaVu Sans Mono"/>
          <w:b w:val="0"/>
          <w:i w:val="0"/>
          <w:sz w:val="17"/>
        </w:rPr>
        <w:t>SchemeCAgentInvestmentDefinition.decide</w:t>
      </w:r>
      <w:r>
        <w:rPr>
          <w:b w:val="0"/>
          <w:i w:val="0"/>
        </w:rPr>
        <w:t xml:space="preserve"> sums </w:t>
      </w:r>
      <w:r>
        <w:rPr>
          <w:rFonts w:ascii="DejaVu Sans Mono" w:hAnsi="DejaVu Sans Mono"/>
          <w:b w:val="0"/>
          <w:i w:val="0"/>
          <w:sz w:val="17"/>
        </w:rPr>
        <w:t>capacity_mw</w:t>
      </w:r>
      <w:r>
        <w:rPr>
          <w:b w:val="0"/>
          <w:i w:val="0"/>
        </w:rPr>
        <w:t xml:space="preserve"> into </w:t>
      </w:r>
      <w:r>
        <w:rPr>
          <w:rFonts w:ascii="DejaVu Sans Mono" w:hAnsi="DejaVu Sans Mono"/>
          <w:b w:val="0"/>
          <w:i w:val="0"/>
          <w:sz w:val="17"/>
        </w:rPr>
        <w:t>capacity</w:t>
      </w:r>
      <w:r>
        <w:rPr>
          <w:b w:val="0"/>
          <w:i w:val="0"/>
        </w:rPr>
        <w:t xml:space="preserve">, income into </w:t>
      </w:r>
      <w:r>
        <w:rPr>
          <w:rFonts w:ascii="DejaVu Sans Mono" w:hAnsi="DejaVu Sans Mono"/>
          <w:b w:val="0"/>
          <w:i w:val="0"/>
          <w:sz w:val="17"/>
        </w:rPr>
        <w:t>income</w:t>
      </w:r>
      <w:r>
        <w:rPr>
          <w:b w:val="0"/>
          <w:i w:val="0"/>
        </w:rPr>
        <w:t xml:space="preserve">, total asset CAPEX into </w:t>
      </w:r>
      <w:r>
        <w:rPr>
          <w:rFonts w:ascii="DejaVu Sans Mono" w:hAnsi="DejaVu Sans Mono"/>
          <w:b w:val="0"/>
          <w:i w:val="0"/>
          <w:sz w:val="17"/>
        </w:rPr>
        <w:t>replacement</w:t>
      </w:r>
      <w:r>
        <w:rPr>
          <w:b w:val="0"/>
          <w:i w:val="0"/>
        </w:rPr>
        <w:t xml:space="preserve">, and operating expenditure into </w:t>
      </w:r>
      <w:r>
        <w:rPr>
          <w:rFonts w:ascii="DejaVu Sans Mono" w:hAnsi="DejaVu Sans Mono"/>
          <w:b w:val="0"/>
          <w:i w:val="0"/>
          <w:sz w:val="17"/>
        </w:rPr>
        <w:t>operational</w:t>
      </w:r>
      <w:r>
        <w:rPr>
          <w:b w:val="0"/>
          <w:i w:val="0"/>
        </w:rPr>
        <w:t>.</w:t>
      </w:r>
    </w:p>
    <w:p>
      <w:pPr>
        <w:keepNext/>
      </w:pPr>
      <w:r>
        <w:rPr>
          <w:b w:val="0"/>
          <w:i w:val="0"/>
        </w:rPr>
        <w:t xml:space="preserve">Thermal operating expenditure is generated MWh multiplied by generation, fuel, carbon and unit-time costs. The </w:t>
      </w:r>
      <w:r>
        <w:rPr>
          <w:rFonts w:ascii="DejaVu Sans Mono" w:hAnsi="DejaVu Sans Mono"/>
          <w:b w:val="0"/>
          <w:i w:val="0"/>
          <w:sz w:val="17"/>
        </w:rPr>
        <w:t>agent_cashflow</w:t>
      </w:r>
      <w:r>
        <w:rPr>
          <w:b w:val="0"/>
          <w:i w:val="0"/>
        </w:rPr>
        <w:t xml:space="preserve"> row provides </w:t>
      </w:r>
      <w:r>
        <w:rPr>
          <w:rFonts w:ascii="DejaVu Sans Mono" w:hAnsi="DejaVu Sans Mono"/>
          <w:b w:val="0"/>
          <w:i w:val="0"/>
          <w:sz w:val="17"/>
        </w:rPr>
        <w:t>generated_mwh</w:t>
      </w:r>
      <w:r>
        <w:rPr>
          <w:b w:val="0"/>
          <w:i w:val="0"/>
        </w:rPr>
        <w:t xml:space="preserve">, </w:t>
      </w:r>
      <w:r>
        <w:rPr>
          <w:rFonts w:ascii="DejaVu Sans Mono" w:hAnsi="DejaVu Sans Mono"/>
          <w:b w:val="0"/>
          <w:i w:val="0"/>
          <w:sz w:val="17"/>
        </w:rPr>
        <w:t>generation_​cost_​gbp_​per_​mwh</w:t>
      </w:r>
      <w:r>
        <w:rPr>
          <w:b w:val="0"/>
          <w:i w:val="0"/>
        </w:rPr>
        <w:t xml:space="preserve">, </w:t>
      </w:r>
      <w:r>
        <w:rPr>
          <w:rFonts w:ascii="DejaVu Sans Mono" w:hAnsi="DejaVu Sans Mono"/>
          <w:b w:val="0"/>
          <w:i w:val="0"/>
          <w:sz w:val="17"/>
        </w:rPr>
        <w:t>fuel_cost_gbp_per_mwh</w:t>
      </w:r>
      <w:r>
        <w:rPr>
          <w:b w:val="0"/>
          <w:i w:val="0"/>
        </w:rPr>
        <w:t xml:space="preserve">, </w:t>
      </w:r>
      <w:r>
        <w:rPr>
          <w:rFonts w:ascii="DejaVu Sans Mono" w:hAnsi="DejaVu Sans Mono"/>
          <w:b w:val="0"/>
          <w:i w:val="0"/>
          <w:sz w:val="17"/>
        </w:rPr>
        <w:t>carbon_cost_gbp_per_mwh</w:t>
      </w:r>
      <w:r>
        <w:rPr>
          <w:b w:val="0"/>
          <w:i w:val="0"/>
        </w:rPr>
        <w:t xml:space="preserve"> and </w:t>
      </w:r>
      <w:r>
        <w:rPr>
          <w:rFonts w:ascii="DejaVu Sans Mono" w:hAnsi="DejaVu Sans Mono"/>
          <w:b w:val="0"/>
          <w:i w:val="0"/>
          <w:sz w:val="17"/>
        </w:rPr>
        <w:t>unit_​time_​cost_​gbp_​per_​mwh</w:t>
      </w:r>
      <w:r>
        <w:rPr>
          <w:b w:val="0"/>
          <w:i w:val="0"/>
        </w:rPr>
        <w:t xml:space="preserve">. Wind, solar and storage use zero operating deduction in this investment rule. The group’s </w:t>
      </w:r>
      <w:r>
        <w:rPr>
          <w:rFonts w:ascii="DejaVu Sans Mono" w:hAnsi="DejaVu Sans Mono"/>
          <w:b w:val="0"/>
          <w:i w:val="0"/>
          <w:sz w:val="17"/>
        </w:rPr>
        <w:t>net</w:t>
      </w:r>
      <w:r>
        <w:rPr>
          <w:b w:val="0"/>
          <w:i w:val="0"/>
        </w:rPr>
        <w:t xml:space="preserve"> income, unit CAPEX, </w:t>
      </w:r>
      <w:r>
        <w:rPr>
          <w:rFonts w:ascii="DejaVu Sans Mono" w:hAnsi="DejaVu Sans Mono"/>
          <w:b w:val="0"/>
          <w:i w:val="0"/>
          <w:sz w:val="17"/>
        </w:rPr>
        <w:t>roi</w:t>
      </w:r>
      <w:r>
        <w:rPr>
          <w:b w:val="0"/>
          <w:i w:val="0"/>
        </w:rPr>
        <w:t xml:space="preserve"> and payback are:</w:t>
      </w:r>
    </w:p>
    <w:p>
      <w:pPr>
        <w:spacing w:after="160"/>
        <w:jc w:val="center"/>
      </w:pPr>
      <w:r>
        <w:drawing>
          <wp:inline xmlns:a="http://schemas.openxmlformats.org/drawingml/2006/main" xmlns:pic="http://schemas.openxmlformats.org/drawingml/2006/picture">
            <wp:extent cx="3564026" cy="1085896"/>
            <wp:docPr id="38" name="Picture 38"/>
            <wp:cNvGraphicFramePr>
              <a:graphicFrameLocks noChangeAspect="1"/>
            </wp:cNvGraphicFramePr>
            <a:graphic>
              <a:graphicData uri="http://schemas.openxmlformats.org/drawingml/2006/picture">
                <pic:pic>
                  <pic:nvPicPr>
                    <pic:cNvPr id="0" name="eq-038.png"/>
                    <pic:cNvPicPr/>
                  </pic:nvPicPr>
                  <pic:blipFill>
                    <a:blip r:embed="rId48"/>
                    <a:stretch>
                      <a:fillRect/>
                    </a:stretch>
                  </pic:blipFill>
                  <pic:spPr>
                    <a:xfrm>
                      <a:off x="0" y="0"/>
                      <a:ext cx="3564026" cy="1085896"/>
                    </a:xfrm>
                    <a:prstGeom prst="rect"/>
                  </pic:spPr>
                </pic:pic>
              </a:graphicData>
            </a:graphic>
          </wp:inline>
        </w:drawing>
      </w:r>
    </w:p>
    <w:p>
      <w:pPr>
        <w:keepNext/>
      </w:pPr>
      <w:r>
        <w:rPr>
          <w:rFonts w:ascii="DejaVu Sans Mono" w:hAnsi="DejaVu Sans Mono"/>
          <w:b w:val="0"/>
          <w:i w:val="0"/>
          <w:sz w:val="17"/>
        </w:rPr>
        <w:t>income</w:t>
      </w:r>
      <w:r>
        <w:rPr>
          <w:b w:val="0"/>
          <w:i w:val="0"/>
        </w:rPr>
        <w:t xml:space="preserve">, </w:t>
      </w:r>
      <w:r>
        <w:rPr>
          <w:rFonts w:ascii="DejaVu Sans Mono" w:hAnsi="DejaVu Sans Mono"/>
          <w:b w:val="0"/>
          <w:i w:val="0"/>
          <w:sz w:val="17"/>
        </w:rPr>
        <w:t>operational</w:t>
      </w:r>
      <w:r>
        <w:rPr>
          <w:b w:val="0"/>
          <w:i w:val="0"/>
        </w:rPr>
        <w:t xml:space="preserve">, </w:t>
      </w:r>
      <w:r>
        <w:rPr>
          <w:rFonts w:ascii="DejaVu Sans Mono" w:hAnsi="DejaVu Sans Mono"/>
          <w:b w:val="0"/>
          <w:i w:val="0"/>
          <w:sz w:val="17"/>
        </w:rPr>
        <w:t>net</w:t>
      </w:r>
      <w:r>
        <w:rPr>
          <w:b w:val="0"/>
          <w:i w:val="0"/>
        </w:rPr>
        <w:t xml:space="preserve"> and </w:t>
      </w:r>
      <w:r>
        <w:rPr>
          <w:rFonts w:ascii="DejaVu Sans Mono" w:hAnsi="DejaVu Sans Mono"/>
          <w:b w:val="0"/>
          <w:i w:val="0"/>
          <w:sz w:val="17"/>
        </w:rPr>
        <w:t>replacement</w:t>
      </w:r>
      <w:r>
        <w:rPr>
          <w:b w:val="0"/>
          <w:i w:val="0"/>
        </w:rPr>
        <w:t xml:space="preserve"> are GBP; </w:t>
      </w:r>
      <w:r>
        <w:rPr>
          <w:rFonts w:ascii="DejaVu Sans Mono" w:hAnsi="DejaVu Sans Mono"/>
          <w:b w:val="0"/>
          <w:i w:val="0"/>
          <w:sz w:val="17"/>
        </w:rPr>
        <w:t>cost_per_mw</w:t>
      </w:r>
      <w:r>
        <w:rPr>
          <w:b w:val="0"/>
          <w:i w:val="0"/>
        </w:rPr>
        <w:t xml:space="preserve"> is GBP/MW; </w:t>
      </w:r>
      <w:r>
        <w:rPr>
          <w:rFonts w:ascii="DejaVu Sans Mono" w:hAnsi="DejaVu Sans Mono"/>
          <w:b w:val="0"/>
          <w:i w:val="0"/>
          <w:sz w:val="17"/>
        </w:rPr>
        <w:t>roi</w:t>
      </w:r>
      <w:r>
        <w:rPr>
          <w:b w:val="0"/>
          <w:i w:val="0"/>
        </w:rPr>
        <w:t xml:space="preserve"> is annual return and </w:t>
      </w:r>
      <w:r>
        <w:rPr>
          <w:rFonts w:ascii="DejaVu Sans Mono" w:hAnsi="DejaVu Sans Mono"/>
          <w:b w:val="0"/>
          <w:i w:val="0"/>
          <w:sz w:val="17"/>
        </w:rPr>
        <w:t>payback</w:t>
      </w:r>
      <w:r>
        <w:rPr>
          <w:b w:val="0"/>
          <w:i w:val="0"/>
        </w:rPr>
        <w:t xml:space="preserve"> is years. Zero replacement capital gives zero </w:t>
      </w:r>
      <w:r>
        <w:rPr>
          <w:rFonts w:ascii="DejaVu Sans Mono" w:hAnsi="DejaVu Sans Mono"/>
          <w:b w:val="0"/>
          <w:i w:val="0"/>
          <w:sz w:val="17"/>
        </w:rPr>
        <w:t>roi</w:t>
      </w:r>
      <w:r>
        <w:rPr>
          <w:b w:val="0"/>
          <w:i w:val="0"/>
        </w:rPr>
        <w:t xml:space="preserve">. Thermal rounding differences are absorbed by setting </w:t>
      </w:r>
      <w:r>
        <w:rPr>
          <w:rFonts w:ascii="DejaVu Sans Mono" w:hAnsi="DejaVu Sans Mono"/>
          <w:b w:val="0"/>
          <w:i w:val="0"/>
          <w:sz w:val="17"/>
        </w:rPr>
        <w:t>net</w:t>
      </w:r>
      <w:r>
        <w:rPr>
          <w:b w:val="0"/>
          <w:i w:val="0"/>
        </w:rPr>
        <w:t xml:space="preserve"> to zero when:</w:t>
      </w:r>
    </w:p>
    <w:p>
      <w:pPr>
        <w:spacing w:after="160"/>
        <w:jc w:val="center"/>
      </w:pPr>
      <w:r>
        <w:drawing>
          <wp:inline xmlns:a="http://schemas.openxmlformats.org/drawingml/2006/main" xmlns:pic="http://schemas.openxmlformats.org/drawingml/2006/picture">
            <wp:extent cx="3182569" cy="196624"/>
            <wp:docPr id="39" name="Picture 39"/>
            <wp:cNvGraphicFramePr>
              <a:graphicFrameLocks noChangeAspect="1"/>
            </wp:cNvGraphicFramePr>
            <a:graphic>
              <a:graphicData uri="http://schemas.openxmlformats.org/drawingml/2006/picture">
                <pic:pic>
                  <pic:nvPicPr>
                    <pic:cNvPr id="0" name="eq-039.png"/>
                    <pic:cNvPicPr/>
                  </pic:nvPicPr>
                  <pic:blipFill>
                    <a:blip r:embed="rId49"/>
                    <a:stretch>
                      <a:fillRect/>
                    </a:stretch>
                  </pic:blipFill>
                  <pic:spPr>
                    <a:xfrm>
                      <a:off x="0" y="0"/>
                      <a:ext cx="3182569" cy="196624"/>
                    </a:xfrm>
                    <a:prstGeom prst="rect"/>
                  </pic:spPr>
                </pic:pic>
              </a:graphicData>
            </a:graphic>
          </wp:inline>
        </w:drawing>
      </w:r>
    </w:p>
    <w:p>
      <w:r>
        <w:rPr>
          <w:b w:val="0"/>
          <w:i w:val="0"/>
        </w:rPr>
        <w:t xml:space="preserve">Both methodology profiles use this net-income account. </w:t>
      </w:r>
      <w:r>
        <w:rPr>
          <w:rFonts w:ascii="DejaVu Sans Mono" w:hAnsi="DejaVu Sans Mono"/>
          <w:b w:val="0"/>
          <w:i w:val="0"/>
          <w:sz w:val="17"/>
        </w:rPr>
        <w:t>preferred</w:t>
      </w:r>
      <w:r>
        <w:rPr>
          <w:b w:val="0"/>
          <w:i w:val="0"/>
        </w:rPr>
        <w:t xml:space="preserve"> takes the largest member </w:t>
      </w:r>
      <w:r>
        <w:rPr>
          <w:rFonts w:ascii="DejaVu Sans Mono" w:hAnsi="DejaVu Sans Mono"/>
          <w:b w:val="0"/>
          <w:i w:val="0"/>
          <w:sz w:val="17"/>
        </w:rPr>
        <w:t>preferred_rate</w:t>
      </w:r>
      <w:r>
        <w:rPr>
          <w:b w:val="0"/>
          <w:i w:val="0"/>
        </w:rPr>
        <w:t xml:space="preserve">, </w:t>
      </w:r>
      <w:r>
        <w:rPr>
          <w:rFonts w:ascii="DejaVu Sans Mono" w:hAnsi="DejaVu Sans Mono"/>
          <w:b w:val="0"/>
          <w:i w:val="0"/>
          <w:sz w:val="17"/>
        </w:rPr>
        <w:t>life</w:t>
      </w:r>
      <w:r>
        <w:rPr>
          <w:b w:val="0"/>
          <w:i w:val="0"/>
        </w:rPr>
        <w:t xml:space="preserve"> the shortest </w:t>
      </w:r>
      <w:r>
        <w:rPr>
          <w:rFonts w:ascii="DejaVu Sans Mono" w:hAnsi="DejaVu Sans Mono"/>
          <w:b w:val="0"/>
          <w:i w:val="0"/>
          <w:sz w:val="17"/>
        </w:rPr>
        <w:t>economic_lifetime_years</w:t>
      </w:r>
      <w:r>
        <w:rPr>
          <w:b w:val="0"/>
          <w:i w:val="0"/>
        </w:rPr>
        <w:t xml:space="preserve">, and </w:t>
      </w:r>
      <w:r>
        <w:rPr>
          <w:rFonts w:ascii="DejaVu Sans Mono" w:hAnsi="DejaVu Sans Mono"/>
          <w:b w:val="0"/>
          <w:i w:val="0"/>
          <w:sz w:val="17"/>
        </w:rPr>
        <w:t>target_payback</w:t>
      </w:r>
      <w:r>
        <w:rPr>
          <w:b w:val="0"/>
          <w:i w:val="0"/>
        </w:rPr>
        <w:t xml:space="preserve"> the shortest </w:t>
      </w:r>
      <w:r>
        <w:rPr>
          <w:rFonts w:ascii="DejaVu Sans Mono" w:hAnsi="DejaVu Sans Mono"/>
          <w:b w:val="0"/>
          <w:i w:val="0"/>
          <w:sz w:val="17"/>
        </w:rPr>
        <w:t>target_payback_years</w:t>
      </w:r>
      <w:r>
        <w:rPr>
          <w:b w:val="0"/>
          <w:i w:val="0"/>
        </w:rPr>
        <w:t xml:space="preserve">. Defaults are 0.08, 25 years and the group lifetime respectively; zero values invoke the same defaults. Investment compares undiscounted </w:t>
      </w:r>
      <w:r>
        <w:rPr>
          <w:rFonts w:ascii="DejaVu Sans Mono" w:hAnsi="DejaVu Sans Mono"/>
          <w:b w:val="0"/>
          <w:i w:val="0"/>
          <w:sz w:val="17"/>
        </w:rPr>
        <w:t>roi</w:t>
      </w:r>
      <w:r>
        <w:rPr>
          <w:b w:val="0"/>
          <w:i w:val="0"/>
        </w:rPr>
        <w:t xml:space="preserve"> with </w:t>
      </w:r>
      <w:r>
        <w:rPr>
          <w:rFonts w:ascii="DejaVu Sans Mono" w:hAnsi="DejaVu Sans Mono"/>
          <w:b w:val="0"/>
          <w:i w:val="0"/>
          <w:sz w:val="17"/>
        </w:rPr>
        <w:t>preferred</w:t>
      </w:r>
      <w:r>
        <w:rPr>
          <w:b w:val="0"/>
          <w:i w:val="0"/>
        </w:rPr>
        <w:t xml:space="preserve"> and undiscounted </w:t>
      </w:r>
      <w:r>
        <w:rPr>
          <w:rFonts w:ascii="DejaVu Sans Mono" w:hAnsi="DejaVu Sans Mono"/>
          <w:b w:val="0"/>
          <w:i w:val="0"/>
          <w:sz w:val="17"/>
        </w:rPr>
        <w:t>payback</w:t>
      </w:r>
      <w:r>
        <w:rPr>
          <w:b w:val="0"/>
          <w:i w:val="0"/>
        </w:rPr>
        <w:t xml:space="preserve"> with </w:t>
      </w:r>
      <w:r>
        <w:rPr>
          <w:rFonts w:ascii="DejaVu Sans Mono" w:hAnsi="DejaVu Sans Mono"/>
          <w:b w:val="0"/>
          <w:i w:val="0"/>
          <w:sz w:val="17"/>
        </w:rPr>
        <w:t>target_payback</w:t>
      </w:r>
      <w:r>
        <w:rPr>
          <w:b w:val="0"/>
          <w:i w:val="0"/>
        </w:rPr>
        <w:t>, in constant start-year GBP.</w:t>
      </w:r>
    </w:p>
    <w:p>
      <w:pPr>
        <w:keepNext/>
      </w:pPr>
      <w:r>
        <w:rPr>
          <w:b w:val="0"/>
          <w:i w:val="0"/>
        </w:rPr>
        <w:t xml:space="preserve">A loss-making group with positive unit CAPEX retires capacity in proportion to its members’ MW. Profitable groups receive </w:t>
      </w:r>
      <w:r>
        <w:rPr>
          <w:rFonts w:ascii="DejaVu Sans Mono" w:hAnsi="DejaVu Sans Mono"/>
          <w:b w:val="0"/>
          <w:i w:val="0"/>
          <w:sz w:val="17"/>
        </w:rPr>
        <w:t>Invest_High</w:t>
      </w:r>
      <w:r>
        <w:rPr>
          <w:b w:val="0"/>
          <w:i w:val="0"/>
        </w:rPr>
        <w:t xml:space="preserve"> when </w:t>
      </w:r>
      <w:r>
        <w:rPr>
          <w:rFonts w:ascii="DejaVu Sans Mono" w:hAnsi="DejaVu Sans Mono"/>
          <w:b w:val="0"/>
          <w:i w:val="0"/>
          <w:sz w:val="17"/>
        </w:rPr>
        <w:t>roi&gt;preferred</w:t>
      </w:r>
      <w:r>
        <w:rPr>
          <w:b w:val="0"/>
          <w:i w:val="0"/>
        </w:rPr>
        <w:t xml:space="preserve">, otherwise </w:t>
      </w:r>
      <w:r>
        <w:rPr>
          <w:rFonts w:ascii="DejaVu Sans Mono" w:hAnsi="DejaVu Sans Mono"/>
          <w:b w:val="0"/>
          <w:i w:val="0"/>
          <w:sz w:val="17"/>
        </w:rPr>
        <w:t>Invest_Profit</w:t>
      </w:r>
      <w:r>
        <w:rPr>
          <w:b w:val="0"/>
          <w:i w:val="0"/>
        </w:rPr>
        <w:t xml:space="preserve"> when </w:t>
      </w:r>
      <w:r>
        <w:rPr>
          <w:rFonts w:ascii="DejaVu Sans Mono" w:hAnsi="DejaVu Sans Mono"/>
          <w:b w:val="0"/>
          <w:i w:val="0"/>
          <w:sz w:val="17"/>
        </w:rPr>
        <w:t>payback≤target_payback</w:t>
      </w:r>
      <w:r>
        <w:rPr>
          <w:b w:val="0"/>
          <w:i w:val="0"/>
        </w:rPr>
        <w:t xml:space="preserve">; the remaining groups receive </w:t>
      </w:r>
      <w:r>
        <w:rPr>
          <w:rFonts w:ascii="DejaVu Sans Mono" w:hAnsi="DejaVu Sans Mono"/>
          <w:b w:val="0"/>
          <w:i w:val="0"/>
          <w:sz w:val="17"/>
        </w:rPr>
        <w:t>Do_Nothing</w:t>
      </w:r>
      <w:r>
        <w:rPr>
          <w:b w:val="0"/>
          <w:i w:val="0"/>
        </w:rPr>
        <w:t>. Both investment classes request profit divided by unit CAPEX.</w:t>
      </w:r>
    </w:p>
    <w:p>
      <w:pPr>
        <w:spacing w:after="160"/>
        <w:jc w:val="center"/>
      </w:pPr>
      <w:r>
        <w:drawing>
          <wp:inline xmlns:a="http://schemas.openxmlformats.org/drawingml/2006/main" xmlns:pic="http://schemas.openxmlformats.org/drawingml/2006/picture">
            <wp:extent cx="5379720" cy="864230"/>
            <wp:docPr id="40" name="Picture 40"/>
            <wp:cNvGraphicFramePr>
              <a:graphicFrameLocks noChangeAspect="1"/>
            </wp:cNvGraphicFramePr>
            <a:graphic>
              <a:graphicData uri="http://schemas.openxmlformats.org/drawingml/2006/picture">
                <pic:pic>
                  <pic:nvPicPr>
                    <pic:cNvPr id="0" name="eq-040.png"/>
                    <pic:cNvPicPr/>
                  </pic:nvPicPr>
                  <pic:blipFill>
                    <a:blip r:embed="rId50"/>
                    <a:stretch>
                      <a:fillRect/>
                    </a:stretch>
                  </pic:blipFill>
                  <pic:spPr>
                    <a:xfrm>
                      <a:off x="0" y="0"/>
                      <a:ext cx="5379720" cy="864230"/>
                    </a:xfrm>
                    <a:prstGeom prst="rect"/>
                  </pic:spPr>
                </pic:pic>
              </a:graphicData>
            </a:graphic>
          </wp:inline>
        </w:drawing>
      </w:r>
    </w:p>
    <w:p>
      <w:r>
        <w:rPr>
          <w:b w:val="0"/>
          <w:i w:val="0"/>
        </w:rPr>
        <w:t xml:space="preserve">For wind, solar, the three battery types and hydrogen, </w:t>
      </w:r>
      <w:r>
        <w:rPr>
          <w:rFonts w:ascii="DejaVu Sans Mono" w:hAnsi="DejaVu Sans Mono"/>
          <w:b w:val="0"/>
          <w:i w:val="0"/>
          <w:sz w:val="17"/>
        </w:rPr>
        <w:t>allowed</w:t>
      </w:r>
      <w:r>
        <w:rPr>
          <w:b w:val="0"/>
          <w:i w:val="0"/>
        </w:rPr>
        <w:t xml:space="preserve"> is the remaining technology limit; concurrent policies use their minimum. CCGT, OCGT, gas and biomass use their requested quantity as </w:t>
      </w:r>
      <w:r>
        <w:rPr>
          <w:rFonts w:ascii="DejaVu Sans Mono" w:hAnsi="DejaVu Sans Mono"/>
          <w:b w:val="0"/>
          <w:i w:val="0"/>
          <w:sz w:val="17"/>
        </w:rPr>
        <w:t>allowed</w:t>
      </w:r>
      <w:r>
        <w:rPr>
          <w:b w:val="0"/>
          <w:i w:val="0"/>
        </w:rPr>
        <w:t xml:space="preserve"> under the uncapped eligibility policy. At a price equal to their operating cost, thermal assets have zero net income and zero additions. Nuclear follows an exogenous construction schedule; hydro and pumped-hydro additions require site and hydrological inputs.</w:t>
      </w:r>
    </w:p>
    <w:p>
      <w:r>
        <w:rPr>
          <w:b w:val="0"/>
          <w:i w:val="0"/>
        </w:rPr>
        <w:t xml:space="preserve">Storage investment uses booked ahead and balancing income, including ahead remuneration retained during buy-back. Under the corrected methodology, Native dispatch settles storage at each stage’s uniform marginal price. Under the doctoral reproduction profile, storage receives its own highest accepted storage bid, and periods with an empty accepted-generator set carry zero income, as specified in Chapter 5. Surplus charging is free. The investment numerator is this recorded income before cycle depreciation and fixed OPEX; </w:t>
      </w:r>
      <w:r>
        <w:rPr>
          <w:rFonts w:ascii="DejaVu Sans Mono" w:hAnsi="DejaVu Sans Mono"/>
          <w:b w:val="0"/>
          <w:i w:val="0"/>
          <w:sz w:val="17"/>
        </w:rPr>
        <w:t>tier_roi</w:t>
      </w:r>
      <w:r>
        <w:rPr>
          <w:b w:val="0"/>
          <w:i w:val="0"/>
        </w:rPr>
        <w:t xml:space="preserve"> remains inactive.</w:t>
      </w:r>
    </w:p>
    <w:p>
      <w:pPr>
        <w:pStyle w:val="Heading2"/>
      </w:pPr>
      <w:r>
        <w:rPr>
          <w:b w:val="0"/>
          <w:i w:val="0"/>
        </w:rPr>
        <w:t>Construction timing and planning success</w:t>
      </w:r>
    </w:p>
    <w:p>
      <w:r>
        <w:rPr>
          <w:b w:val="0"/>
          <w:i w:val="0"/>
        </w:rPr>
        <w:t xml:space="preserve">Endogenous investment enters planning with the data pack’s construction timeline and regional success rate. Both methodology profiles apply this rule. </w:t>
      </w:r>
      <w:r>
        <w:rPr>
          <w:rFonts w:ascii="DejaVu Sans Mono" w:hAnsi="DejaVu Sans Mono"/>
          <w:b w:val="0"/>
          <w:i w:val="0"/>
          <w:sz w:val="17"/>
        </w:rPr>
        <w:t>native_initial_state</w:t>
      </w:r>
      <w:r>
        <w:rPr>
          <w:b w:val="0"/>
          <w:i w:val="0"/>
        </w:rPr>
        <w:t xml:space="preserve"> uses </w:t>
      </w:r>
      <w:r>
        <w:rPr>
          <w:rFonts w:ascii="DejaVu Sans Mono" w:hAnsi="DejaVu Sans Mono"/>
          <w:b w:val="0"/>
          <w:i w:val="0"/>
          <w:sz w:val="17"/>
        </w:rPr>
        <w:t>freeze_​planning_​parameters</w:t>
      </w:r>
      <w:r>
        <w:rPr>
          <w:b w:val="0"/>
          <w:i w:val="0"/>
        </w:rPr>
        <w:t xml:space="preserve"> to store </w:t>
      </w:r>
      <w:r>
        <w:rPr>
          <w:rFonts w:ascii="DejaVu Sans Mono" w:hAnsi="DejaVu Sans Mono"/>
          <w:b w:val="0"/>
          <w:i w:val="0"/>
          <w:sz w:val="17"/>
        </w:rPr>
        <w:t>development_​stage_​timelines</w:t>
      </w:r>
      <w:r>
        <w:rPr>
          <w:b w:val="0"/>
          <w:i w:val="0"/>
        </w:rPr>
        <w:t xml:space="preserve">, </w:t>
      </w:r>
      <w:r>
        <w:rPr>
          <w:rFonts w:ascii="DejaVu Sans Mono" w:hAnsi="DejaVu Sans Mono"/>
          <w:b w:val="0"/>
          <w:i w:val="0"/>
          <w:sz w:val="17"/>
        </w:rPr>
        <w:t>repd_status_to_timeline</w:t>
      </w:r>
      <w:r>
        <w:rPr>
          <w:b w:val="0"/>
          <w:i w:val="0"/>
        </w:rPr>
        <w:t xml:space="preserve">, </w:t>
      </w:r>
      <w:r>
        <w:rPr>
          <w:rFonts w:ascii="DejaVu Sans Mono" w:hAnsi="DejaVu Sans Mono"/>
          <w:b w:val="0"/>
          <w:i w:val="0"/>
          <w:sz w:val="17"/>
        </w:rPr>
        <w:t>success_rates</w:t>
      </w:r>
      <w:r>
        <w:rPr>
          <w:b w:val="0"/>
          <w:i w:val="0"/>
        </w:rPr>
        <w:t xml:space="preserve"> and </w:t>
      </w:r>
      <w:r>
        <w:rPr>
          <w:rFonts w:ascii="DejaVu Sans Mono" w:hAnsi="DejaVu Sans Mono"/>
          <w:b w:val="0"/>
          <w:i w:val="0"/>
          <w:sz w:val="17"/>
        </w:rPr>
        <w:t>timeline_statistic</w:t>
      </w:r>
      <w:r>
        <w:rPr>
          <w:b w:val="0"/>
          <w:i w:val="0"/>
        </w:rPr>
        <w:t xml:space="preserve"> in </w:t>
      </w:r>
      <w:r>
        <w:rPr>
          <w:rFonts w:ascii="DejaVu Sans Mono" w:hAnsi="DejaVu Sans Mono"/>
          <w:b w:val="0"/>
          <w:i w:val="0"/>
          <w:sz w:val="17"/>
        </w:rPr>
        <w:t>state.extensions["planning_​parameters"]</w:t>
      </w:r>
      <w:r>
        <w:rPr>
          <w:b w:val="0"/>
          <w:i w:val="0"/>
        </w:rPr>
        <w:t xml:space="preserve">. Annual states inherit these frozen tables. Each proposed addition calls </w:t>
      </w:r>
      <w:r>
        <w:rPr>
          <w:rFonts w:ascii="DejaVu Sans Mono" w:hAnsi="DejaVu Sans Mono"/>
          <w:b w:val="0"/>
          <w:i w:val="0"/>
          <w:sz w:val="17"/>
        </w:rPr>
        <w:t>endogenous_​planning_​terms</w:t>
      </w:r>
      <w:r>
        <w:rPr>
          <w:b w:val="0"/>
          <w:i w:val="0"/>
        </w:rPr>
        <w:t xml:space="preserve"> with its </w:t>
      </w:r>
      <w:r>
        <w:rPr>
          <w:rFonts w:ascii="DejaVu Sans Mono" w:hAnsi="DejaVu Sans Mono"/>
          <w:b w:val="0"/>
          <w:i w:val="0"/>
          <w:sz w:val="17"/>
        </w:rPr>
        <w:t>technology</w:t>
      </w:r>
      <w:r>
        <w:rPr>
          <w:b w:val="0"/>
          <w:i w:val="0"/>
        </w:rPr>
        <w:t xml:space="preserve">, </w:t>
      </w:r>
      <w:r>
        <w:rPr>
          <w:rFonts w:ascii="DejaVu Sans Mono" w:hAnsi="DejaVu Sans Mono"/>
          <w:b w:val="0"/>
          <w:i w:val="0"/>
          <w:sz w:val="17"/>
        </w:rPr>
        <w:t>owner</w:t>
      </w:r>
      <w:r>
        <w:rPr>
          <w:b w:val="0"/>
          <w:i w:val="0"/>
        </w:rPr>
        <w:t xml:space="preserve"> and </w:t>
      </w:r>
      <w:r>
        <w:rPr>
          <w:rFonts w:ascii="DejaVu Sans Mono" w:hAnsi="DejaVu Sans Mono"/>
          <w:b w:val="0"/>
          <w:i w:val="0"/>
          <w:sz w:val="17"/>
        </w:rPr>
        <w:t>decision_year</w:t>
      </w:r>
      <w:r>
        <w:rPr>
          <w:b w:val="0"/>
          <w:i w:val="0"/>
        </w:rPr>
        <w:t>.</w:t>
      </w:r>
    </w:p>
    <w:p>
      <w:r>
        <w:rPr>
          <w:b w:val="0"/>
          <w:i w:val="0"/>
        </w:rPr>
        <w:t xml:space="preserve">Technology labels select both timeline and success-rate tables. Solar maps to Solar Photovoltaics, onshore wind to Wind Onshore, offshore wind to Wind Offshore, and ordinary battery types and electrolysers to Battery. Gas, CCGT, OCGT and biomass use Wind Onshore. </w:t>
      </w:r>
      <w:r>
        <w:rPr>
          <w:rFonts w:ascii="DejaVu Sans Mono" w:hAnsi="DejaVu Sans Mono"/>
          <w:b w:val="0"/>
          <w:i w:val="0"/>
          <w:sz w:val="17"/>
        </w:rPr>
        <w:t>hydrogen_battery</w:t>
      </w:r>
      <w:r>
        <w:rPr>
          <w:b w:val="0"/>
          <w:i w:val="0"/>
        </w:rPr>
        <w:t xml:space="preserve"> follows the default Solar Photovoltaics mapping. These mappings apply to investment planning.</w:t>
      </w:r>
    </w:p>
    <w:p>
      <w:r>
        <w:rPr>
          <w:b w:val="0"/>
          <w:i w:val="0"/>
        </w:rPr>
        <w:t xml:space="preserve">The development status is Application Submitted. </w:t>
      </w:r>
      <w:r>
        <w:rPr>
          <w:rFonts w:ascii="DejaVu Sans Mono" w:hAnsi="DejaVu Sans Mono"/>
          <w:b w:val="0"/>
          <w:i w:val="0"/>
          <w:sz w:val="17"/>
        </w:rPr>
        <w:t>_timeline_months</w:t>
      </w:r>
      <w:r>
        <w:rPr>
          <w:b w:val="0"/>
          <w:i w:val="0"/>
        </w:rPr>
        <w:t xml:space="preserve"> reads that status’s timeline type, normally total median duration; </w:t>
      </w:r>
      <w:r>
        <w:rPr>
          <w:rFonts w:ascii="DejaVu Sans Mono" w:hAnsi="DejaVu Sans Mono"/>
          <w:b w:val="0"/>
          <w:i w:val="0"/>
          <w:sz w:val="17"/>
        </w:rPr>
        <w:t>planning.timeline_​statistic=mean</w:t>
      </w:r>
      <w:r>
        <w:rPr>
          <w:b w:val="0"/>
          <w:i w:val="0"/>
        </w:rPr>
        <w:t xml:space="preserve"> selects the mean. A missing technology entry uses the solar entry, and a missing total mean falls back to total median. The resulting </w:t>
      </w:r>
      <w:r>
        <w:rPr>
          <w:rFonts w:ascii="DejaVu Sans Mono" w:hAnsi="DejaVu Sans Mono"/>
          <w:b w:val="0"/>
          <w:i w:val="0"/>
          <w:sz w:val="17"/>
        </w:rPr>
        <w:t>months</w:t>
      </w:r>
      <w:r>
        <w:rPr>
          <w:b w:val="0"/>
          <w:i w:val="0"/>
        </w:rPr>
        <w:t xml:space="preserve"> is a nonnegative duration in months. Missing solar fallback data or invalid success rates stop proposal construction.</w:t>
      </w:r>
    </w:p>
    <w:p>
      <w:pPr>
        <w:keepNext/>
      </w:pPr>
      <w:r>
        <w:rPr>
          <w:b w:val="0"/>
          <w:i w:val="0"/>
        </w:rPr>
        <w:t xml:space="preserve">A project-specific timing displacement is stable across runs for the same owner. </w:t>
      </w:r>
      <w:r>
        <w:rPr>
          <w:rFonts w:ascii="DejaVu Sans Mono" w:hAnsi="DejaVu Sans Mono"/>
          <w:b w:val="0"/>
          <w:i w:val="0"/>
          <w:sz w:val="17"/>
        </w:rPr>
        <w:t>model_​project_​key(owner)</w:t>
      </w:r>
      <w:r>
        <w:rPr>
          <w:b w:val="0"/>
          <w:i w:val="0"/>
        </w:rPr>
        <w:t xml:space="preserve"> forms </w:t>
      </w:r>
      <w:r>
        <w:rPr>
          <w:rFonts w:ascii="DejaVu Sans Mono" w:hAnsi="DejaVu Sans Mono"/>
          <w:b w:val="0"/>
          <w:i w:val="0"/>
          <w:sz w:val="17"/>
        </w:rPr>
        <w:t>Model Decision: &lt;owner&gt;</w:t>
      </w:r>
      <w:r>
        <w:rPr>
          <w:b w:val="0"/>
          <w:i w:val="0"/>
        </w:rPr>
        <w:t xml:space="preserve">. </w:t>
      </w:r>
      <w:r>
        <w:rPr>
          <w:rFonts w:ascii="DejaVu Sans Mono" w:hAnsi="DejaVu Sans Mono"/>
          <w:b w:val="0"/>
          <w:i w:val="0"/>
          <w:sz w:val="17"/>
        </w:rPr>
        <w:t>stable_int_hash</w:t>
      </w:r>
      <w:r>
        <w:rPr>
          <w:b w:val="0"/>
          <w:i w:val="0"/>
        </w:rPr>
        <w:t xml:space="preserve"> converts the first 64 bits of its MD5 digest to an integer; the arithmetic remainder modulo 13, minus 6, gives </w:t>
      </w:r>
      <w:r>
        <w:rPr>
          <w:rFonts w:ascii="DejaVu Sans Mono" w:hAnsi="DejaVu Sans Mono"/>
          <w:b w:val="0"/>
          <w:i w:val="0"/>
          <w:sz w:val="17"/>
        </w:rPr>
        <w:t>jitter</w:t>
      </w:r>
      <w:r>
        <w:rPr>
          <w:b w:val="0"/>
          <w:i w:val="0"/>
        </w:rPr>
        <w:t xml:space="preserve"> between −6 and +6 months. </w:t>
      </w:r>
      <w:r>
        <w:rPr>
          <w:rFonts w:ascii="DejaVu Sans Mono" w:hAnsi="DejaVu Sans Mono"/>
          <w:b w:val="0"/>
          <w:i w:val="0"/>
          <w:sz w:val="17"/>
        </w:rPr>
        <w:t>endogenous_​planning_​terms</w:t>
      </w:r>
      <w:r>
        <w:rPr>
          <w:b w:val="0"/>
          <w:i w:val="0"/>
        </w:rPr>
        <w:t xml:space="preserve"> then rounds the duration and imposes commissioning at least one year after the decision:</w:t>
      </w:r>
    </w:p>
    <w:p>
      <w:pPr>
        <w:spacing w:after="160"/>
        <w:jc w:val="center"/>
      </w:pPr>
      <w:r>
        <w:drawing>
          <wp:inline xmlns:a="http://schemas.openxmlformats.org/drawingml/2006/main" xmlns:pic="http://schemas.openxmlformats.org/drawingml/2006/picture">
            <wp:extent cx="5360289" cy="861761"/>
            <wp:docPr id="41" name="Picture 41"/>
            <wp:cNvGraphicFramePr>
              <a:graphicFrameLocks noChangeAspect="1"/>
            </wp:cNvGraphicFramePr>
            <a:graphic>
              <a:graphicData uri="http://schemas.openxmlformats.org/drawingml/2006/picture">
                <pic:pic>
                  <pic:nvPicPr>
                    <pic:cNvPr id="0" name="eq-041.png"/>
                    <pic:cNvPicPr/>
                  </pic:nvPicPr>
                  <pic:blipFill>
                    <a:blip r:embed="rId51"/>
                    <a:stretch>
                      <a:fillRect/>
                    </a:stretch>
                  </pic:blipFill>
                  <pic:spPr>
                    <a:xfrm>
                      <a:off x="0" y="0"/>
                      <a:ext cx="5360289" cy="861761"/>
                    </a:xfrm>
                    <a:prstGeom prst="rect"/>
                  </pic:spPr>
                </pic:pic>
              </a:graphicData>
            </a:graphic>
          </wp:inline>
        </w:drawing>
      </w:r>
    </w:p>
    <w:p>
      <w:r>
        <w:rPr>
          <w:b w:val="0"/>
          <w:i w:val="0"/>
        </w:rPr>
        <w:t xml:space="preserve">Rounding follows Python’s ties-to-even rule, so 58.5 months becomes 58 months. The proposal stores </w:t>
      </w:r>
      <w:r>
        <w:rPr>
          <w:rFonts w:ascii="DejaVu Sans Mono" w:hAnsi="DejaVu Sans Mono"/>
          <w:b w:val="0"/>
          <w:i w:val="0"/>
          <w:sz w:val="17"/>
        </w:rPr>
        <w:t>completion</w:t>
      </w:r>
      <w:r>
        <w:rPr>
          <w:b w:val="0"/>
          <w:i w:val="0"/>
        </w:rPr>
        <w:t xml:space="preserve"> as </w:t>
      </w:r>
      <w:r>
        <w:rPr>
          <w:rFonts w:ascii="DejaVu Sans Mono" w:hAnsi="DejaVu Sans Mono"/>
          <w:b w:val="0"/>
          <w:i w:val="0"/>
          <w:sz w:val="17"/>
        </w:rPr>
        <w:t>expected_​completion_​year</w:t>
      </w:r>
      <w:r>
        <w:rPr>
          <w:b w:val="0"/>
          <w:i w:val="0"/>
        </w:rPr>
        <w:t xml:space="preserve">, and records </w:t>
      </w:r>
      <w:r>
        <w:rPr>
          <w:rFonts w:ascii="DejaVu Sans Mono" w:hAnsi="DejaVu Sans Mono"/>
          <w:b w:val="0"/>
          <w:i w:val="0"/>
          <w:sz w:val="17"/>
        </w:rPr>
        <w:t>timeline_months</w:t>
      </w:r>
      <w:r>
        <w:rPr>
          <w:b w:val="0"/>
          <w:i w:val="0"/>
        </w:rPr>
        <w:t xml:space="preserve">, </w:t>
      </w:r>
      <w:r>
        <w:rPr>
          <w:rFonts w:ascii="DejaVu Sans Mono" w:hAnsi="DejaVu Sans Mono"/>
          <w:b w:val="0"/>
          <w:i w:val="0"/>
          <w:sz w:val="17"/>
        </w:rPr>
        <w:t>timeline_jitter_months</w:t>
      </w:r>
      <w:r>
        <w:rPr>
          <w:b w:val="0"/>
          <w:i w:val="0"/>
        </w:rPr>
        <w:t xml:space="preserve">, </w:t>
      </w:r>
      <w:r>
        <w:rPr>
          <w:rFonts w:ascii="DejaVu Sans Mono" w:hAnsi="DejaVu Sans Mono"/>
          <w:b w:val="0"/>
          <w:i w:val="0"/>
          <w:sz w:val="17"/>
        </w:rPr>
        <w:t>timeline_months_applied</w:t>
      </w:r>
      <w:r>
        <w:rPr>
          <w:b w:val="0"/>
          <w:i w:val="0"/>
        </w:rPr>
        <w:t xml:space="preserve"> and </w:t>
      </w:r>
      <w:r>
        <w:rPr>
          <w:rFonts w:ascii="DejaVu Sans Mono" w:hAnsi="DejaVu Sans Mono"/>
          <w:b w:val="0"/>
          <w:i w:val="0"/>
          <w:sz w:val="17"/>
        </w:rPr>
        <w:t>completion_​floor_​applied</w:t>
      </w:r>
      <w:r>
        <w:rPr>
          <w:b w:val="0"/>
          <w:i w:val="0"/>
        </w:rPr>
        <w:t>. New storage inherits the group’s energy-to-power ratio.</w:t>
      </w:r>
    </w:p>
    <w:p>
      <w:r>
        <w:rPr>
          <w:b w:val="0"/>
          <w:i w:val="0"/>
        </w:rPr>
        <w:t xml:space="preserve">Success probability first uses the technology label and the owner’s mapped region, then the arithmetic mean across that label’s regions, then 0.75. </w:t>
      </w:r>
      <w:r>
        <w:rPr>
          <w:rFonts w:ascii="DejaVu Sans Mono" w:hAnsi="DejaVu Sans Mono"/>
          <w:b w:val="0"/>
          <w:i w:val="0"/>
          <w:sz w:val="17"/>
        </w:rPr>
        <w:t>source_success_region</w:t>
      </w:r>
      <w:r>
        <w:rPr>
          <w:b w:val="0"/>
          <w:i w:val="0"/>
        </w:rPr>
        <w:t xml:space="preserve"> maps solar and onshore city names to their regions, names containing offshore to All Offshore, and other owners to England. Consequently battery and thermal owners usually take the table’s technology mean when England lacks an entry. The proposal records </w:t>
      </w:r>
      <w:r>
        <w:rPr>
          <w:rFonts w:ascii="DejaVu Sans Mono" w:hAnsi="DejaVu Sans Mono"/>
          <w:b w:val="0"/>
          <w:i w:val="0"/>
          <w:sz w:val="17"/>
        </w:rPr>
        <w:t>success_​probability=terms["success_​rate"]</w:t>
      </w:r>
      <w:r>
        <w:rPr>
          <w:b w:val="0"/>
          <w:i w:val="0"/>
        </w:rPr>
        <w:t xml:space="preserve"> and the lookup source in </w:t>
      </w:r>
      <w:r>
        <w:rPr>
          <w:rFonts w:ascii="DejaVu Sans Mono" w:hAnsi="DejaVu Sans Mono"/>
          <w:b w:val="0"/>
          <w:i w:val="0"/>
          <w:sz w:val="17"/>
        </w:rPr>
        <w:t>success_rate_source</w:t>
      </w:r>
      <w:r>
        <w:rPr>
          <w:b w:val="0"/>
          <w:i w:val="0"/>
        </w:rPr>
        <w:t>. The city mapping is Nottingham–East Midlands, Ipswich–Eastern, London–London, Newcastle–North East, Manchester–North West, Edinburgh–Scotland, Portsmouth–South East, Bournemouth–South West, Cardiff–Wales, Birmingham–West Midlands and Sheffield–Yorkshire and Humber.</w:t>
      </w:r>
    </w:p>
    <w:p>
      <w:r>
        <w:rPr>
          <w:rFonts w:ascii="DejaVu Sans Mono" w:hAnsi="DejaVu Sans Mono"/>
          <w:b w:val="0"/>
          <w:i w:val="0"/>
          <w:sz w:val="17"/>
        </w:rPr>
        <w:t>SchemeCPlanningPipelineDefinition.admit_​projects</w:t>
      </w:r>
      <w:r>
        <w:rPr>
          <w:b w:val="0"/>
          <w:i w:val="0"/>
        </w:rPr>
        <w:t xml:space="preserve"> applies the success outcome to each proposal. In </w:t>
      </w:r>
      <w:r>
        <w:rPr>
          <w:rFonts w:ascii="DejaVu Sans Mono" w:hAnsi="DejaVu Sans Mono"/>
          <w:b w:val="0"/>
          <w:i w:val="0"/>
          <w:sz w:val="17"/>
        </w:rPr>
        <w:t>expected_capacity</w:t>
      </w:r>
      <w:r>
        <w:rPr>
          <w:b w:val="0"/>
          <w:i w:val="0"/>
        </w:rPr>
        <w:t xml:space="preserve">, </w:t>
      </w:r>
      <w:r>
        <w:rPr>
          <w:rFonts w:ascii="DejaVu Sans Mono" w:hAnsi="DejaVu Sans Mono"/>
          <w:b w:val="0"/>
          <w:i w:val="0"/>
          <w:sz w:val="17"/>
        </w:rPr>
        <w:t>capacity=proposal.capacity_​mw×probability</w:t>
      </w:r>
      <w:r>
        <w:rPr>
          <w:b w:val="0"/>
          <w:i w:val="0"/>
        </w:rPr>
        <w:t xml:space="preserve">; energy capacity, total CAPEX and total annual costs receive that factor once. In </w:t>
      </w:r>
      <w:r>
        <w:rPr>
          <w:rFonts w:ascii="DejaVu Sans Mono" w:hAnsi="DejaVu Sans Mono"/>
          <w:b w:val="0"/>
          <w:i w:val="0"/>
          <w:sz w:val="17"/>
        </w:rPr>
        <w:t>seeded_stochastic</w:t>
      </w:r>
      <w:r>
        <w:rPr>
          <w:b w:val="0"/>
          <w:i w:val="0"/>
        </w:rPr>
        <w:t xml:space="preserve">, the first 52 bits of the SHA-256 calculation on </w:t>
      </w:r>
      <w:r>
        <w:rPr>
          <w:rFonts w:ascii="DejaVu Sans Mono" w:hAnsi="DejaVu Sans Mono"/>
          <w:b w:val="0"/>
          <w:i w:val="0"/>
          <w:sz w:val="17"/>
        </w:rPr>
        <w:t>seed:proposal_id</w:t>
      </w:r>
      <w:r>
        <w:rPr>
          <w:b w:val="0"/>
          <w:i w:val="0"/>
        </w:rPr>
        <w:t xml:space="preserve">, divided by 2⁵²−1, determine </w:t>
      </w:r>
      <w:r>
        <w:rPr>
          <w:rFonts w:ascii="DejaVu Sans Mono" w:hAnsi="DejaVu Sans Mono"/>
          <w:b w:val="0"/>
          <w:i w:val="0"/>
          <w:sz w:val="17"/>
        </w:rPr>
        <w:t>draw</w:t>
      </w:r>
      <w:r>
        <w:rPr>
          <w:b w:val="0"/>
          <w:i w:val="0"/>
        </w:rPr>
        <w:t xml:space="preserve"> on [0,1]; a positive </w:t>
      </w:r>
      <w:r>
        <w:rPr>
          <w:rFonts w:ascii="DejaVu Sans Mono" w:hAnsi="DejaVu Sans Mono"/>
          <w:b w:val="0"/>
          <w:i w:val="0"/>
          <w:sz w:val="17"/>
        </w:rPr>
        <w:t>probability</w:t>
      </w:r>
      <w:r>
        <w:rPr>
          <w:b w:val="0"/>
          <w:i w:val="0"/>
        </w:rPr>
        <w:t xml:space="preserve"> admits full capacity when </w:t>
      </w:r>
      <w:r>
        <w:rPr>
          <w:rFonts w:ascii="DejaVu Sans Mono" w:hAnsi="DejaVu Sans Mono"/>
          <w:b w:val="0"/>
          <w:i w:val="0"/>
          <w:sz w:val="17"/>
        </w:rPr>
        <w:t>probability=1</w:t>
      </w:r>
      <w:r>
        <w:rPr>
          <w:b w:val="0"/>
          <w:i w:val="0"/>
        </w:rPr>
        <w:t xml:space="preserve"> or </w:t>
      </w:r>
      <w:r>
        <w:rPr>
          <w:rFonts w:ascii="DejaVu Sans Mono" w:hAnsi="DejaVu Sans Mono"/>
          <w:b w:val="0"/>
          <w:i w:val="0"/>
          <w:sz w:val="17"/>
        </w:rPr>
        <w:t>draw&lt;probability</w:t>
      </w:r>
      <w:r>
        <w:rPr>
          <w:b w:val="0"/>
          <w:i w:val="0"/>
        </w:rPr>
        <w:t>. Retirements take effect the following year.</w:t>
      </w:r>
    </w:p>
    <w:p>
      <w:r>
        <w:rPr>
          <w:b w:val="0"/>
          <w:i w:val="0"/>
        </w:rPr>
        <w:t>The public2 tables give a 2025 offshore decision completion in 2033 or 2034 with success probability about 0.917; onshore decisions complete in 2029–2030 with regional probabilities about 0.22–0.71; solar completes in 2026–2027 at about 0.84–0.95; batteries complete in 2027 at about 0.873; thermal plant completes in 2030 at about 0.547. VALUE 101’s short timelines and unit success rates retain 2026 commissioning for its 2025 proposals.</w:t>
      </w:r>
    </w:p>
    <w:p>
      <w:r>
        <w:rPr>
          <w:b w:val="0"/>
          <w:i w:val="0"/>
        </w:rPr>
        <w:t xml:space="preserve">Annual headroom is evaluated from that year’s operation. Each year begins investment with </w:t>
      </w:r>
      <w:r>
        <w:rPr>
          <w:rFonts w:ascii="DejaVu Sans Mono" w:hAnsi="DejaVu Sans Mono"/>
          <w:b w:val="0"/>
          <w:i w:val="0"/>
          <w:sz w:val="17"/>
        </w:rPr>
        <w:t>remaining_​caps=dict(caps)</w:t>
      </w:r>
      <w:r>
        <w:rPr>
          <w:b w:val="0"/>
          <w:i w:val="0"/>
        </w:rPr>
        <w:t xml:space="preserve"> and deducts that year’s accepted additions. Earlier proposals remain in the construction pipeline, so proposals from several years can accumulate against the same expansion opportunity.</w:t>
      </w:r>
    </w:p>
    <w:p>
      <w:pPr>
        <w:pStyle w:val="Heading2"/>
      </w:pPr>
      <w:r>
        <w:rPr>
          <w:b w:val="0"/>
          <w:i w:val="0"/>
        </w:rPr>
        <w:t>System costs and emissions</w:t>
      </w:r>
    </w:p>
    <w:p>
      <w:r>
        <w:rPr>
          <w:b w:val="0"/>
          <w:i w:val="0"/>
        </w:rPr>
        <w:t xml:space="preserve">The resource-cost headline combines annualised in-service capital, applicable fixed OPEX and physical operating expenditure. </w:t>
      </w:r>
      <w:r>
        <w:rPr>
          <w:rFonts w:ascii="DejaVu Sans Mono" w:hAnsi="DejaVu Sans Mono"/>
          <w:b w:val="0"/>
          <w:i w:val="0"/>
          <w:sz w:val="17"/>
        </w:rPr>
        <w:t>build_cem_cost_ledger</w:t>
      </w:r>
      <w:r>
        <w:rPr>
          <w:b w:val="0"/>
          <w:i w:val="0"/>
        </w:rPr>
        <w:t xml:space="preserve"> reads total annual capital into </w:t>
      </w:r>
      <w:r>
        <w:rPr>
          <w:rFonts w:ascii="DejaVu Sans Mono" w:hAnsi="DejaVu Sans Mono"/>
          <w:b w:val="0"/>
          <w:i w:val="0"/>
          <w:sz w:val="17"/>
        </w:rPr>
        <w:t>capital</w:t>
      </w:r>
      <w:r>
        <w:rPr>
          <w:b w:val="0"/>
          <w:i w:val="0"/>
        </w:rPr>
        <w:t xml:space="preserve"> and physical operating cost into </w:t>
      </w:r>
      <w:r>
        <w:rPr>
          <w:rFonts w:ascii="DejaVu Sans Mono" w:hAnsi="DejaVu Sans Mono"/>
          <w:b w:val="0"/>
          <w:i w:val="0"/>
          <w:sz w:val="17"/>
        </w:rPr>
        <w:t>operating</w:t>
      </w:r>
      <w:r>
        <w:rPr>
          <w:b w:val="0"/>
          <w:i w:val="0"/>
        </w:rPr>
        <w:t xml:space="preserve">. </w:t>
      </w:r>
      <w:r>
        <w:rPr>
          <w:rFonts w:ascii="DejaVu Sans Mono" w:hAnsi="DejaVu Sans Mono"/>
          <w:b w:val="0"/>
          <w:i w:val="0"/>
          <w:sz w:val="17"/>
        </w:rPr>
        <w:t>excluded</w:t>
      </w:r>
      <w:r>
        <w:rPr>
          <w:b w:val="0"/>
          <w:i w:val="0"/>
        </w:rPr>
        <w:t xml:space="preserve"> contains wind, solar and storage fixed OPEX in both profiles and existing-stock run-of-river compatibility capital in the corrected profile. </w:t>
      </w:r>
      <w:r>
        <w:rPr>
          <w:rFonts w:ascii="DejaVu Sans Mono" w:hAnsi="DejaVu Sans Mono"/>
          <w:b w:val="0"/>
          <w:i w:val="0"/>
          <w:sz w:val="17"/>
        </w:rPr>
        <w:t>non_network_capital</w:t>
      </w:r>
      <w:r>
        <w:rPr>
          <w:b w:val="0"/>
          <w:i w:val="0"/>
        </w:rPr>
        <w:t xml:space="preserve"> is the fleet capital after subtracting declared network CAPEX and fixed OPEX; </w:t>
      </w:r>
      <w:r>
        <w:rPr>
          <w:rFonts w:ascii="DejaVu Sans Mono" w:hAnsi="DejaVu Sans Mono"/>
          <w:b w:val="0"/>
          <w:i w:val="0"/>
          <w:sz w:val="17"/>
        </w:rPr>
        <w:t>operating_sum</w:t>
      </w:r>
      <w:r>
        <w:rPr>
          <w:b w:val="0"/>
          <w:i w:val="0"/>
        </w:rPr>
        <w:t xml:space="preserve"> is the reconciled physical operating total. The retained quantities are:</w:t>
      </w:r>
    </w:p>
    <w:p>
      <w:pPr>
        <w:keepLines/>
        <w:spacing w:line="276" w:lineRule="auto" w:after="160"/>
      </w:pPr>
      <w:r>
        <w:rPr>
          <w:rFonts w:ascii="DejaVu Sans Mono" w:hAnsi="DejaVu Sans Mono"/>
          <w:b w:val="0"/>
          <w:i w:val="0"/>
          <w:sz w:val="17"/>
        </w:rPr>
        <w:t>headline_fleet_capital = max(non_network_capital - excluded, 0)</w:t>
        <w:br/>
        <w:t>headline_capital = capital - (non_network_capital - headline_fleet_capital)</w:t>
        <w:br/>
        <w:t>system_cost = headline_capital + operating_sum</w:t>
        <w:br/>
        <w:t>served = max(demand - blackout - a2_​hidden_​unserved_​mwh(market), 0)</w:t>
        <w:br/>
      </w:r>
    </w:p>
    <w:p>
      <w:r>
        <w:rPr>
          <w:b w:val="0"/>
          <w:i w:val="0"/>
        </w:rPr>
        <w:t xml:space="preserve">The ledger’s </w:t>
      </w:r>
      <w:r>
        <w:rPr>
          <w:rFonts w:ascii="DejaVu Sans Mono" w:hAnsi="DejaVu Sans Mono"/>
          <w:b w:val="0"/>
          <w:i w:val="0"/>
          <w:sz w:val="17"/>
        </w:rPr>
        <w:t>cem_system_cost_gbp</w:t>
      </w:r>
      <w:r>
        <w:rPr>
          <w:b w:val="0"/>
          <w:i w:val="0"/>
        </w:rPr>
        <w:t xml:space="preserve"> combines retained capital and physical operation; </w:t>
      </w:r>
      <w:r>
        <w:rPr>
          <w:rFonts w:ascii="DejaVu Sans Mono" w:hAnsi="DejaVu Sans Mono"/>
          <w:b w:val="0"/>
          <w:i w:val="0"/>
          <w:sz w:val="17"/>
        </w:rPr>
        <w:t>cem_​system_​cost_​gbp_​per_​mwh_​served</w:t>
      </w:r>
      <w:r>
        <w:rPr>
          <w:b w:val="0"/>
          <w:i w:val="0"/>
        </w:rPr>
        <w:t xml:space="preserve"> divides by </w:t>
      </w:r>
      <w:r>
        <w:rPr>
          <w:rFonts w:ascii="DejaVu Sans Mono" w:hAnsi="DejaVu Sans Mono"/>
          <w:b w:val="0"/>
          <w:i w:val="0"/>
          <w:sz w:val="17"/>
        </w:rPr>
        <w:t>served</w:t>
      </w:r>
      <w:r>
        <w:rPr>
          <w:b w:val="0"/>
          <w:i w:val="0"/>
        </w:rPr>
        <w:t>. Wind, solar and storage fixed OPEX appears as a memo because the model treats it as included in levelised CAPEX. Thermal fixed OPEX remains included. Run-of-river compatibility capital is a memo under the corrected profile and included under the doctoral reproduction profile.</w:t>
      </w:r>
    </w:p>
    <w:p>
      <w:r>
        <w:rPr>
          <w:b w:val="0"/>
          <w:i w:val="0"/>
        </w:rPr>
        <w:t xml:space="preserve">Native physical operating cost includes final-output generation, fuel, carbon and time costs, the applicable operating start-up term, recorded blackout at VoLL, and storage cycle wear. Restart costs used to order downward bids remain in the bid calculation. Corrected VoLL comes from </w:t>
      </w:r>
      <w:r>
        <w:rPr>
          <w:rFonts w:ascii="DejaVu Sans Mono" w:hAnsi="DejaVu Sans Mono"/>
          <w:b w:val="0"/>
          <w:i w:val="0"/>
          <w:sz w:val="17"/>
        </w:rPr>
        <w:t>market.voll_gbp_per_mwh</w:t>
      </w:r>
      <w:r>
        <w:rPr>
          <w:b w:val="0"/>
          <w:i w:val="0"/>
        </w:rPr>
        <w:t xml:space="preserve">, default 17,000 GBP/MWh; the doctoral reproduction rule uses 17,000 GBP/MWh. </w:t>
      </w:r>
      <w:r>
        <w:rPr>
          <w:rFonts w:ascii="DejaVu Sans Mono" w:hAnsi="DejaVu Sans Mono"/>
          <w:b w:val="0"/>
          <w:i w:val="0"/>
          <w:sz w:val="17"/>
        </w:rPr>
        <w:t>a2_hidden_unserved_mwh</w:t>
      </w:r>
      <w:r>
        <w:rPr>
          <w:b w:val="0"/>
          <w:i w:val="0"/>
        </w:rPr>
        <w:t xml:space="preserve"> deducts additional stress shortfall from served demand and returns zero for a year with no stress periods. The cost headline prices recorded blackout, while additional stress shortfall is a separate energy entry.</w:t>
      </w:r>
    </w:p>
    <w:p>
      <w:r>
        <w:rPr>
          <w:b w:val="0"/>
          <w:i w:val="0"/>
        </w:rPr>
        <w:t xml:space="preserve">Operating emissions multiply generated MWh by the selected kg/MWh factor and divide by 1,000 to obtain tonnes. </w:t>
      </w:r>
      <w:r>
        <w:rPr>
          <w:rFonts w:ascii="DejaVu Sans Mono" w:hAnsi="DejaVu Sans Mono"/>
          <w:b w:val="0"/>
          <w:i w:val="0"/>
          <w:sz w:val="17"/>
        </w:rPr>
        <w:t>carbon_ledger.py</w:t>
      </w:r>
      <w:r>
        <w:rPr>
          <w:b w:val="0"/>
          <w:i w:val="0"/>
        </w:rPr>
        <w:t xml:space="preserve"> sums these into </w:t>
      </w:r>
      <w:r>
        <w:rPr>
          <w:rFonts w:ascii="DejaVu Sans Mono" w:hAnsi="DejaVu Sans Mono"/>
          <w:b w:val="0"/>
          <w:i w:val="0"/>
          <w:sz w:val="17"/>
        </w:rPr>
        <w:t>operational</w:t>
      </w:r>
      <w:r>
        <w:rPr>
          <w:b w:val="0"/>
          <w:i w:val="0"/>
        </w:rPr>
        <w:t xml:space="preserve">, combines them with annualised </w:t>
      </w:r>
      <w:r>
        <w:rPr>
          <w:rFonts w:ascii="DejaVu Sans Mono" w:hAnsi="DejaVu Sans Mono"/>
          <w:b w:val="0"/>
          <w:i w:val="0"/>
          <w:sz w:val="17"/>
        </w:rPr>
        <w:t>embodied</w:t>
      </w:r>
      <w:r>
        <w:rPr>
          <w:b w:val="0"/>
          <w:i w:val="0"/>
        </w:rPr>
        <w:t xml:space="preserve"> emissions as </w:t>
      </w:r>
      <w:r>
        <w:rPr>
          <w:rFonts w:ascii="DejaVu Sans Mono" w:hAnsi="DejaVu Sans Mono"/>
          <w:b w:val="0"/>
          <w:i w:val="0"/>
          <w:sz w:val="17"/>
        </w:rPr>
        <w:t>total</w:t>
      </w:r>
      <w:r>
        <w:rPr>
          <w:b w:val="0"/>
          <w:i w:val="0"/>
        </w:rPr>
        <w:t xml:space="preserve">, and reports </w:t>
      </w:r>
      <w:r>
        <w:rPr>
          <w:rFonts w:ascii="DejaVu Sans Mono" w:hAnsi="DejaVu Sans Mono"/>
          <w:b w:val="0"/>
          <w:i w:val="0"/>
          <w:sz w:val="17"/>
        </w:rPr>
        <w:t>overall_​intensity=1000×total/​delivered_​demand_​mwh</w:t>
      </w:r>
      <w:r>
        <w:rPr>
          <w:b w:val="0"/>
          <w:i w:val="0"/>
        </w:rPr>
        <w:t>. The denominator equals served demand. Chapter 9 lists the factor values and CO₂ or CO₂e basis. Zero served demand leaves the intensities empty.</w:t>
      </w:r>
    </w:p>
    <w:p>
      <w:r>
        <w:rPr>
          <w:b w:val="0"/>
          <w:i w:val="0"/>
        </w:rPr>
        <w:t xml:space="preserve">Annual embodied emissions follow the factor’s declared units. A </w:t>
      </w:r>
      <w:r>
        <w:rPr>
          <w:rFonts w:ascii="DejaVu Sans Mono" w:hAnsi="DejaVu Sans Mono"/>
          <w:b w:val="0"/>
          <w:i w:val="0"/>
          <w:sz w:val="17"/>
        </w:rPr>
        <w:t>tCO2e_per_MW_year</w:t>
      </w:r>
      <w:r>
        <w:rPr>
          <w:b w:val="0"/>
          <w:i w:val="0"/>
        </w:rPr>
        <w:t xml:space="preserve"> factor gives </w:t>
      </w:r>
      <w:r>
        <w:rPr>
          <w:rFonts w:ascii="DejaVu Sans Mono" w:hAnsi="DejaVu Sans Mono"/>
          <w:b w:val="0"/>
          <w:i w:val="0"/>
          <w:sz w:val="17"/>
        </w:rPr>
        <w:t>emissions=capacity_​mw×factor.value</w:t>
      </w:r>
      <w:r>
        <w:rPr>
          <w:b w:val="0"/>
          <w:i w:val="0"/>
        </w:rPr>
        <w:t xml:space="preserve"> directly. Battery factors in </w:t>
      </w:r>
      <w:r>
        <w:rPr>
          <w:rFonts w:ascii="DejaVu Sans Mono" w:hAnsi="DejaVu Sans Mono"/>
          <w:b w:val="0"/>
          <w:i w:val="0"/>
          <w:sz w:val="17"/>
        </w:rPr>
        <w:t>kgCO2e_per_kWh_capacity</w:t>
      </w:r>
      <w:r>
        <w:rPr>
          <w:b w:val="0"/>
          <w:i w:val="0"/>
        </w:rPr>
        <w:t xml:space="preserve"> are numerically tonnes per MWh of capacity, giving </w:t>
      </w:r>
      <w:r>
        <w:rPr>
          <w:rFonts w:ascii="DejaVu Sans Mono" w:hAnsi="DejaVu Sans Mono"/>
          <w:b w:val="0"/>
          <w:i w:val="0"/>
          <w:sz w:val="17"/>
        </w:rPr>
        <w:t>emissions=asset.energy_​capacity_​mwh×factor.value/​economic_​life</w:t>
      </w:r>
      <w:r>
        <w:rPr>
          <w:b w:val="0"/>
          <w:i w:val="0"/>
        </w:rPr>
        <w:t xml:space="preserve">. Hydrogen power equipment uses the annual MW factor; hydrogen energy storage uses its </w:t>
      </w:r>
      <w:r>
        <w:rPr>
          <w:rFonts w:ascii="DejaVu Sans Mono" w:hAnsi="DejaVu Sans Mono"/>
          <w:b w:val="0"/>
          <w:i w:val="0"/>
          <w:sz w:val="17"/>
        </w:rPr>
        <w:t>tCO2e_per_MWh_capacity</w:t>
      </w:r>
      <w:r>
        <w:rPr>
          <w:b w:val="0"/>
          <w:i w:val="0"/>
        </w:rPr>
        <w:t xml:space="preserve"> factor divided by the asset’s </w:t>
      </w:r>
      <w:r>
        <w:rPr>
          <w:rFonts w:ascii="DejaVu Sans Mono" w:hAnsi="DejaVu Sans Mono"/>
          <w:b w:val="0"/>
          <w:i w:val="0"/>
          <w:sz w:val="17"/>
        </w:rPr>
        <w:t>economic_life</w:t>
      </w:r>
      <w:r>
        <w:rPr>
          <w:b w:val="0"/>
          <w:i w:val="0"/>
        </w:rPr>
        <w:t>. Missing factor inputs leave the affected component unassessed.</w:t>
      </w:r>
    </w:p>
    <w:p>
      <w:r>
        <w:rPr>
          <w:b w:val="0"/>
          <w:i w:val="0"/>
        </w:rPr>
        <w:t xml:space="preserve">Storage-carbon tracing keeps mixed </w:t>
      </w:r>
      <w:r>
        <w:rPr>
          <w:rFonts w:ascii="DejaVu Sans Mono" w:hAnsi="DejaVu Sans Mono"/>
          <w:b w:val="0"/>
          <w:i w:val="0"/>
          <w:sz w:val="17"/>
        </w:rPr>
        <w:t>inventory_energy</w:t>
      </w:r>
      <w:r>
        <w:rPr>
          <w:b w:val="0"/>
          <w:i w:val="0"/>
        </w:rPr>
        <w:t xml:space="preserve"> in MWh and </w:t>
      </w:r>
      <w:r>
        <w:rPr>
          <w:rFonts w:ascii="DejaVu Sans Mono" w:hAnsi="DejaVu Sans Mono"/>
          <w:b w:val="0"/>
          <w:i w:val="0"/>
          <w:sz w:val="17"/>
        </w:rPr>
        <w:t>inventory_kg</w:t>
      </w:r>
      <w:r>
        <w:rPr>
          <w:b w:val="0"/>
          <w:i w:val="0"/>
        </w:rPr>
        <w:t xml:space="preserve"> in kilograms. Charging adds efficiency-adjusted stored energy and source carbon; discharging removes stored-side energy and carbon in the same inventory proportion. Source generation supplies the system emissions total.</w:t>
      </w:r>
    </w:p>
    <w:p>
      <w:r>
        <w:rPr>
          <w:b w:val="0"/>
          <w:i w:val="0"/>
        </w:rPr>
        <w:t>Network constraint costs use a matched zonal and network-free dispatch comparison with the same resource prices, storage state, export envelope and VoLL. Chapter 7 defines the resource-cost and bid-objective differences. Settlement transfers, policy expenditure, construction commitments and residual values retain separate accounts.</w:t>
      </w:r>
    </w:p>
    <w:p>
      <w:pPr>
        <w:pStyle w:val="Heading1"/>
      </w:pPr>
      <w:r>
        <w:rPr>
          <w:b w:val="0"/>
          <w:i w:val="0"/>
        </w:rPr>
        <w:t>5 National dispatch algorithms</w:t>
      </w:r>
    </w:p>
    <w:p>
      <w:r>
        <w:rPr>
          <w:b w:val="0"/>
          <w:i w:val="0"/>
        </w:rPr>
        <w:t>The default national power-system model, Native (</w:t>
      </w:r>
      <w:r>
        <w:rPr>
          <w:rFonts w:ascii="DejaVu Sans Mono" w:hAnsi="DejaVu Sans Mono"/>
          <w:b w:val="0"/>
          <w:i w:val="0"/>
          <w:sz w:val="17"/>
        </w:rPr>
        <w:t>value-bid-at-cost-psm</w:t>
      </w:r>
      <w:r>
        <w:rPr>
          <w:b w:val="0"/>
          <w:i w:val="0"/>
        </w:rPr>
        <w:t xml:space="preserve">), clears a single national node every half-hour. The methodology profile selects its market rule set: </w:t>
      </w:r>
      <w:r>
        <w:rPr>
          <w:rFonts w:ascii="DejaVu Sans Mono" w:hAnsi="DejaVu Sans Mono"/>
          <w:b w:val="0"/>
          <w:i w:val="0"/>
          <w:sz w:val="17"/>
        </w:rPr>
        <w:t>native-corrected-v1</w:t>
      </w:r>
      <w:r>
        <w:rPr>
          <w:b w:val="0"/>
          <w:i w:val="0"/>
        </w:rPr>
        <w:t xml:space="preserve"> for the default corrected methodology and </w:t>
      </w:r>
      <w:r>
        <w:rPr>
          <w:rFonts w:ascii="DejaVu Sans Mono" w:hAnsi="DejaVu Sans Mono"/>
          <w:b w:val="0"/>
          <w:i w:val="0"/>
          <w:sz w:val="17"/>
        </w:rPr>
        <w:t>native-doctoral-thesis-v1</w:t>
      </w:r>
      <w:r>
        <w:rPr>
          <w:b w:val="0"/>
          <w:i w:val="0"/>
        </w:rPr>
        <w:t xml:space="preserve"> for the doctoral reproduction profile. The experimental national pathway (</w:t>
      </w:r>
      <w:r>
        <w:rPr>
          <w:rFonts w:ascii="DejaVu Sans Mono" w:hAnsi="DejaVu Sans Mono"/>
          <w:b w:val="0"/>
          <w:i w:val="0"/>
          <w:sz w:val="17"/>
        </w:rPr>
        <w:t>value-doctoral-national-psm</w:t>
      </w:r>
      <w:r>
        <w:rPr>
          <w:b w:val="0"/>
          <w:i w:val="0"/>
        </w:rPr>
        <w:t>) has its own dispatch engine and input conventions. Its experimental annual accounts are described in Chapter 6.</w:t>
      </w:r>
    </w:p>
    <w:p>
      <w:pPr>
        <w:pStyle w:val="Heading2"/>
      </w:pPr>
      <w:r>
        <w:rPr>
          <w:b w:val="0"/>
          <w:i w:val="0"/>
        </w:rPr>
        <w:t>Inputs, agents and availability</w:t>
      </w:r>
    </w:p>
    <w:p>
      <w:r>
        <w:rPr>
          <w:b w:val="0"/>
          <w:i w:val="0"/>
        </w:rPr>
        <w:t xml:space="preserve">Dispatch quantities are powers in MW, with </w:t>
      </w:r>
      <w:r>
        <w:rPr>
          <w:rFonts w:ascii="DejaVu Sans Mono" w:hAnsi="DejaVu Sans Mono"/>
          <w:b w:val="0"/>
          <w:i w:val="0"/>
          <w:sz w:val="17"/>
        </w:rPr>
        <w:t>period_hours = 0.5</w:t>
      </w:r>
      <w:r>
        <w:rPr>
          <w:b w:val="0"/>
          <w:i w:val="0"/>
        </w:rPr>
        <w:t xml:space="preserve">. The variables </w:t>
      </w:r>
      <w:r>
        <w:rPr>
          <w:rFonts w:ascii="DejaVu Sans Mono" w:hAnsi="DejaVu Sans Mono"/>
          <w:b w:val="0"/>
          <w:i w:val="0"/>
          <w:sz w:val="17"/>
        </w:rPr>
        <w:t>forecast_demand</w:t>
      </w:r>
      <w:r>
        <w:rPr>
          <w:b w:val="0"/>
          <w:i w:val="0"/>
        </w:rPr>
        <w:t xml:space="preserve">, </w:t>
      </w:r>
      <w:r>
        <w:rPr>
          <w:rFonts w:ascii="DejaVu Sans Mono" w:hAnsi="DejaVu Sans Mono"/>
          <w:b w:val="0"/>
          <w:i w:val="0"/>
          <w:sz w:val="17"/>
        </w:rPr>
        <w:t>real_demand</w:t>
      </w:r>
      <w:r>
        <w:rPr>
          <w:b w:val="0"/>
          <w:i w:val="0"/>
        </w:rPr>
        <w:t xml:space="preserve">, </w:t>
      </w:r>
      <w:r>
        <w:rPr>
          <w:rFonts w:ascii="DejaVu Sans Mono" w:hAnsi="DejaVu Sans Mono"/>
          <w:b w:val="0"/>
          <w:i w:val="0"/>
          <w:sz w:val="17"/>
        </w:rPr>
        <w:t>capacity_limit</w:t>
      </w:r>
      <w:r>
        <w:rPr>
          <w:b w:val="0"/>
          <w:i w:val="0"/>
        </w:rPr>
        <w:t xml:space="preserve">, </w:t>
      </w:r>
      <w:r>
        <w:rPr>
          <w:rFonts w:ascii="DejaVu Sans Mono" w:hAnsi="DejaVu Sans Mono"/>
          <w:b w:val="0"/>
          <w:i w:val="0"/>
          <w:sz w:val="17"/>
        </w:rPr>
        <w:t>real_gen_energy</w:t>
      </w:r>
      <w:r>
        <w:rPr>
          <w:b w:val="0"/>
          <w:i w:val="0"/>
        </w:rPr>
        <w:t xml:space="preserve"> and </w:t>
      </w:r>
      <w:r>
        <w:rPr>
          <w:rFonts w:ascii="DejaVu Sans Mono" w:hAnsi="DejaVu Sans Mono"/>
          <w:b w:val="0"/>
          <w:i w:val="0"/>
          <w:sz w:val="17"/>
        </w:rPr>
        <w:t>alter_limit</w:t>
      </w:r>
      <w:r>
        <w:rPr>
          <w:b w:val="0"/>
          <w:i w:val="0"/>
        </w:rPr>
        <w:t xml:space="preserve"> respectively describe forecast demand, actual demand, available output, realised output and the per-period ramp allowance. Asset and time subscripts index these quantities. The UTC model year has 17,520 periods. </w:t>
      </w:r>
      <w:r>
        <w:rPr>
          <w:rFonts w:ascii="DejaVu Sans Mono" w:hAnsi="DejaVu Sans Mono"/>
          <w:b w:val="0"/>
          <w:i w:val="0"/>
          <w:sz w:val="17"/>
        </w:rPr>
        <w:t>canonical_psm_data.py</w:t>
      </w:r>
      <w:r>
        <w:rPr>
          <w:b w:val="0"/>
          <w:i w:val="0"/>
        </w:rPr>
        <w:t xml:space="preserve"> converts demand to period MWh by multiplying each MW value by </w:t>
      </w:r>
      <w:r>
        <w:rPr>
          <w:rFonts w:ascii="DejaVu Sans Mono" w:hAnsi="DejaVu Sans Mono"/>
          <w:b w:val="0"/>
          <w:i w:val="0"/>
          <w:sz w:val="17"/>
        </w:rPr>
        <w:t>period_hours</w:t>
      </w:r>
      <w:r>
        <w:rPr>
          <w:b w:val="0"/>
          <w:i w:val="0"/>
        </w:rPr>
        <w:t>, following Chapter 2.</w:t>
      </w:r>
    </w:p>
    <w:p>
      <w:pPr>
        <w:keepNext/>
      </w:pPr>
      <w:r>
        <w:rPr>
          <w:b w:val="0"/>
          <w:i w:val="0"/>
        </w:rPr>
        <w:t xml:space="preserve">Generator bids combine operating cost with a start-up adder determined by the previous accepted set. Gas and biomass use </w:t>
      </w:r>
      <w:r>
        <w:rPr>
          <w:rFonts w:ascii="DejaVu Sans Mono" w:hAnsi="DejaVu Sans Mono"/>
          <w:b w:val="0"/>
          <w:i w:val="0"/>
          <w:sz w:val="17"/>
        </w:rPr>
        <w:t>gen_cost + fuel_cost + carbon_price + unit_time_cost</w:t>
      </w:r>
      <w:r>
        <w:rPr>
          <w:b w:val="0"/>
          <w:i w:val="0"/>
        </w:rPr>
        <w:t xml:space="preserve">; nuclear, renewables and natural-flow hydro use </w:t>
      </w:r>
      <w:r>
        <w:rPr>
          <w:rFonts w:ascii="DejaVu Sans Mono" w:hAnsi="DejaVu Sans Mono"/>
          <w:b w:val="0"/>
          <w:i w:val="0"/>
          <w:sz w:val="17"/>
        </w:rPr>
        <w:t>gen_cost + unit_time_cost</w:t>
      </w:r>
      <w:r>
        <w:rPr>
          <w:b w:val="0"/>
          <w:i w:val="0"/>
        </w:rPr>
        <w:t xml:space="preserve">. The input-row costs are summed into the runtime agent’s </w:t>
      </w:r>
      <w:r>
        <w:rPr>
          <w:rFonts w:ascii="DejaVu Sans Mono" w:hAnsi="DejaVu Sans Mono"/>
          <w:b w:val="0"/>
          <w:i w:val="0"/>
          <w:sz w:val="17"/>
        </w:rPr>
        <w:t>gen_cost</w:t>
      </w:r>
      <w:r>
        <w:rPr>
          <w:b w:val="0"/>
          <w:i w:val="0"/>
        </w:rPr>
        <w:t xml:space="preserve">, in GBP/MWh; </w:t>
      </w:r>
      <w:r>
        <w:rPr>
          <w:rFonts w:ascii="DejaVu Sans Mono" w:hAnsi="DejaVu Sans Mono"/>
          <w:b w:val="0"/>
          <w:i w:val="0"/>
          <w:sz w:val="17"/>
        </w:rPr>
        <w:t>carbon_price</w:t>
      </w:r>
      <w:r>
        <w:rPr>
          <w:b w:val="0"/>
          <w:i w:val="0"/>
        </w:rPr>
        <w:t xml:space="preserve"> is already an expenditure per MWh. For bid multiplier </w:t>
      </w:r>
      <w:r>
        <w:drawing>
          <wp:inline xmlns:a="http://schemas.openxmlformats.org/drawingml/2006/main" xmlns:pic="http://schemas.openxmlformats.org/drawingml/2006/picture">
            <wp:extent cx="1042650" cy="151140"/>
            <wp:docPr id="42" name="Picture 42"/>
            <wp:cNvGraphicFramePr>
              <a:graphicFrameLocks noChangeAspect="1"/>
            </wp:cNvGraphicFramePr>
            <a:graphic>
              <a:graphicData uri="http://schemas.openxmlformats.org/drawingml/2006/picture">
                <pic:pic>
                  <pic:nvPicPr>
                    <pic:cNvPr id="0" name="eq-042.png"/>
                    <pic:cNvPicPr/>
                  </pic:nvPicPr>
                  <pic:blipFill>
                    <a:blip r:embed="rId52"/>
                    <a:stretch>
                      <a:fillRect/>
                    </a:stretch>
                  </pic:blipFill>
                  <pic:spPr>
                    <a:xfrm>
                      <a:off x="0" y="0"/>
                      <a:ext cx="1042650" cy="151140"/>
                    </a:xfrm>
                    <a:prstGeom prst="rect"/>
                  </pic:spPr>
                </pic:pic>
              </a:graphicData>
            </a:graphic>
          </wp:inline>
        </w:drawing>
      </w:r>
      <w:r>
        <w:rPr>
          <w:b w:val="0"/>
          <w:i w:val="0"/>
        </w:rPr>
        <w:t xml:space="preserve">, composite operating cost </w:t>
      </w:r>
      <w:r>
        <w:drawing>
          <wp:inline xmlns:a="http://schemas.openxmlformats.org/drawingml/2006/main" xmlns:pic="http://schemas.openxmlformats.org/drawingml/2006/picture">
            <wp:extent cx="669785" cy="142275"/>
            <wp:docPr id="43" name="Picture 43"/>
            <wp:cNvGraphicFramePr>
              <a:graphicFrameLocks noChangeAspect="1"/>
            </wp:cNvGraphicFramePr>
            <a:graphic>
              <a:graphicData uri="http://schemas.openxmlformats.org/drawingml/2006/picture">
                <pic:pic>
                  <pic:nvPicPr>
                    <pic:cNvPr id="0" name="eq-043.png"/>
                    <pic:cNvPicPr/>
                  </pic:nvPicPr>
                  <pic:blipFill>
                    <a:blip r:embed="rId53"/>
                    <a:stretch>
                      <a:fillRect/>
                    </a:stretch>
                  </pic:blipFill>
                  <pic:spPr>
                    <a:xfrm>
                      <a:off x="0" y="0"/>
                      <a:ext cx="669785" cy="142275"/>
                    </a:xfrm>
                    <a:prstGeom prst="rect"/>
                  </pic:spPr>
                </pic:pic>
              </a:graphicData>
            </a:graphic>
          </wp:inline>
        </w:drawing>
      </w:r>
      <w:r>
        <w:rPr>
          <w:b w:val="0"/>
          <w:i w:val="0"/>
        </w:rPr>
        <w:t xml:space="preserve"> and start-up adder </w:t>
      </w:r>
      <w:r>
        <w:drawing>
          <wp:inline xmlns:a="http://schemas.openxmlformats.org/drawingml/2006/main" xmlns:pic="http://schemas.openxmlformats.org/drawingml/2006/picture">
            <wp:extent cx="946696" cy="140251"/>
            <wp:docPr id="44" name="Picture 44"/>
            <wp:cNvGraphicFramePr>
              <a:graphicFrameLocks noChangeAspect="1"/>
            </wp:cNvGraphicFramePr>
            <a:graphic>
              <a:graphicData uri="http://schemas.openxmlformats.org/drawingml/2006/picture">
                <pic:pic>
                  <pic:nvPicPr>
                    <pic:cNvPr id="0" name="eq-044.png"/>
                    <pic:cNvPicPr/>
                  </pic:nvPicPr>
                  <pic:blipFill>
                    <a:blip r:embed="rId54"/>
                    <a:stretch>
                      <a:fillRect/>
                    </a:stretch>
                  </pic:blipFill>
                  <pic:spPr>
                    <a:xfrm>
                      <a:off x="0" y="0"/>
                      <a:ext cx="946696" cy="140251"/>
                    </a:xfrm>
                    <a:prstGeom prst="rect"/>
                  </pic:spPr>
                </pic:pic>
              </a:graphicData>
            </a:graphic>
          </wp:inline>
        </w:drawing>
      </w:r>
      <w:r>
        <w:rPr>
          <w:b w:val="0"/>
          <w:i w:val="0"/>
        </w:rPr>
        <w:t>,</w:t>
      </w:r>
    </w:p>
    <w:p>
      <w:pPr>
        <w:spacing w:after="160"/>
        <w:jc w:val="center"/>
      </w:pPr>
      <w:r>
        <w:drawing>
          <wp:inline xmlns:a="http://schemas.openxmlformats.org/drawingml/2006/main" xmlns:pic="http://schemas.openxmlformats.org/drawingml/2006/picture">
            <wp:extent cx="4312310" cy="423000"/>
            <wp:docPr id="45" name="Picture 45"/>
            <wp:cNvGraphicFramePr>
              <a:graphicFrameLocks noChangeAspect="1"/>
            </wp:cNvGraphicFramePr>
            <a:graphic>
              <a:graphicData uri="http://schemas.openxmlformats.org/drawingml/2006/picture">
                <pic:pic>
                  <pic:nvPicPr>
                    <pic:cNvPr id="0" name="eq-045.png"/>
                    <pic:cNvPicPr/>
                  </pic:nvPicPr>
                  <pic:blipFill>
                    <a:blip r:embed="rId55"/>
                    <a:stretch>
                      <a:fillRect/>
                    </a:stretch>
                  </pic:blipFill>
                  <pic:spPr>
                    <a:xfrm>
                      <a:off x="0" y="0"/>
                      <a:ext cx="4312310" cy="423000"/>
                    </a:xfrm>
                    <a:prstGeom prst="rect"/>
                  </pic:spPr>
                </pic:pic>
              </a:graphicData>
            </a:graphic>
          </wp:inline>
        </w:drawing>
      </w:r>
    </w:p>
    <w:p>
      <w:r>
        <w:rPr>
          <w:b w:val="0"/>
          <w:i w:val="0"/>
        </w:rPr>
        <w:t xml:space="preserve">The multiplier defaults to 1. Hydro and renewables have zero start-up adders; physical operating expenditure uses the composite </w:t>
      </w:r>
      <w:r>
        <w:rPr>
          <w:rFonts w:ascii="DejaVu Sans Mono" w:hAnsi="DejaVu Sans Mono"/>
          <w:b w:val="0"/>
          <w:i w:val="0"/>
          <w:sz w:val="17"/>
        </w:rPr>
        <w:t>gen_cost</w:t>
      </w:r>
      <w:r>
        <w:rPr>
          <w:b w:val="0"/>
          <w:i w:val="0"/>
        </w:rPr>
        <w:t xml:space="preserve"> directly. In the supplied GB parameter rows, biomass has a cost of 0.2 + 80 + 4.8 = 85 £/MWh and an £83/MWh start-up adder; CCGT and OCGT have costs of £55.07/MWh and £74.92/MWh. Biomass revenue contains market receipts; CfD and ROC subsidies lie outside that revenue specification. At these costs, corrected GBP1 public2 and R029 public2 calculations produced approximately 0.01 TWh from 4,762 MW of biomass in 2025. Both revised packs are supplied with VALUE 0.7.0-alpha.1 (</w:t>
      </w:r>
      <w:r>
        <w:rPr>
          <w:b w:val="0"/>
          <w:i w:val="0"/>
        </w:rPr>
        <w:t>data downloads</w:t>
      </w:r>
      <w:r>
        <w:rPr>
          <w:b w:val="0"/>
          <w:i w:val="0"/>
        </w:rPr>
        <w:t>).</w:t>
      </w:r>
    </w:p>
    <w:p>
      <w:pPr>
        <w:keepNext/>
      </w:pPr>
      <w:r>
        <w:rPr>
          <w:b w:val="0"/>
          <w:i w:val="0"/>
        </w:rPr>
        <w:t xml:space="preserve">Native maps operating and newly commissioned assets to market agents first by name, then by technology and normalised region. Multiple matches use previously mapped capacity, constructor capacity, or equal shares in that order. </w:t>
      </w:r>
      <w:r>
        <w:rPr>
          <w:rFonts w:ascii="DejaVu Sans Mono" w:hAnsi="DejaVu Sans Mono"/>
          <w:b w:val="0"/>
          <w:i w:val="0"/>
          <w:sz w:val="17"/>
        </w:rPr>
        <w:t>weights</w:t>
      </w:r>
      <w:r>
        <w:rPr>
          <w:b w:val="0"/>
          <w:i w:val="0"/>
        </w:rPr>
        <w:t xml:space="preserve"> and </w:t>
      </w:r>
      <w:r>
        <w:rPr>
          <w:rFonts w:ascii="DejaVu Sans Mono" w:hAnsi="DejaVu Sans Mono"/>
          <w:b w:val="0"/>
          <w:i w:val="0"/>
          <w:sz w:val="17"/>
        </w:rPr>
        <w:t>total_weight</w:t>
      </w:r>
      <w:r>
        <w:rPr>
          <w:b w:val="0"/>
          <w:i w:val="0"/>
        </w:rPr>
        <w:t xml:space="preserve"> allocate each asset's </w:t>
      </w:r>
      <w:r>
        <w:rPr>
          <w:rFonts w:ascii="DejaVu Sans Mono" w:hAnsi="DejaVu Sans Mono"/>
          <w:b w:val="0"/>
          <w:i w:val="0"/>
          <w:sz w:val="17"/>
        </w:rPr>
        <w:t>capacity_mw</w:t>
      </w:r>
      <w:r>
        <w:rPr>
          <w:b w:val="0"/>
          <w:i w:val="0"/>
        </w:rPr>
        <w:t xml:space="preserve"> into </w:t>
      </w:r>
      <w:r>
        <w:rPr>
          <w:rFonts w:ascii="DejaVu Sans Mono" w:hAnsi="DejaVu Sans Mono"/>
          <w:b w:val="0"/>
          <w:i w:val="0"/>
          <w:sz w:val="17"/>
        </w:rPr>
        <w:t>generator_sources</w:t>
      </w:r>
      <w:r>
        <w:rPr>
          <w:b w:val="0"/>
          <w:i w:val="0"/>
        </w:rPr>
        <w:t xml:space="preserve">; these capacities are MW. </w:t>
      </w:r>
      <w:r>
        <w:rPr>
          <w:rFonts w:ascii="DejaVu Sans Mono" w:hAnsi="DejaVu Sans Mono"/>
          <w:b w:val="0"/>
          <w:i w:val="0"/>
          <w:sz w:val="17"/>
        </w:rPr>
        <w:t>_​allocate_​runtime_​income</w:t>
      </w:r>
      <w:r>
        <w:rPr>
          <w:b w:val="0"/>
          <w:i w:val="0"/>
        </w:rPr>
        <w:t xml:space="preserve"> distributes </w:t>
      </w:r>
      <w:r>
        <w:rPr>
          <w:rFonts w:ascii="DejaVu Sans Mono" w:hAnsi="DejaVu Sans Mono"/>
          <w:b w:val="0"/>
          <w:i w:val="0"/>
          <w:sz w:val="17"/>
        </w:rPr>
        <w:t>raw_income</w:t>
      </w:r>
      <w:r>
        <w:rPr>
          <w:b w:val="0"/>
          <w:i w:val="0"/>
        </w:rPr>
        <w:t xml:space="preserve"> into the asset account </w:t>
      </w:r>
      <w:r>
        <w:rPr>
          <w:rFonts w:ascii="DejaVu Sans Mono" w:hAnsi="DejaVu Sans Mono"/>
          <w:b w:val="0"/>
          <w:i w:val="0"/>
          <w:sz w:val="17"/>
        </w:rPr>
        <w:t>allocated</w:t>
      </w:r>
      <w:r>
        <w:rPr>
          <w:b w:val="0"/>
          <w:i w:val="0"/>
        </w:rPr>
        <w:t>, both in GBP, in proportion to the mapped capacities:</w:t>
      </w:r>
    </w:p>
    <w:p>
      <w:pPr>
        <w:spacing w:after="160"/>
        <w:jc w:val="center"/>
      </w:pPr>
      <w:r>
        <w:drawing>
          <wp:inline xmlns:a="http://schemas.openxmlformats.org/drawingml/2006/main" xmlns:pic="http://schemas.openxmlformats.org/drawingml/2006/picture">
            <wp:extent cx="4706493" cy="1142907"/>
            <wp:docPr id="46" name="Picture 46"/>
            <wp:cNvGraphicFramePr>
              <a:graphicFrameLocks noChangeAspect="1"/>
            </wp:cNvGraphicFramePr>
            <a:graphic>
              <a:graphicData uri="http://schemas.openxmlformats.org/drawingml/2006/picture">
                <pic:pic>
                  <pic:nvPicPr>
                    <pic:cNvPr id="0" name="eq-046.png"/>
                    <pic:cNvPicPr/>
                  </pic:nvPicPr>
                  <pic:blipFill>
                    <a:blip r:embed="rId56"/>
                    <a:stretch>
                      <a:fillRect/>
                    </a:stretch>
                  </pic:blipFill>
                  <pic:spPr>
                    <a:xfrm>
                      <a:off x="0" y="0"/>
                      <a:ext cx="4706493" cy="1142907"/>
                    </a:xfrm>
                    <a:prstGeom prst="rect"/>
                  </pic:spPr>
                </pic:pic>
              </a:graphicData>
            </a:graphic>
          </wp:inline>
        </w:drawing>
      </w:r>
    </w:p>
    <w:p>
      <w:r>
        <w:rPr>
          <w:b w:val="0"/>
          <w:i w:val="0"/>
        </w:rPr>
        <w:t xml:space="preserve">Wind uses a 20 MW reference unit and multiplier </w:t>
      </w:r>
      <w:r>
        <w:drawing>
          <wp:inline xmlns:a="http://schemas.openxmlformats.org/drawingml/2006/main" xmlns:pic="http://schemas.openxmlformats.org/drawingml/2006/picture">
            <wp:extent cx="1250407" cy="188327"/>
            <wp:docPr id="47" name="Picture 47"/>
            <wp:cNvGraphicFramePr>
              <a:graphicFrameLocks noChangeAspect="1"/>
            </wp:cNvGraphicFramePr>
            <a:graphic>
              <a:graphicData uri="http://schemas.openxmlformats.org/drawingml/2006/picture">
                <pic:pic>
                  <pic:nvPicPr>
                    <pic:cNvPr id="0" name="eq-047.png"/>
                    <pic:cNvPicPr/>
                  </pic:nvPicPr>
                  <pic:blipFill>
                    <a:blip r:embed="rId57"/>
                    <a:stretch>
                      <a:fillRect/>
                    </a:stretch>
                  </pic:blipFill>
                  <pic:spPr>
                    <a:xfrm>
                      <a:off x="0" y="0"/>
                      <a:ext cx="1250407" cy="188327"/>
                    </a:xfrm>
                    <a:prstGeom prst="rect"/>
                  </pic:spPr>
                </pic:pic>
              </a:graphicData>
            </a:graphic>
          </wp:inline>
        </w:drawing>
      </w:r>
      <w:r>
        <w:rPr>
          <w:b w:val="0"/>
          <w:i w:val="0"/>
        </w:rPr>
        <w:t xml:space="preserve">; solar uses a 1 MW reference unit and multiplier </w:t>
      </w:r>
      <w:r>
        <w:drawing>
          <wp:inline xmlns:a="http://schemas.openxmlformats.org/drawingml/2006/main" xmlns:pic="http://schemas.openxmlformats.org/drawingml/2006/picture">
            <wp:extent cx="1002560" cy="172930"/>
            <wp:docPr id="48" name="Picture 48"/>
            <wp:cNvGraphicFramePr>
              <a:graphicFrameLocks noChangeAspect="1"/>
            </wp:cNvGraphicFramePr>
            <a:graphic>
              <a:graphicData uri="http://schemas.openxmlformats.org/drawingml/2006/picture">
                <pic:pic>
                  <pic:nvPicPr>
                    <pic:cNvPr id="0" name="eq-048.png"/>
                    <pic:cNvPicPr/>
                  </pic:nvPicPr>
                  <pic:blipFill>
                    <a:blip r:embed="rId58"/>
                    <a:stretch>
                      <a:fillRect/>
                    </a:stretch>
                  </pic:blipFill>
                  <pic:spPr>
                    <a:xfrm>
                      <a:off x="0" y="0"/>
                      <a:ext cx="1002560" cy="172930"/>
                    </a:xfrm>
                    <a:prstGeom prst="rect"/>
                  </pic:spPr>
                </pic:pic>
              </a:graphicData>
            </a:graphic>
          </wp:inline>
        </w:drawing>
      </w:r>
      <w:r>
        <w:rPr>
          <w:b w:val="0"/>
          <w:i w:val="0"/>
        </w:rPr>
        <w:t xml:space="preserve">. Storage power and energy are aggregated by technology. </w:t>
      </w:r>
      <w:r>
        <w:rPr>
          <w:rFonts w:ascii="DejaVu Sans Mono" w:hAnsi="DejaVu Sans Mono"/>
          <w:b w:val="0"/>
          <w:i w:val="0"/>
          <w:sz w:val="17"/>
        </w:rPr>
        <w:t>scheme_c_native_psm.py</w:t>
      </w:r>
      <w:r>
        <w:rPr>
          <w:b w:val="0"/>
          <w:i w:val="0"/>
        </w:rPr>
        <w:t xml:space="preserve"> creates the year's agents and restores prior sales and sales-weighted holding time for bidding. Each year's physical inventory follows its new agent's initial state; the closing inventory of the preceding objects is recorded as discarded energy in </w:t>
      </w:r>
      <w:r>
        <w:rPr>
          <w:rFonts w:ascii="DejaVu Sans Mono" w:hAnsi="DejaVu Sans Mono"/>
          <w:b w:val="0"/>
          <w:i w:val="0"/>
          <w:sz w:val="17"/>
        </w:rPr>
        <w:t>storage_year_boundary</w:t>
      </w:r>
      <w:r>
        <w:rPr>
          <w:b w:val="0"/>
          <w:i w:val="0"/>
        </w:rPr>
        <w:t>.</w:t>
      </w:r>
    </w:p>
    <w:p>
      <w:pPr>
        <w:keepNext/>
      </w:pPr>
      <w:r>
        <w:rPr>
          <w:b w:val="0"/>
          <w:i w:val="0"/>
        </w:rPr>
        <w:t xml:space="preserve">Corrected availability uses the same period arrays as the canonical input adapter. </w:t>
      </w:r>
      <w:r>
        <w:rPr>
          <w:rFonts w:ascii="DejaVu Sans Mono" w:hAnsi="DejaVu Sans Mono"/>
          <w:b w:val="0"/>
          <w:i w:val="0"/>
          <w:sz w:val="17"/>
        </w:rPr>
        <w:t>site_​weather.site_​cf_​by_​source</w:t>
      </w:r>
      <w:r>
        <w:rPr>
          <w:b w:val="0"/>
          <w:i w:val="0"/>
        </w:rPr>
        <w:t xml:space="preserve"> computes the Chapter 3 weather, loss and plane-of-array transformations, and </w:t>
      </w:r>
      <w:r>
        <w:rPr>
          <w:rFonts w:ascii="DejaVu Sans Mono" w:hAnsi="DejaVu Sans Mono"/>
          <w:b w:val="0"/>
          <w:i w:val="0"/>
          <w:sz w:val="17"/>
        </w:rPr>
        <w:t>kernel_​injection.KernelSiteInputs</w:t>
      </w:r>
      <w:r>
        <w:rPr>
          <w:b w:val="0"/>
          <w:i w:val="0"/>
        </w:rPr>
        <w:t xml:space="preserve"> supplies the resulting capacity factors </w:t>
      </w:r>
      <w:r>
        <w:drawing>
          <wp:inline xmlns:a="http://schemas.openxmlformats.org/drawingml/2006/main" xmlns:pic="http://schemas.openxmlformats.org/drawingml/2006/picture">
            <wp:extent cx="260407" cy="164122"/>
            <wp:docPr id="49" name="Picture 49"/>
            <wp:cNvGraphicFramePr>
              <a:graphicFrameLocks noChangeAspect="1"/>
            </wp:cNvGraphicFramePr>
            <a:graphic>
              <a:graphicData uri="http://schemas.openxmlformats.org/drawingml/2006/picture">
                <pic:pic>
                  <pic:nvPicPr>
                    <pic:cNvPr id="0" name="eq-049.png"/>
                    <pic:cNvPicPr/>
                  </pic:nvPicPr>
                  <pic:blipFill>
                    <a:blip r:embed="rId59"/>
                    <a:stretch>
                      <a:fillRect/>
                    </a:stretch>
                  </pic:blipFill>
                  <pic:spPr>
                    <a:xfrm>
                      <a:off x="0" y="0"/>
                      <a:ext cx="260407" cy="164122"/>
                    </a:xfrm>
                    <a:prstGeom prst="rect"/>
                  </pic:spPr>
                </pic:pic>
              </a:graphicData>
            </a:graphic>
          </wp:inline>
        </w:drawing>
      </w:r>
      <w:r>
        <w:rPr>
          <w:b w:val="0"/>
          <w:i w:val="0"/>
        </w:rPr>
        <w:t xml:space="preserve"> to the kernel:</w:t>
      </w:r>
    </w:p>
    <w:p>
      <w:pPr>
        <w:spacing w:after="160"/>
        <w:jc w:val="center"/>
      </w:pPr>
      <w:r>
        <w:drawing>
          <wp:inline xmlns:a="http://schemas.openxmlformats.org/drawingml/2006/main" xmlns:pic="http://schemas.openxmlformats.org/drawingml/2006/picture">
            <wp:extent cx="2930728" cy="187456"/>
            <wp:docPr id="50" name="Picture 50"/>
            <wp:cNvGraphicFramePr>
              <a:graphicFrameLocks noChangeAspect="1"/>
            </wp:cNvGraphicFramePr>
            <a:graphic>
              <a:graphicData uri="http://schemas.openxmlformats.org/drawingml/2006/picture">
                <pic:pic>
                  <pic:nvPicPr>
                    <pic:cNvPr id="0" name="eq-050.png"/>
                    <pic:cNvPicPr/>
                  </pic:nvPicPr>
                  <pic:blipFill>
                    <a:blip r:embed="rId60"/>
                    <a:stretch>
                      <a:fillRect/>
                    </a:stretch>
                  </pic:blipFill>
                  <pic:spPr>
                    <a:xfrm>
                      <a:off x="0" y="0"/>
                      <a:ext cx="2930728" cy="187456"/>
                    </a:xfrm>
                    <a:prstGeom prst="rect"/>
                  </pic:spPr>
                </pic:pic>
              </a:graphicData>
            </a:graphic>
          </wp:inline>
        </w:drawing>
      </w:r>
    </w:p>
    <w:p>
      <w:r>
        <w:rPr>
          <w:b w:val="0"/>
          <w:i w:val="0"/>
        </w:rPr>
        <w:t>In the doctoral reproduction profile, the kernel uses the frozen weather clock and the Chapter 3 wind and solar curves, with each hourly value serving two half-hours. Both profiles take interconnector prices and available transfer capacity from the corresponding model period.</w:t>
      </w:r>
    </w:p>
    <w:p>
      <w:pPr>
        <w:keepNext/>
      </w:pPr>
      <w:r>
        <w:rPr>
          <w:b w:val="0"/>
          <w:i w:val="0"/>
        </w:rPr>
        <w:t xml:space="preserve">Corrected nuclear availability preserves each station's PRIS reference output when converting to model capacity. </w:t>
      </w:r>
      <w:r>
        <w:rPr>
          <w:rFonts w:ascii="DejaVu Sans Mono" w:hAnsi="DejaVu Sans Mono"/>
          <w:b w:val="0"/>
          <w:i w:val="0"/>
          <w:sz w:val="17"/>
        </w:rPr>
        <w:t>nuclear_load_factor</w:t>
      </w:r>
      <w:r>
        <w:rPr>
          <w:b w:val="0"/>
          <w:i w:val="0"/>
        </w:rPr>
        <w:t xml:space="preserve"> reads </w:t>
      </w:r>
      <w:r>
        <w:rPr>
          <w:rFonts w:ascii="DejaVu Sans Mono" w:hAnsi="DejaVu Sans Mono"/>
          <w:b w:val="0"/>
          <w:i w:val="0"/>
          <w:sz w:val="17"/>
        </w:rPr>
        <w:t>pris_load_factor</w:t>
      </w:r>
      <w:r>
        <w:rPr>
          <w:b w:val="0"/>
          <w:i w:val="0"/>
        </w:rPr>
        <w:t xml:space="preserve">, </w:t>
      </w:r>
      <w:r>
        <w:rPr>
          <w:rFonts w:ascii="DejaVu Sans Mono" w:hAnsi="DejaVu Sans Mono"/>
          <w:b w:val="0"/>
          <w:i w:val="0"/>
          <w:sz w:val="17"/>
        </w:rPr>
        <w:t>pris_reference_mw</w:t>
      </w:r>
      <w:r>
        <w:rPr>
          <w:b w:val="0"/>
          <w:i w:val="0"/>
        </w:rPr>
        <w:t xml:space="preserve"> and </w:t>
      </w:r>
      <w:r>
        <w:rPr>
          <w:rFonts w:ascii="DejaVu Sans Mono" w:hAnsi="DejaVu Sans Mono"/>
          <w:b w:val="0"/>
          <w:i w:val="0"/>
          <w:sz w:val="17"/>
        </w:rPr>
        <w:t>capacity_mw</w:t>
      </w:r>
      <w:r>
        <w:rPr>
          <w:b w:val="0"/>
          <w:i w:val="0"/>
        </w:rPr>
        <w:t xml:space="preserve">. </w:t>
      </w:r>
      <w:r>
        <w:rPr>
          <w:rFonts w:ascii="DejaVu Sans Mono" w:hAnsi="DejaVu Sans Mono"/>
          <w:b w:val="0"/>
          <w:i w:val="0"/>
          <w:sz w:val="17"/>
        </w:rPr>
        <w:t>generation_end_period</w:t>
      </w:r>
      <w:r>
        <w:rPr>
          <w:b w:val="0"/>
          <w:i w:val="0"/>
        </w:rPr>
        <w:t xml:space="preserve"> supplies </w:t>
      </w:r>
      <w:r>
        <w:rPr>
          <w:rFonts w:ascii="DejaVu Sans Mono" w:hAnsi="DejaVu Sans Mono"/>
          <w:b w:val="0"/>
          <w:i w:val="0"/>
          <w:sz w:val="17"/>
        </w:rPr>
        <w:t>end</w:t>
      </w:r>
      <w:r>
        <w:rPr>
          <w:b w:val="0"/>
          <w:i w:val="0"/>
        </w:rPr>
        <w:t xml:space="preserve">, the first period after the announced end month; a station with year-round availability retains its factor throughout the year. </w:t>
      </w:r>
      <w:r>
        <w:rPr>
          <w:rFonts w:ascii="DejaVu Sans Mono" w:hAnsi="DejaVu Sans Mono"/>
          <w:b w:val="0"/>
          <w:i w:val="0"/>
          <w:sz w:val="17"/>
        </w:rPr>
        <w:t>asset_availability</w:t>
      </w:r>
      <w:r>
        <w:rPr>
          <w:b w:val="0"/>
          <w:i w:val="0"/>
        </w:rPr>
        <w:t xml:space="preserve"> produces the station array </w:t>
      </w:r>
      <w:r>
        <w:rPr>
          <w:rFonts w:ascii="DejaVu Sans Mono" w:hAnsi="DejaVu Sans Mono"/>
          <w:b w:val="0"/>
          <w:i w:val="0"/>
          <w:sz w:val="17"/>
        </w:rPr>
        <w:t>values</w:t>
      </w:r>
      <w:r>
        <w:rPr>
          <w:b w:val="0"/>
          <w:i w:val="0"/>
        </w:rPr>
        <w:t xml:space="preserve">, and </w:t>
      </w:r>
      <w:r>
        <w:rPr>
          <w:rFonts w:ascii="DejaVu Sans Mono" w:hAnsi="DejaVu Sans Mono"/>
          <w:b w:val="0"/>
          <w:i w:val="0"/>
          <w:sz w:val="17"/>
        </w:rPr>
        <w:t>kernel_availability</w:t>
      </w:r>
      <w:r>
        <w:rPr>
          <w:b w:val="0"/>
          <w:i w:val="0"/>
        </w:rPr>
        <w:t xml:space="preserve"> combines it by capacity:</w:t>
      </w:r>
    </w:p>
    <w:p>
      <w:pPr>
        <w:spacing w:after="160"/>
        <w:jc w:val="center"/>
      </w:pPr>
      <w:r>
        <w:drawing>
          <wp:inline xmlns:a="http://schemas.openxmlformats.org/drawingml/2006/main" xmlns:pic="http://schemas.openxmlformats.org/drawingml/2006/picture">
            <wp:extent cx="5863513" cy="1547602"/>
            <wp:docPr id="51" name="Picture 51"/>
            <wp:cNvGraphicFramePr>
              <a:graphicFrameLocks noChangeAspect="1"/>
            </wp:cNvGraphicFramePr>
            <a:graphic>
              <a:graphicData uri="http://schemas.openxmlformats.org/drawingml/2006/picture">
                <pic:pic>
                  <pic:nvPicPr>
                    <pic:cNvPr id="0" name="eq-051.png"/>
                    <pic:cNvPicPr/>
                  </pic:nvPicPr>
                  <pic:blipFill>
                    <a:blip r:embed="rId61"/>
                    <a:stretch>
                      <a:fillRect/>
                    </a:stretch>
                  </pic:blipFill>
                  <pic:spPr>
                    <a:xfrm>
                      <a:off x="0" y="0"/>
                      <a:ext cx="5863513" cy="1547602"/>
                    </a:xfrm>
                    <a:prstGeom prst="rect"/>
                  </pic:spPr>
                </pic:pic>
              </a:graphicData>
            </a:graphic>
          </wp:inline>
        </w:drawing>
      </w:r>
    </w:p>
    <w:p>
      <w:r>
        <w:rPr>
          <w:b w:val="0"/>
          <w:i w:val="0"/>
        </w:rPr>
        <w:t>The fixed 2019–2024 mean load factors are 0.668 for Heysham 1, 0.689 for Hartlepool, 0.752 for Heysham 2, 0.792 for Torness and 0.801 for Sizewell B. Station-policy inputs set the four AGR stations' availability to zero from period 4,320 of 2030, 1 April 00:00 UTC. Sizewell B retains full-year coverage until its declared retirement year. Fallback load factors are 0.801 for new PWR/EPR stations, 0.727 for an unspecified AGR and 0.723 for an undifferentiated national nuclear asset. GBP1 public2 applies the VALUE-UK nuclear station policy (</w:t>
      </w:r>
      <w:r>
        <w:rPr>
          <w:rFonts w:ascii="DejaVu Sans Mono" w:hAnsi="DejaVu Sans Mono"/>
          <w:b w:val="0"/>
          <w:i w:val="0"/>
          <w:sz w:val="17"/>
        </w:rPr>
        <w:t>value_​uk_​nuclear_​policy_​v1.json</w:t>
      </w:r>
      <w:r>
        <w:rPr>
          <w:b w:val="0"/>
          <w:i w:val="0"/>
        </w:rPr>
        <w:t xml:space="preserve">: five EDF stations and their declared generation ends), while its fleet input table contains one aggregate nuclear row; R029 retains a national aggregate and uses 0.723 under corrected Native dispatch. These parameters are supplied by </w:t>
      </w:r>
      <w:r>
        <w:rPr>
          <w:rFonts w:ascii="DejaVu Sans Mono" w:hAnsi="DejaVu Sans Mono"/>
          <w:b w:val="0"/>
          <w:i w:val="0"/>
          <w:sz w:val="17"/>
        </w:rPr>
        <w:t>value_​uk_​firm_​availability_​v1.json</w:t>
      </w:r>
      <w:r>
        <w:rPr>
          <w:b w:val="0"/>
          <w:i w:val="0"/>
        </w:rPr>
        <w:t xml:space="preserve"> and </w:t>
      </w:r>
      <w:r>
        <w:rPr>
          <w:rFonts w:ascii="DejaVu Sans Mono" w:hAnsi="DejaVu Sans Mono"/>
          <w:b w:val="0"/>
          <w:i w:val="0"/>
          <w:sz w:val="17"/>
        </w:rPr>
        <w:t>firm_availability.py</w:t>
      </w:r>
      <w:r>
        <w:rPr>
          <w:b w:val="0"/>
          <w:i w:val="0"/>
        </w:rPr>
        <w:t>.</w:t>
      </w:r>
    </w:p>
    <w:p>
      <w:pPr>
        <w:keepNext/>
      </w:pPr>
      <w:r>
        <w:rPr>
          <w:b w:val="0"/>
          <w:i w:val="0"/>
        </w:rPr>
        <w:t>Corrected natural-flow hydro combines the DUKES 6.3 mean annual load factor with a monthly shape derived from quarterly Energy Trends data:</w:t>
      </w:r>
    </w:p>
    <w:p>
      <w:pPr>
        <w:spacing w:after="160"/>
        <w:jc w:val="center"/>
      </w:pPr>
      <w:r>
        <w:drawing>
          <wp:inline xmlns:a="http://schemas.openxmlformats.org/drawingml/2006/main" xmlns:pic="http://schemas.openxmlformats.org/drawingml/2006/picture">
            <wp:extent cx="3600373" cy="192020"/>
            <wp:docPr id="52" name="Picture 52"/>
            <wp:cNvGraphicFramePr>
              <a:graphicFrameLocks noChangeAspect="1"/>
            </wp:cNvGraphicFramePr>
            <a:graphic>
              <a:graphicData uri="http://schemas.openxmlformats.org/drawingml/2006/picture">
                <pic:pic>
                  <pic:nvPicPr>
                    <pic:cNvPr id="0" name="eq-052.png"/>
                    <pic:cNvPicPr/>
                  </pic:nvPicPr>
                  <pic:blipFill>
                    <a:blip r:embed="rId62"/>
                    <a:stretch>
                      <a:fillRect/>
                    </a:stretch>
                  </pic:blipFill>
                  <pic:spPr>
                    <a:xfrm>
                      <a:off x="0" y="0"/>
                      <a:ext cx="3600373" cy="192020"/>
                    </a:xfrm>
                    <a:prstGeom prst="rect"/>
                  </pic:spPr>
                </pic:pic>
              </a:graphicData>
            </a:graphic>
          </wp:inline>
        </w:drawing>
      </w:r>
    </w:p>
    <w:p>
      <w:pPr>
        <w:spacing w:after="160"/>
        <w:jc w:val="center"/>
      </w:pPr>
      <w:r>
        <w:drawing>
          <wp:inline xmlns:a="http://schemas.openxmlformats.org/drawingml/2006/main" xmlns:pic="http://schemas.openxmlformats.org/drawingml/2006/picture">
            <wp:extent cx="4766614" cy="395503"/>
            <wp:docPr id="53" name="Picture 53"/>
            <wp:cNvGraphicFramePr>
              <a:graphicFrameLocks noChangeAspect="1"/>
            </wp:cNvGraphicFramePr>
            <a:graphic>
              <a:graphicData uri="http://schemas.openxmlformats.org/drawingml/2006/picture">
                <pic:pic>
                  <pic:nvPicPr>
                    <pic:cNvPr id="0" name="eq-053.png"/>
                    <pic:cNvPicPr/>
                  </pic:nvPicPr>
                  <pic:blipFill>
                    <a:blip r:embed="rId63"/>
                    <a:stretch>
                      <a:fillRect/>
                    </a:stretch>
                  </pic:blipFill>
                  <pic:spPr>
                    <a:xfrm>
                      <a:off x="0" y="0"/>
                      <a:ext cx="4766614" cy="395503"/>
                    </a:xfrm>
                    <a:prstGeom prst="rect"/>
                  </pic:spPr>
                </pic:pic>
              </a:graphicData>
            </a:graphic>
          </wp:inline>
        </w:drawing>
      </w:r>
    </w:p>
    <w:p>
      <w:r>
        <w:rPr>
          <w:b w:val="0"/>
          <w:i w:val="0"/>
        </w:rPr>
        <w:t>The shape has an arithmetic monthly mean of 1 and a 365-day weighted mean of 0.99883, giving a model-year availability of 0.3483. Nuclear and hydro use these fixed profiles across model years. In the doctoral reproduction profile, their availability is 1.</w:t>
      </w:r>
    </w:p>
    <w:p>
      <w:r>
        <w:rPr>
          <w:b w:val="0"/>
          <w:i w:val="0"/>
        </w:rPr>
        <w:t xml:space="preserve">Corrected Native dispatch starts each model year with nuclear in service, so nuclear belongs to </w:t>
      </w:r>
      <w:r>
        <w:drawing>
          <wp:inline xmlns:a="http://schemas.openxmlformats.org/drawingml/2006/main" xmlns:pic="http://schemas.openxmlformats.org/drawingml/2006/picture">
            <wp:extent cx="1632400" cy="162144"/>
            <wp:docPr id="54" name="Picture 54"/>
            <wp:cNvGraphicFramePr>
              <a:graphicFrameLocks noChangeAspect="1"/>
            </wp:cNvGraphicFramePr>
            <a:graphic>
              <a:graphicData uri="http://schemas.openxmlformats.org/drawingml/2006/picture">
                <pic:pic>
                  <pic:nvPicPr>
                    <pic:cNvPr id="0" name="eq-054.png"/>
                    <pic:cNvPicPr/>
                  </pic:nvPicPr>
                  <pic:blipFill>
                    <a:blip r:embed="rId64"/>
                    <a:stretch>
                      <a:fillRect/>
                    </a:stretch>
                  </pic:blipFill>
                  <pic:spPr>
                    <a:xfrm>
                      <a:off x="0" y="0"/>
                      <a:ext cx="1632400" cy="162144"/>
                    </a:xfrm>
                    <a:prstGeom prst="rect"/>
                  </pic:spPr>
                </pic:pic>
              </a:graphicData>
            </a:graphic>
          </wp:inline>
        </w:drawing>
      </w:r>
      <w:r>
        <w:rPr>
          <w:b w:val="0"/>
          <w:i w:val="0"/>
        </w:rPr>
        <w:t xml:space="preserve">. An accepted restart after a period outside the accepted set incurs the start-up adder for that period. Gas and biomass begin outside the accepted set. In the doctoral reproduction profile, </w:t>
      </w:r>
      <w:r>
        <w:drawing>
          <wp:inline xmlns:a="http://schemas.openxmlformats.org/drawingml/2006/main" xmlns:pic="http://schemas.openxmlformats.org/drawingml/2006/picture">
            <wp:extent cx="1981314" cy="162187"/>
            <wp:docPr id="55" name="Picture 55"/>
            <wp:cNvGraphicFramePr>
              <a:graphicFrameLocks noChangeAspect="1"/>
            </wp:cNvGraphicFramePr>
            <a:graphic>
              <a:graphicData uri="http://schemas.openxmlformats.org/drawingml/2006/picture">
                <pic:pic>
                  <pic:nvPicPr>
                    <pic:cNvPr id="0" name="eq-055.png"/>
                    <pic:cNvPicPr/>
                  </pic:nvPicPr>
                  <pic:blipFill>
                    <a:blip r:embed="rId65"/>
                    <a:stretch>
                      <a:fillRect/>
                    </a:stretch>
                  </pic:blipFill>
                  <pic:spPr>
                    <a:xfrm>
                      <a:off x="0" y="0"/>
                      <a:ext cx="1981314" cy="162187"/>
                    </a:xfrm>
                    <a:prstGeom prst="rect"/>
                  </pic:spPr>
                </pic:pic>
              </a:graphicData>
            </a:graphic>
          </wp:inline>
        </w:drawing>
      </w:r>
      <w:r>
        <w:rPr>
          <w:b w:val="0"/>
          <w:i w:val="0"/>
        </w:rPr>
        <w:t>: the GBP1 nuclear bid is initially £500/MWh, then falls to its operating cost after acceptance. The 500 MW-per-period ramp allowance in the GBP1 row retains output through subsequent low-demand periods, while unaccepted nuclear memory decays by 0.99 per period. Annual nuclear output therefore depends on when the unit first enters the accepted set.</w:t>
      </w:r>
    </w:p>
    <w:p>
      <w:pPr>
        <w:pStyle w:val="Heading2"/>
      </w:pPr>
      <w:r>
        <w:rPr>
          <w:b w:val="0"/>
          <w:i w:val="0"/>
        </w:rPr>
        <w:t>Native storage batches and net positions</w:t>
      </w:r>
    </w:p>
    <w:p>
      <w:pPr>
        <w:keepNext/>
      </w:pPr>
      <w:r>
        <w:rPr>
          <w:b w:val="0"/>
          <w:i w:val="0"/>
        </w:rPr>
        <w:t xml:space="preserve">Native records each charging period's stored-side MWh in </w:t>
      </w:r>
      <w:r>
        <w:rPr>
          <w:rFonts w:ascii="DejaVu Sans Mono" w:hAnsi="DejaVu Sans Mono"/>
          <w:b w:val="0"/>
          <w:i w:val="0"/>
          <w:sz w:val="17"/>
        </w:rPr>
        <w:t>stored_energy</w:t>
      </w:r>
      <w:r>
        <w:rPr>
          <w:b w:val="0"/>
          <w:i w:val="0"/>
        </w:rPr>
        <w:t xml:space="preserve">. </w:t>
      </w:r>
      <w:r>
        <w:rPr>
          <w:rFonts w:ascii="DejaVu Sans Mono" w:hAnsi="DejaVu Sans Mono"/>
          <w:b w:val="0"/>
          <w:i w:val="0"/>
          <w:sz w:val="17"/>
        </w:rPr>
        <w:t>Battery.charge</w:t>
      </w:r>
      <w:r>
        <w:rPr>
          <w:b w:val="0"/>
          <w:i w:val="0"/>
        </w:rPr>
        <w:t xml:space="preserve"> limits input by </w:t>
      </w:r>
      <w:r>
        <w:rPr>
          <w:rFonts w:ascii="DejaVu Sans Mono" w:hAnsi="DejaVu Sans Mono"/>
          <w:b w:val="0"/>
          <w:i w:val="0"/>
          <w:sz w:val="17"/>
        </w:rPr>
        <w:t>power_capacity_mw</w:t>
      </w:r>
      <w:r>
        <w:rPr>
          <w:b w:val="0"/>
          <w:i w:val="0"/>
        </w:rPr>
        <w:t xml:space="preserve">, </w:t>
      </w:r>
      <w:r>
        <w:rPr>
          <w:rFonts w:ascii="DejaVu Sans Mono" w:hAnsi="DejaVu Sans Mono"/>
          <w:b w:val="0"/>
          <w:i w:val="0"/>
          <w:sz w:val="17"/>
        </w:rPr>
        <w:t>energy_capacity_mwh</w:t>
      </w:r>
      <w:r>
        <w:rPr>
          <w:b w:val="0"/>
          <w:i w:val="0"/>
        </w:rPr>
        <w:t xml:space="preserve">, charging efficiency </w:t>
      </w:r>
      <w:r>
        <w:rPr>
          <w:rFonts w:ascii="DejaVu Sans Mono" w:hAnsi="DejaVu Sans Mono"/>
          <w:b w:val="0"/>
          <w:i w:val="0"/>
          <w:sz w:val="17"/>
        </w:rPr>
        <w:t>n_1</w:t>
      </w:r>
      <w:r>
        <w:rPr>
          <w:b w:val="0"/>
          <w:i w:val="0"/>
        </w:rPr>
        <w:t xml:space="preserve"> and remaining power after the current period's earlier charging. For each battery, the implementation calculates</w:t>
      </w:r>
    </w:p>
    <w:p>
      <w:pPr>
        <w:spacing w:after="160"/>
        <w:jc w:val="center"/>
      </w:pPr>
      <w:r>
        <w:drawing>
          <wp:inline xmlns:a="http://schemas.openxmlformats.org/drawingml/2006/main" xmlns:pic="http://schemas.openxmlformats.org/drawingml/2006/picture">
            <wp:extent cx="6215100" cy="2180657"/>
            <wp:docPr id="56" name="Picture 56"/>
            <wp:cNvGraphicFramePr>
              <a:graphicFrameLocks noChangeAspect="1"/>
            </wp:cNvGraphicFramePr>
            <a:graphic>
              <a:graphicData uri="http://schemas.openxmlformats.org/drawingml/2006/picture">
                <pic:pic>
                  <pic:nvPicPr>
                    <pic:cNvPr id="0" name="eq-056.png"/>
                    <pic:cNvPicPr/>
                  </pic:nvPicPr>
                  <pic:blipFill>
                    <a:blip r:embed="rId66"/>
                    <a:stretch>
                      <a:fillRect/>
                    </a:stretch>
                  </pic:blipFill>
                  <pic:spPr>
                    <a:xfrm>
                      <a:off x="0" y="0"/>
                      <a:ext cx="6215100" cy="2180657"/>
                    </a:xfrm>
                    <a:prstGeom prst="rect"/>
                  </pic:spPr>
                </pic:pic>
              </a:graphicData>
            </a:graphic>
          </wp:inline>
        </w:drawing>
      </w:r>
    </w:p>
    <w:p>
      <w:pPr>
        <w:keepNext/>
      </w:pPr>
      <w:r>
        <w:rPr>
          <w:rFonts w:ascii="DejaVu Sans Mono" w:hAnsi="DejaVu Sans Mono"/>
          <w:b w:val="0"/>
          <w:i w:val="0"/>
          <w:sz w:val="17"/>
        </w:rPr>
        <w:t>Battery.discharge</w:t>
      </w:r>
      <w:r>
        <w:rPr>
          <w:b w:val="0"/>
          <w:i w:val="0"/>
        </w:rPr>
        <w:t xml:space="preserve"> withdraws </w:t>
      </w:r>
      <w:r>
        <w:rPr>
          <w:rFonts w:ascii="DejaVu Sans Mono" w:hAnsi="DejaVu Sans Mono"/>
          <w:b w:val="0"/>
          <w:i w:val="0"/>
          <w:sz w:val="17"/>
        </w:rPr>
        <w:t>output_power * period_hours / n_2</w:t>
      </w:r>
      <w:r>
        <w:rPr>
          <w:b w:val="0"/>
          <w:i w:val="0"/>
        </w:rPr>
        <w:t xml:space="preserve"> MWh from the selected batch, where </w:t>
      </w:r>
      <w:r>
        <w:rPr>
          <w:rFonts w:ascii="DejaVu Sans Mono" w:hAnsi="DejaVu Sans Mono"/>
          <w:b w:val="0"/>
          <w:i w:val="0"/>
          <w:sz w:val="17"/>
        </w:rPr>
        <w:t>n_2</w:t>
      </w:r>
      <w:r>
        <w:rPr>
          <w:b w:val="0"/>
          <w:i w:val="0"/>
        </w:rPr>
        <w:t xml:space="preserve"> is discharging efficiency. All batches and stages share rated power. Ahead offers use existing batches; upward balancing uses batches aged at least two periods. The period book's </w:t>
      </w:r>
      <w:r>
        <w:rPr>
          <w:rFonts w:ascii="DejaVu Sans Mono" w:hAnsi="DejaVu Sans Mono"/>
          <w:b w:val="0"/>
          <w:i w:val="0"/>
          <w:sz w:val="17"/>
        </w:rPr>
        <w:t>discharged_mw</w:t>
      </w:r>
      <w:r>
        <w:rPr>
          <w:b w:val="0"/>
          <w:i w:val="0"/>
        </w:rPr>
        <w:t xml:space="preserve"> and </w:t>
      </w:r>
      <w:r>
        <w:rPr>
          <w:rFonts w:ascii="DejaVu Sans Mono" w:hAnsi="DejaVu Sans Mono"/>
          <w:b w:val="0"/>
          <w:i w:val="0"/>
          <w:sz w:val="17"/>
        </w:rPr>
        <w:t>charged_mw</w:t>
      </w:r>
      <w:r>
        <w:rPr>
          <w:b w:val="0"/>
          <w:i w:val="0"/>
        </w:rPr>
        <w:t xml:space="preserve">, and the sum of </w:t>
      </w:r>
      <w:r>
        <w:rPr>
          <w:rFonts w:ascii="DejaVu Sans Mono" w:hAnsi="DejaVu Sans Mono"/>
          <w:b w:val="0"/>
          <w:i w:val="0"/>
          <w:sz w:val="17"/>
        </w:rPr>
        <w:t>stored_energy</w:t>
      </w:r>
      <w:r>
        <w:rPr>
          <w:b w:val="0"/>
          <w:i w:val="0"/>
        </w:rPr>
        <w:t>, satisfy</w:t>
      </w:r>
    </w:p>
    <w:p>
      <w:pPr>
        <w:spacing w:after="160"/>
        <w:jc w:val="center"/>
      </w:pPr>
      <w:r>
        <w:drawing>
          <wp:inline xmlns:a="http://schemas.openxmlformats.org/drawingml/2006/main" xmlns:pic="http://schemas.openxmlformats.org/drawingml/2006/picture">
            <wp:extent cx="5391302" cy="845963"/>
            <wp:docPr id="57" name="Picture 57"/>
            <wp:cNvGraphicFramePr>
              <a:graphicFrameLocks noChangeAspect="1"/>
            </wp:cNvGraphicFramePr>
            <a:graphic>
              <a:graphicData uri="http://schemas.openxmlformats.org/drawingml/2006/picture">
                <pic:pic>
                  <pic:nvPicPr>
                    <pic:cNvPr id="0" name="eq-057.png"/>
                    <pic:cNvPicPr/>
                  </pic:nvPicPr>
                  <pic:blipFill>
                    <a:blip r:embed="rId67"/>
                    <a:stretch>
                      <a:fillRect/>
                    </a:stretch>
                  </pic:blipFill>
                  <pic:spPr>
                    <a:xfrm>
                      <a:off x="0" y="0"/>
                      <a:ext cx="5391302" cy="845963"/>
                    </a:xfrm>
                    <a:prstGeom prst="rect"/>
                  </pic:spPr>
                </pic:pic>
              </a:graphicData>
            </a:graphic>
          </wp:inline>
        </w:drawing>
      </w:r>
    </w:p>
    <w:p>
      <w:r>
        <w:rPr>
          <w:b w:val="0"/>
          <w:i w:val="0"/>
        </w:rPr>
        <w:t>Surplus absorption first buys back the store's discharge from the same period and returns the withdrawn energy to its original batches. Further surplus can charge the store after its remaining discharge reaches zero. A store that has charged offers zero discharge in later stages. Both profiles process forecast surplus before other available surplus and record sales at the closing net position. Ahead storage remuneration remains payable on bought-back output.</w:t>
      </w:r>
    </w:p>
    <w:p>
      <w:r>
        <w:rPr>
          <w:b w:val="0"/>
          <w:i w:val="0"/>
        </w:rPr>
        <w:t xml:space="preserve">Self-discharge multiplies inventory by </w:t>
      </w:r>
      <w:r>
        <w:drawing>
          <wp:inline xmlns:a="http://schemas.openxmlformats.org/drawingml/2006/main" xmlns:pic="http://schemas.openxmlformats.org/drawingml/2006/picture">
            <wp:extent cx="1060615" cy="149012"/>
            <wp:docPr id="58" name="Picture 58"/>
            <wp:cNvGraphicFramePr>
              <a:graphicFrameLocks noChangeAspect="1"/>
            </wp:cNvGraphicFramePr>
            <a:graphic>
              <a:graphicData uri="http://schemas.openxmlformats.org/drawingml/2006/picture">
                <pic:pic>
                  <pic:nvPicPr>
                    <pic:cNvPr id="0" name="eq-058.png"/>
                    <pic:cNvPicPr/>
                  </pic:nvPicPr>
                  <pic:blipFill>
                    <a:blip r:embed="rId68"/>
                    <a:stretch>
                      <a:fillRect/>
                    </a:stretch>
                  </pic:blipFill>
                  <pic:spPr>
                    <a:xfrm>
                      <a:off x="0" y="0"/>
                      <a:ext cx="1060615" cy="149012"/>
                    </a:xfrm>
                    <a:prstGeom prst="rect"/>
                  </pic:spPr>
                </pic:pic>
              </a:graphicData>
            </a:graphic>
          </wp:inline>
        </w:drawing>
      </w:r>
      <w:r>
        <w:rPr>
          <w:b w:val="0"/>
          <w:i w:val="0"/>
        </w:rPr>
        <w:t xml:space="preserve"> each period. The values of </w:t>
      </w:r>
      <w:r>
        <w:drawing>
          <wp:inline xmlns:a="http://schemas.openxmlformats.org/drawingml/2006/main" xmlns:pic="http://schemas.openxmlformats.org/drawingml/2006/picture">
            <wp:extent cx="776036" cy="149069"/>
            <wp:docPr id="59" name="Picture 59"/>
            <wp:cNvGraphicFramePr>
              <a:graphicFrameLocks noChangeAspect="1"/>
            </wp:cNvGraphicFramePr>
            <a:graphic>
              <a:graphicData uri="http://schemas.openxmlformats.org/drawingml/2006/picture">
                <pic:pic>
                  <pic:nvPicPr>
                    <pic:cNvPr id="0" name="eq-059.png"/>
                    <pic:cNvPicPr/>
                  </pic:nvPicPr>
                  <pic:blipFill>
                    <a:blip r:embed="rId69"/>
                    <a:stretch>
                      <a:fillRect/>
                    </a:stretch>
                  </pic:blipFill>
                  <pic:spPr>
                    <a:xfrm>
                      <a:off x="0" y="0"/>
                      <a:ext cx="776036" cy="149069"/>
                    </a:xfrm>
                    <a:prstGeom prst="rect"/>
                  </pic:spPr>
                </pic:pic>
              </a:graphicData>
            </a:graphic>
          </wp:inline>
        </w:drawing>
      </w:r>
      <w:r>
        <w:rPr>
          <w:b w:val="0"/>
          <w:i w:val="0"/>
        </w:rPr>
        <w:t xml:space="preserve"> are 0.000021 for batteries and other default types, 0.000001 for pumped hydro and 0.000005 for hydrogen storage. Batches below 0.001 MWh are removed and included in inventory reconciliation.</w:t>
      </w:r>
    </w:p>
    <w:p>
      <w:pPr>
        <w:keepNext/>
      </w:pPr>
      <w:r>
        <w:rPr>
          <w:b w:val="0"/>
          <w:i w:val="0"/>
        </w:rPr>
        <w:t xml:space="preserve">The default dynamic storage-cost module uses cycle depreciation in corrected bids. Batteries bid </w:t>
      </w:r>
      <w:r>
        <w:drawing>
          <wp:inline xmlns:a="http://schemas.openxmlformats.org/drawingml/2006/main" xmlns:pic="http://schemas.openxmlformats.org/drawingml/2006/picture">
            <wp:extent cx="3636352" cy="157721"/>
            <wp:docPr id="60" name="Picture 60"/>
            <wp:cNvGraphicFramePr>
              <a:graphicFrameLocks noChangeAspect="1"/>
            </wp:cNvGraphicFramePr>
            <a:graphic>
              <a:graphicData uri="http://schemas.openxmlformats.org/drawingml/2006/picture">
                <pic:pic>
                  <pic:nvPicPr>
                    <pic:cNvPr id="0" name="eq-060.png"/>
                    <pic:cNvPicPr/>
                  </pic:nvPicPr>
                  <pic:blipFill>
                    <a:blip r:embed="rId70"/>
                    <a:stretch>
                      <a:fillRect/>
                    </a:stretch>
                  </pic:blipFill>
                  <pic:spPr>
                    <a:xfrm>
                      <a:off x="0" y="0"/>
                      <a:ext cx="3636352" cy="157721"/>
                    </a:xfrm>
                    <a:prstGeom prst="rect"/>
                  </pic:spPr>
                </pic:pic>
              </a:graphicData>
            </a:graphic>
          </wp:inline>
        </w:drawing>
      </w:r>
      <w:r>
        <w:rPr>
          <w:b w:val="0"/>
          <w:i w:val="0"/>
        </w:rPr>
        <w:t>; pumped hydro and hydrogen storage bid zero. Oldest batches are offered first:</w:t>
      </w:r>
    </w:p>
    <w:p>
      <w:pPr>
        <w:spacing w:after="160"/>
        <w:jc w:val="center"/>
      </w:pPr>
      <w:r>
        <w:drawing>
          <wp:inline xmlns:a="http://schemas.openxmlformats.org/drawingml/2006/main" xmlns:pic="http://schemas.openxmlformats.org/drawingml/2006/picture">
            <wp:extent cx="6217920" cy="377033"/>
            <wp:docPr id="61" name="Picture 61"/>
            <wp:cNvGraphicFramePr>
              <a:graphicFrameLocks noChangeAspect="1"/>
            </wp:cNvGraphicFramePr>
            <a:graphic>
              <a:graphicData uri="http://schemas.openxmlformats.org/drawingml/2006/picture">
                <pic:pic>
                  <pic:nvPicPr>
                    <pic:cNvPr id="0" name="eq-061.png"/>
                    <pic:cNvPicPr/>
                  </pic:nvPicPr>
                  <pic:blipFill>
                    <a:blip r:embed="rId71"/>
                    <a:stretch>
                      <a:fillRect/>
                    </a:stretch>
                  </pic:blipFill>
                  <pic:spPr>
                    <a:xfrm>
                      <a:off x="0" y="0"/>
                      <a:ext cx="6217920" cy="377033"/>
                    </a:xfrm>
                    <a:prstGeom prst="rect"/>
                  </pic:spPr>
                </pic:pic>
              </a:graphicData>
            </a:graphic>
          </wp:inline>
        </w:drawing>
      </w:r>
    </w:p>
    <w:p>
      <w:pPr>
        <w:keepNext/>
      </w:pPr>
      <w:r>
        <w:rPr>
          <w:b w:val="0"/>
          <w:i w:val="0"/>
        </w:rPr>
        <w:t>The module calculates cycle depreciation from the annual cost-recovery inputs in Chapter 4. Legacy tariffs, user formulas and external storage-cost modules supply their own bid functions. In the doctoral reproduction profile, the selected storage module retains its age-dependent bid; the legacy form is</w:t>
      </w:r>
    </w:p>
    <w:p>
      <w:pPr>
        <w:spacing w:after="160"/>
        <w:jc w:val="center"/>
      </w:pPr>
      <w:r>
        <w:drawing>
          <wp:inline xmlns:a="http://schemas.openxmlformats.org/drawingml/2006/main" xmlns:pic="http://schemas.openxmlformats.org/drawingml/2006/picture">
            <wp:extent cx="5389397" cy="463973"/>
            <wp:docPr id="62" name="Picture 62"/>
            <wp:cNvGraphicFramePr>
              <a:graphicFrameLocks noChangeAspect="1"/>
            </wp:cNvGraphicFramePr>
            <a:graphic>
              <a:graphicData uri="http://schemas.openxmlformats.org/drawingml/2006/picture">
                <pic:pic>
                  <pic:nvPicPr>
                    <pic:cNvPr id="0" name="eq-062.png"/>
                    <pic:cNvPicPr/>
                  </pic:nvPicPr>
                  <pic:blipFill>
                    <a:blip r:embed="rId72"/>
                    <a:stretch>
                      <a:fillRect/>
                    </a:stretch>
                  </pic:blipFill>
                  <pic:spPr>
                    <a:xfrm>
                      <a:off x="0" y="0"/>
                      <a:ext cx="5389397" cy="463973"/>
                    </a:xfrm>
                    <a:prstGeom prst="rect"/>
                  </pic:spPr>
                </pic:pic>
              </a:graphicData>
            </a:graphic>
          </wp:inline>
        </w:drawing>
      </w:r>
    </w:p>
    <w:p>
      <w:r>
        <w:rPr>
          <w:b w:val="0"/>
          <w:i w:val="0"/>
        </w:rPr>
        <w:t>Positive holding fees make newer batches cheaper, and equal prices preserve batch order. Annual observations retain delivered MWh and MWh multiplied by age for the following year's pricing inputs.</w:t>
      </w:r>
    </w:p>
    <w:p>
      <w:pPr>
        <w:pStyle w:val="Heading2"/>
      </w:pPr>
      <w:r>
        <w:rPr>
          <w:b w:val="0"/>
          <w:i w:val="0"/>
        </w:rPr>
        <w:t>Native forecast clearing and balancing</w:t>
      </w:r>
    </w:p>
    <w:p>
      <w:pPr>
        <w:keepNext/>
      </w:pPr>
      <w:r>
        <w:rPr>
          <w:b w:val="0"/>
          <w:i w:val="0"/>
        </w:rPr>
        <w:t>Corrected Native dispatch orders generator, import and storage-batch offers by a stable key. Within the same 0.01 £/MWh band, generation and imports precede storage; unrounded price and input order resolve further ties:</w:t>
      </w:r>
    </w:p>
    <w:p>
      <w:pPr>
        <w:spacing w:after="160"/>
        <w:jc w:val="center"/>
      </w:pPr>
      <w:r>
        <w:drawing>
          <wp:inline xmlns:a="http://schemas.openxmlformats.org/drawingml/2006/main" xmlns:pic="http://schemas.openxmlformats.org/drawingml/2006/picture">
            <wp:extent cx="5119801" cy="171422"/>
            <wp:docPr id="63" name="Picture 63"/>
            <wp:cNvGraphicFramePr>
              <a:graphicFrameLocks noChangeAspect="1"/>
            </wp:cNvGraphicFramePr>
            <a:graphic>
              <a:graphicData uri="http://schemas.openxmlformats.org/drawingml/2006/picture">
                <pic:pic>
                  <pic:nvPicPr>
                    <pic:cNvPr id="0" name="eq-063.png"/>
                    <pic:cNvPicPr/>
                  </pic:nvPicPr>
                  <pic:blipFill>
                    <a:blip r:embed="rId73"/>
                    <a:stretch>
                      <a:fillRect/>
                    </a:stretch>
                  </pic:blipFill>
                  <pic:spPr>
                    <a:xfrm>
                      <a:off x="0" y="0"/>
                      <a:ext cx="5119801" cy="171422"/>
                    </a:xfrm>
                    <a:prstGeom prst="rect"/>
                  </pic:spPr>
                </pic:pic>
              </a:graphicData>
            </a:graphic>
          </wp:inline>
        </w:drawing>
      </w:r>
    </w:p>
    <w:p>
      <w:pPr>
        <w:keepNext/>
      </w:pPr>
      <w:r>
        <w:rPr>
          <w:b w:val="0"/>
          <w:i w:val="0"/>
        </w:rPr>
        <w:t>An ordinary generator serves residual forecast demand up to</w:t>
      </w:r>
    </w:p>
    <w:p>
      <w:pPr>
        <w:spacing w:after="160"/>
        <w:jc w:val="center"/>
      </w:pPr>
      <w:r>
        <w:drawing>
          <wp:inline xmlns:a="http://schemas.openxmlformats.org/drawingml/2006/main" xmlns:pic="http://schemas.openxmlformats.org/drawingml/2006/picture">
            <wp:extent cx="4294479" cy="194269"/>
            <wp:docPr id="64" name="Picture 64"/>
            <wp:cNvGraphicFramePr>
              <a:graphicFrameLocks noChangeAspect="1"/>
            </wp:cNvGraphicFramePr>
            <a:graphic>
              <a:graphicData uri="http://schemas.openxmlformats.org/drawingml/2006/picture">
                <pic:pic>
                  <pic:nvPicPr>
                    <pic:cNvPr id="0" name="eq-064.png"/>
                    <pic:cNvPicPr/>
                  </pic:nvPicPr>
                  <pic:blipFill>
                    <a:blip r:embed="rId74"/>
                    <a:stretch>
                      <a:fillRect/>
                    </a:stretch>
                  </pic:blipFill>
                  <pic:spPr>
                    <a:xfrm>
                      <a:off x="0" y="0"/>
                      <a:ext cx="4294479" cy="194269"/>
                    </a:xfrm>
                    <a:prstGeom prst="rect"/>
                  </pic:spPr>
                </pic:pic>
              </a:graphicData>
            </a:graphic>
          </wp:inline>
        </w:drawing>
      </w:r>
    </w:p>
    <w:p>
      <w:r>
        <w:rPr>
          <w:b w:val="0"/>
          <w:i w:val="0"/>
        </w:rPr>
        <w:t xml:space="preserve">Hydro and biomass also obey their remaining cumulative budget </w:t>
      </w:r>
      <w:r>
        <w:drawing>
          <wp:inline xmlns:a="http://schemas.openxmlformats.org/drawingml/2006/main" xmlns:pic="http://schemas.openxmlformats.org/drawingml/2006/picture">
            <wp:extent cx="2426766" cy="155506"/>
            <wp:docPr id="65" name="Picture 65"/>
            <wp:cNvGraphicFramePr>
              <a:graphicFrameLocks noChangeAspect="1"/>
            </wp:cNvGraphicFramePr>
            <a:graphic>
              <a:graphicData uri="http://schemas.openxmlformats.org/drawingml/2006/picture">
                <pic:pic>
                  <pic:nvPicPr>
                    <pic:cNvPr id="0" name="eq-065.png"/>
                    <pic:cNvPicPr/>
                  </pic:nvPicPr>
                  <pic:blipFill>
                    <a:blip r:embed="rId75"/>
                    <a:stretch>
                      <a:fillRect/>
                    </a:stretch>
                  </pic:blipFill>
                  <pic:spPr>
                    <a:xfrm>
                      <a:off x="0" y="0"/>
                      <a:ext cx="2426766" cy="155506"/>
                    </a:xfrm>
                    <a:prstGeom prst="rect"/>
                  </pic:spPr>
                </pic:pic>
              </a:graphicData>
            </a:graphic>
          </wp:inline>
        </w:drawing>
      </w:r>
      <w:r>
        <w:rPr>
          <w:b w:val="0"/>
          <w:i w:val="0"/>
        </w:rPr>
        <w:t xml:space="preserve">, expressed in MW-periods and converted to MWh by </w:t>
      </w:r>
      <w:r>
        <w:drawing>
          <wp:inline xmlns:a="http://schemas.openxmlformats.org/drawingml/2006/main" xmlns:pic="http://schemas.openxmlformats.org/drawingml/2006/picture">
            <wp:extent cx="929170" cy="146826"/>
            <wp:docPr id="66" name="Picture 66"/>
            <wp:cNvGraphicFramePr>
              <a:graphicFrameLocks noChangeAspect="1"/>
            </wp:cNvGraphicFramePr>
            <a:graphic>
              <a:graphicData uri="http://schemas.openxmlformats.org/drawingml/2006/picture">
                <pic:pic>
                  <pic:nvPicPr>
                    <pic:cNvPr id="0" name="eq-066.png"/>
                    <pic:cNvPicPr/>
                  </pic:nvPicPr>
                  <pic:blipFill>
                    <a:blip r:embed="rId76"/>
                    <a:stretch>
                      <a:fillRect/>
                    </a:stretch>
                  </pic:blipFill>
                  <pic:spPr>
                    <a:xfrm>
                      <a:off x="0" y="0"/>
                      <a:ext cx="929170" cy="146826"/>
                    </a:xfrm>
                    <a:prstGeom prst="rect"/>
                  </pic:spPr>
                </pic:pic>
              </a:graphicData>
            </a:graphic>
          </wp:inline>
        </w:drawing>
      </w:r>
      <w:r>
        <w:rPr>
          <w:b w:val="0"/>
          <w:i w:val="0"/>
        </w:rPr>
        <w:t xml:space="preserve">. Nuclear acceptance can exceed residual demand </w:t>
      </w:r>
      <w:r>
        <w:drawing>
          <wp:inline xmlns:a="http://schemas.openxmlformats.org/drawingml/2006/main" xmlns:pic="http://schemas.openxmlformats.org/drawingml/2006/picture">
            <wp:extent cx="1208417" cy="126971"/>
            <wp:docPr id="67" name="Picture 67"/>
            <wp:cNvGraphicFramePr>
              <a:graphicFrameLocks noChangeAspect="1"/>
            </wp:cNvGraphicFramePr>
            <a:graphic>
              <a:graphicData uri="http://schemas.openxmlformats.org/drawingml/2006/picture">
                <pic:pic>
                  <pic:nvPicPr>
                    <pic:cNvPr id="0" name="eq-067.png"/>
                    <pic:cNvPicPr/>
                  </pic:nvPicPr>
                  <pic:blipFill>
                    <a:blip r:embed="rId77"/>
                    <a:stretch>
                      <a:fillRect/>
                    </a:stretch>
                  </pic:blipFill>
                  <pic:spPr>
                    <a:xfrm>
                      <a:off x="0" y="0"/>
                      <a:ext cx="1208417" cy="126971"/>
                    </a:xfrm>
                    <a:prstGeom prst="rect"/>
                  </pic:spPr>
                </pic:pic>
              </a:graphicData>
            </a:graphic>
          </wp:inline>
        </w:drawing>
      </w:r>
      <w:r>
        <w:rPr>
          <w:b w:val="0"/>
          <w:i w:val="0"/>
        </w:rPr>
        <w:t xml:space="preserve">: when its upper limit is larger than </w:t>
      </w:r>
      <w:r>
        <w:drawing>
          <wp:inline xmlns:a="http://schemas.openxmlformats.org/drawingml/2006/main" xmlns:pic="http://schemas.openxmlformats.org/drawingml/2006/picture">
            <wp:extent cx="1208417" cy="126971"/>
            <wp:docPr id="68" name="Picture 68"/>
            <wp:cNvGraphicFramePr>
              <a:graphicFrameLocks noChangeAspect="1"/>
            </wp:cNvGraphicFramePr>
            <a:graphic>
              <a:graphicData uri="http://schemas.openxmlformats.org/drawingml/2006/picture">
                <pic:pic>
                  <pic:nvPicPr>
                    <pic:cNvPr id="0" name="eq-067.png"/>
                    <pic:cNvPicPr/>
                  </pic:nvPicPr>
                  <pic:blipFill>
                    <a:blip r:embed="rId77"/>
                    <a:stretch>
                      <a:fillRect/>
                    </a:stretch>
                  </pic:blipFill>
                  <pic:spPr>
                    <a:xfrm>
                      <a:off x="0" y="0"/>
                      <a:ext cx="1208417" cy="126971"/>
                    </a:xfrm>
                    <a:prstGeom prst="rect"/>
                  </pic:spPr>
                </pic:pic>
              </a:graphicData>
            </a:graphic>
          </wp:inline>
        </w:drawing>
      </w:r>
      <w:r>
        <w:rPr>
          <w:b w:val="0"/>
          <w:i w:val="0"/>
        </w:rPr>
        <w:t xml:space="preserve">, it supplies </w:t>
      </w:r>
      <w:r>
        <w:drawing>
          <wp:inline xmlns:a="http://schemas.openxmlformats.org/drawingml/2006/main" xmlns:pic="http://schemas.openxmlformats.org/drawingml/2006/picture">
            <wp:extent cx="4157897" cy="186207"/>
            <wp:docPr id="69" name="Picture 69"/>
            <wp:cNvGraphicFramePr>
              <a:graphicFrameLocks noChangeAspect="1"/>
            </wp:cNvGraphicFramePr>
            <a:graphic>
              <a:graphicData uri="http://schemas.openxmlformats.org/drawingml/2006/picture">
                <pic:pic>
                  <pic:nvPicPr>
                    <pic:cNvPr id="0" name="eq-069.png"/>
                    <pic:cNvPicPr/>
                  </pic:nvPicPr>
                  <pic:blipFill>
                    <a:blip r:embed="rId78"/>
                    <a:stretch>
                      <a:fillRect/>
                    </a:stretch>
                  </pic:blipFill>
                  <pic:spPr>
                    <a:xfrm>
                      <a:off x="0" y="0"/>
                      <a:ext cx="4157897" cy="186207"/>
                    </a:xfrm>
                    <a:prstGeom prst="rect"/>
                  </pic:spPr>
                </pic:pic>
              </a:graphicData>
            </a:graphic>
          </wp:inline>
        </w:drawing>
      </w:r>
      <w:r>
        <w:rPr>
          <w:b w:val="0"/>
          <w:i w:val="0"/>
        </w:rPr>
        <w:t>. This excess becomes already-generated, inflexible surplus. Renewable availability above accepted demand is retained as available surplus.</w:t>
      </w:r>
    </w:p>
    <w:p>
      <w:r>
        <w:rPr>
          <w:b w:val="0"/>
          <w:i w:val="0"/>
        </w:rPr>
        <w:t xml:space="preserve">Corrected interconnectors offer positive available import capacity into the ahead market at the external price multiplied by </w:t>
      </w:r>
      <w:r>
        <w:drawing>
          <wp:inline xmlns:a="http://schemas.openxmlformats.org/drawingml/2006/main" xmlns:pic="http://schemas.openxmlformats.org/drawingml/2006/picture">
            <wp:extent cx="1042650" cy="151140"/>
            <wp:docPr id="70" name="Picture 70"/>
            <wp:cNvGraphicFramePr>
              <a:graphicFrameLocks noChangeAspect="1"/>
            </wp:cNvGraphicFramePr>
            <a:graphic>
              <a:graphicData uri="http://schemas.openxmlformats.org/drawingml/2006/picture">
                <pic:pic>
                  <pic:nvPicPr>
                    <pic:cNvPr id="0" name="eq-042.png"/>
                    <pic:cNvPicPr/>
                  </pic:nvPicPr>
                  <pic:blipFill>
                    <a:blip r:embed="rId52"/>
                    <a:stretch>
                      <a:fillRect/>
                    </a:stretch>
                  </pic:blipFill>
                  <pic:spPr>
                    <a:xfrm>
                      <a:off x="0" y="0"/>
                      <a:ext cx="1042650" cy="151140"/>
                    </a:xfrm>
                    <a:prstGeom prst="rect"/>
                  </pic:spPr>
                </pic:pic>
              </a:graphicData>
            </a:graphic>
          </wp:inline>
        </w:drawing>
      </w:r>
      <w:r>
        <w:rPr>
          <w:b w:val="0"/>
          <w:i w:val="0"/>
        </w:rPr>
        <w:t xml:space="preserve">. Their offers carry capacity limits with zero ramp and start-up adders. Balancing offers only </w:t>
      </w:r>
      <w:r>
        <w:drawing>
          <wp:inline xmlns:a="http://schemas.openxmlformats.org/drawingml/2006/main" xmlns:pic="http://schemas.openxmlformats.org/drawingml/2006/picture">
            <wp:extent cx="3422535" cy="184054"/>
            <wp:docPr id="71" name="Picture 71"/>
            <wp:cNvGraphicFramePr>
              <a:graphicFrameLocks noChangeAspect="1"/>
            </wp:cNvGraphicFramePr>
            <a:graphic>
              <a:graphicData uri="http://schemas.openxmlformats.org/drawingml/2006/picture">
                <pic:pic>
                  <pic:nvPicPr>
                    <pic:cNvPr id="0" name="eq-071.png"/>
                    <pic:cNvPicPr/>
                  </pic:nvPicPr>
                  <pic:blipFill>
                    <a:blip r:embed="rId79"/>
                    <a:stretch>
                      <a:fillRect/>
                    </a:stretch>
                  </pic:blipFill>
                  <pic:spPr>
                    <a:xfrm>
                      <a:off x="0" y="0"/>
                      <a:ext cx="3422535" cy="184054"/>
                    </a:xfrm>
                    <a:prstGeom prst="rect"/>
                  </pic:spPr>
                </pic:pic>
              </a:graphicData>
            </a:graphic>
          </wp:inline>
        </w:drawing>
      </w:r>
      <w:r>
        <w:rPr>
          <w:b w:val="0"/>
          <w:i w:val="0"/>
        </w:rPr>
        <w:t>. Negative transfer capacity represents export capability, accepted at positive external prices. In the doctoral reproduction profile, imports enter only the upward-balancing branch and serve the remaining actual-minus-forecast requirement.</w:t>
      </w:r>
    </w:p>
    <w:p>
      <w:r>
        <w:rPr>
          <w:b w:val="0"/>
          <w:i w:val="0"/>
        </w:rPr>
        <w:t xml:space="preserve">Corrected surplus accounting rebuilds renewable surplus from availability minus accepted output after the ahead stage. Already-generated nuclear surplus is used first. When renewable surplus supplies storage, exports or flexible demand, it enters gross renewable generation. Recorded </w:t>
      </w:r>
      <w:r>
        <w:rPr>
          <w:rFonts w:ascii="DejaVu Sans Mono" w:hAnsi="DejaVu Sans Mono"/>
          <w:b w:val="0"/>
          <w:i w:val="0"/>
          <w:sz w:val="17"/>
        </w:rPr>
        <w:t>vre_accepted</w:t>
      </w:r>
      <w:r>
        <w:rPr>
          <w:b w:val="0"/>
          <w:i w:val="0"/>
        </w:rPr>
        <w:t xml:space="preserve"> is therefore gross VRE output, </w:t>
      </w:r>
      <w:r>
        <w:rPr>
          <w:rFonts w:ascii="DejaVu Sans Mono" w:hAnsi="DejaVu Sans Mono"/>
          <w:b w:val="0"/>
          <w:i w:val="0"/>
          <w:sz w:val="17"/>
        </w:rPr>
        <w:t>curtailed</w:t>
      </w:r>
      <w:r>
        <w:rPr>
          <w:b w:val="0"/>
          <w:i w:val="0"/>
        </w:rPr>
        <w:t xml:space="preserve"> is available VRE minus gross output, and </w:t>
      </w:r>
      <w:r>
        <w:rPr>
          <w:rFonts w:ascii="DejaVu Sans Mono" w:hAnsi="DejaVu Sans Mono"/>
          <w:b w:val="0"/>
          <w:i w:val="0"/>
          <w:sz w:val="17"/>
        </w:rPr>
        <w:t>excess</w:t>
      </w:r>
      <w:r>
        <w:rPr>
          <w:b w:val="0"/>
          <w:i w:val="0"/>
        </w:rPr>
        <w:t xml:space="preserve"> is non-VRE spill. Nuclear surplus already included in ahead supply and settlement serves balancing demand once; renewable surplus entering supply during balancing receives balancing settlement.</w:t>
      </w:r>
    </w:p>
    <w:p>
      <w:r>
        <w:rPr>
          <w:b w:val="0"/>
          <w:i w:val="0"/>
        </w:rPr>
        <w:t xml:space="preserve">The real-time branch compares actual and forecast demand. A lower actual value invokes surplus absorption and downward dispatch; a higher or equal value invokes upward balancing. This comparison also applies when ahead supply falls short of the forecast. In that case, the lower-demand branch still requests a reduction of </w:t>
      </w:r>
      <w:r>
        <w:drawing>
          <wp:inline xmlns:a="http://schemas.openxmlformats.org/drawingml/2006/main" xmlns:pic="http://schemas.openxmlformats.org/drawingml/2006/picture">
            <wp:extent cx="2440568" cy="142403"/>
            <wp:docPr id="72" name="Picture 72"/>
            <wp:cNvGraphicFramePr>
              <a:graphicFrameLocks noChangeAspect="1"/>
            </wp:cNvGraphicFramePr>
            <a:graphic>
              <a:graphicData uri="http://schemas.openxmlformats.org/drawingml/2006/picture">
                <pic:pic>
                  <pic:nvPicPr>
                    <pic:cNvPr id="0" name="eq-072.png"/>
                    <pic:cNvPicPr/>
                  </pic:nvPicPr>
                  <pic:blipFill>
                    <a:blip r:embed="rId80"/>
                    <a:stretch>
                      <a:fillRect/>
                    </a:stretch>
                  </pic:blipFill>
                  <pic:spPr>
                    <a:xfrm>
                      <a:off x="0" y="0"/>
                      <a:ext cx="2440568" cy="142403"/>
                    </a:xfrm>
                    <a:prstGeom prst="rect"/>
                  </pic:spPr>
                </pic:pic>
              </a:graphicData>
            </a:graphic>
          </wp:inline>
        </w:drawing>
      </w:r>
      <w:r>
        <w:rPr>
          <w:b w:val="0"/>
          <w:i w:val="0"/>
        </w:rPr>
        <w:t>; any resulting unmet demand is recorded by the stress-event account below.</w:t>
      </w:r>
    </w:p>
    <w:p>
      <w:pPr>
        <w:keepLines/>
        <w:spacing w:line="276" w:lineRule="auto" w:after="160"/>
      </w:pPr>
      <w:r>
        <w:rPr>
          <w:rFonts w:ascii="DejaVu Sans Mono" w:hAnsi="DejaVu Sans Mono"/>
          <w:b w:val="0"/>
          <w:i w:val="0"/>
          <w:sz w:val="17"/>
        </w:rPr>
        <w:t>for each half-hour:</w:t>
        <w:br/>
        <w:t xml:space="preserve">    Read availability, demand and boundary inputs</w:t>
        <w:br/>
        <w:t xml:space="preserve">    Update budgets and self-discharge</w:t>
        <w:br/>
        <w:t xml:space="preserve">    Form generator, import and eligible storage-batch offers</w:t>
        <w:br/>
        <w:t xml:space="preserve">    ahead_​market_​bidding(...): clear forecast demand in merit order</w:t>
        <w:br/>
        <w:t xml:space="preserve">    rebuild_surplus(...): reconstruct renewable and already-generated surplus</w:t>
        <w:br/>
        <w:t xml:space="preserve">    if actual demand &lt; forecast demand:</w:t>
        <w:br/>
        <w:t xml:space="preserve">        Buy back storage discharge using forecast surplus, then existing surplus</w:t>
        <w:br/>
        <w:t xml:space="preserve">        Charge storage after its net discharge reaches zero</w:t>
        <w:br/>
        <w:t xml:space="preserve">        Accept positive-price exports in descending external-price order</w:t>
        <w:br/>
        <w:t xml:space="preserve">        Supply flexible electrolysis</w:t>
        <w:br/>
        <w:t xml:space="preserve">        economic_​downward_​stack(...): reduce remaining output</w:t>
        <w:br/>
        <w:t xml:space="preserve">    else:</w:t>
        <w:br/>
        <w:t xml:space="preserve">        Use existing surplus for demand and offer the remainder to storage</w:t>
        <w:br/>
        <w:t xml:space="preserve">        Merge remaining generation, eligible batches and residual imports</w:t>
        <w:br/>
        <w:t xml:space="preserve">        balancing_​market_​bidding(...): serve upward demand; record blackout</w:t>
        <w:br/>
        <w:t xml:space="preserve">    close_​battery_​period(...); uniform_income(...); physical_​cost_​terms(...)</w:t>
        <w:br/>
      </w:r>
    </w:p>
    <w:p>
      <w:r>
        <w:rPr>
          <w:b w:val="0"/>
          <w:i w:val="0"/>
        </w:rPr>
        <w:t xml:space="preserve">The common electrolyser is flexible demand, with source defaults of 10 MW, a 0.125 MW-per-period ramp and efficiency 0.65; data-pack parameters may replace these values. The corrected pathway routes available VRE through clearing and subsequent surplus allocation. In the doctoral reproduction profile, each VRE agent first diverts </w:t>
      </w:r>
      <w:r>
        <w:drawing>
          <wp:inline xmlns:a="http://schemas.openxmlformats.org/drawingml/2006/main" xmlns:pic="http://schemas.openxmlformats.org/drawingml/2006/picture">
            <wp:extent cx="3674544" cy="164336"/>
            <wp:docPr id="73" name="Picture 73"/>
            <wp:cNvGraphicFramePr>
              <a:graphicFrameLocks noChangeAspect="1"/>
            </wp:cNvGraphicFramePr>
            <a:graphic>
              <a:graphicData uri="http://schemas.openxmlformats.org/drawingml/2006/picture">
                <pic:pic>
                  <pic:nvPicPr>
                    <pic:cNvPr id="0" name="eq-073.png"/>
                    <pic:cNvPicPr/>
                  </pic:nvPicPr>
                  <pic:blipFill>
                    <a:blip r:embed="rId81"/>
                    <a:stretch>
                      <a:fillRect/>
                    </a:stretch>
                  </pic:blipFill>
                  <pic:spPr>
                    <a:xfrm>
                      <a:off x="0" y="0"/>
                      <a:ext cx="3674544" cy="164336"/>
                    </a:xfrm>
                    <a:prstGeom prst="rect"/>
                  </pic:spPr>
                </pic:pic>
              </a:graphicData>
            </a:graphic>
          </wp:inline>
        </w:drawing>
      </w:r>
      <w:r>
        <w:rPr>
          <w:b w:val="0"/>
          <w:i w:val="0"/>
        </w:rPr>
        <w:t xml:space="preserve"> to direct electrolysis. The diversion and any amount exceeding available VRE are recorded separately. This profile also uses stable unrounded-price sorting and its surplus-node balance boundary.</w:t>
      </w:r>
    </w:p>
    <w:p>
      <w:pPr>
        <w:pStyle w:val="Heading2"/>
      </w:pPr>
      <w:r>
        <w:rPr>
          <w:b w:val="0"/>
          <w:i w:val="0"/>
        </w:rPr>
        <w:t>Economic downward order</w:t>
      </w:r>
    </w:p>
    <w:p>
      <w:r>
        <w:rPr>
          <w:b w:val="0"/>
          <w:i w:val="0"/>
        </w:rPr>
        <w:t xml:space="preserve">Corrected downward dispatch compares avoided operating expenditure after storage, exports and flexible demand absorb surplus. </w:t>
      </w:r>
      <w:r>
        <w:rPr>
          <w:rFonts w:ascii="DejaVu Sans Mono" w:hAnsi="DejaVu Sans Mono"/>
          <w:b w:val="0"/>
          <w:i w:val="0"/>
          <w:sz w:val="17"/>
        </w:rPr>
        <w:t>ramp_floor_mw</w:t>
      </w:r>
      <w:r>
        <w:rPr>
          <w:b w:val="0"/>
          <w:i w:val="0"/>
        </w:rPr>
        <w:t xml:space="preserve"> returns the larger of zero and previous </w:t>
      </w:r>
      <w:r>
        <w:rPr>
          <w:rFonts w:ascii="DejaVu Sans Mono" w:hAnsi="DejaVu Sans Mono"/>
          <w:b w:val="0"/>
          <w:i w:val="0"/>
          <w:sz w:val="17"/>
        </w:rPr>
        <w:t>real_gen_energy</w:t>
      </w:r>
      <w:r>
        <w:rPr>
          <w:b w:val="0"/>
          <w:i w:val="0"/>
        </w:rPr>
        <w:t xml:space="preserve"> less </w:t>
      </w:r>
      <w:r>
        <w:rPr>
          <w:rFonts w:ascii="DejaVu Sans Mono" w:hAnsi="DejaVu Sans Mono"/>
          <w:b w:val="0"/>
          <w:i w:val="0"/>
          <w:sz w:val="17"/>
        </w:rPr>
        <w:t>alter_limit</w:t>
      </w:r>
      <w:r>
        <w:rPr>
          <w:b w:val="0"/>
          <w:i w:val="0"/>
        </w:rPr>
        <w:t xml:space="preserve">; VRE and imports have zero floor. </w:t>
      </w:r>
      <w:r>
        <w:rPr>
          <w:rFonts w:ascii="DejaVu Sans Mono" w:hAnsi="DejaVu Sans Mono"/>
          <w:b w:val="0"/>
          <w:i w:val="0"/>
          <w:sz w:val="17"/>
        </w:rPr>
        <w:t>avoided_cost</w:t>
      </w:r>
      <w:r>
        <w:rPr>
          <w:b w:val="0"/>
          <w:i w:val="0"/>
        </w:rPr>
        <w:t xml:space="preserve"> uses the asset's composite </w:t>
      </w:r>
      <w:r>
        <w:rPr>
          <w:rFonts w:ascii="DejaVu Sans Mono" w:hAnsi="DejaVu Sans Mono"/>
          <w:b w:val="0"/>
          <w:i w:val="0"/>
          <w:sz w:val="17"/>
        </w:rPr>
        <w:t>gen_cost</w:t>
      </w:r>
      <w:r>
        <w:rPr>
          <w:b w:val="0"/>
          <w:i w:val="0"/>
        </w:rPr>
        <w:t xml:space="preserve">, subtracting </w:t>
      </w:r>
      <w:r>
        <w:rPr>
          <w:rFonts w:ascii="DejaVu Sans Mono" w:hAnsi="DejaVu Sans Mono"/>
          <w:b w:val="0"/>
          <w:i w:val="0"/>
          <w:sz w:val="17"/>
        </w:rPr>
        <w:t>NUCLEAR_​DEC_​PREMIUM_​GBP_​PER_​MWH = 100</w:t>
      </w:r>
      <w:r>
        <w:rPr>
          <w:b w:val="0"/>
          <w:i w:val="0"/>
        </w:rPr>
        <w:t xml:space="preserve"> for nuclear; imports use </w:t>
      </w:r>
      <w:r>
        <w:rPr>
          <w:rFonts w:ascii="DejaVu Sans Mono" w:hAnsi="DejaVu Sans Mono"/>
          <w:b w:val="0"/>
          <w:i w:val="0"/>
          <w:sz w:val="17"/>
        </w:rPr>
        <w:t>external_price</w:t>
      </w:r>
      <w:r>
        <w:rPr>
          <w:b w:val="0"/>
          <w:i w:val="0"/>
        </w:rPr>
        <w:t>. Ordinary rows follow descending avoided cost rounded to two decimal places.</w:t>
      </w:r>
    </w:p>
    <w:p>
      <w:pPr>
        <w:keepNext/>
      </w:pPr>
      <w:r>
        <w:rPr>
          <w:b w:val="0"/>
          <w:i w:val="0"/>
        </w:rPr>
        <w:t xml:space="preserve">Gas and biomass split their accepted ahead output </w:t>
      </w:r>
      <w:r>
        <w:drawing>
          <wp:inline xmlns:a="http://schemas.openxmlformats.org/drawingml/2006/main" xmlns:pic="http://schemas.openxmlformats.org/drawingml/2006/picture">
            <wp:extent cx="506428" cy="114001"/>
            <wp:docPr id="74" name="Picture 74"/>
            <wp:cNvGraphicFramePr>
              <a:graphicFrameLocks noChangeAspect="1"/>
            </wp:cNvGraphicFramePr>
            <a:graphic>
              <a:graphicData uri="http://schemas.openxmlformats.org/drawingml/2006/picture">
                <pic:pic>
                  <pic:nvPicPr>
                    <pic:cNvPr id="0" name="eq-074.png"/>
                    <pic:cNvPicPr/>
                  </pic:nvPicPr>
                  <pic:blipFill>
                    <a:blip r:embed="rId82"/>
                    <a:stretch>
                      <a:fillRect/>
                    </a:stretch>
                  </pic:blipFill>
                  <pic:spPr>
                    <a:xfrm>
                      <a:off x="0" y="0"/>
                      <a:ext cx="506428" cy="114001"/>
                    </a:xfrm>
                    <a:prstGeom prst="rect"/>
                  </pic:spPr>
                </pic:pic>
              </a:graphicData>
            </a:graphic>
          </wp:inline>
        </w:drawing>
      </w:r>
      <w:r>
        <w:rPr>
          <w:b w:val="0"/>
          <w:i w:val="0"/>
        </w:rPr>
        <w:t xml:space="preserve"> into a running range and a shutdown segment. Here </w:t>
      </w:r>
      <w:r>
        <w:drawing>
          <wp:inline xmlns:a="http://schemas.openxmlformats.org/drawingml/2006/main" xmlns:pic="http://schemas.openxmlformats.org/drawingml/2006/picture">
            <wp:extent cx="506428" cy="114001"/>
            <wp:docPr id="75" name="Picture 75"/>
            <wp:cNvGraphicFramePr>
              <a:graphicFrameLocks noChangeAspect="1"/>
            </wp:cNvGraphicFramePr>
            <a:graphic>
              <a:graphicData uri="http://schemas.openxmlformats.org/drawingml/2006/picture">
                <pic:pic>
                  <pic:nvPicPr>
                    <pic:cNvPr id="0" name="eq-074.png"/>
                    <pic:cNvPicPr/>
                  </pic:nvPicPr>
                  <pic:blipFill>
                    <a:blip r:embed="rId82"/>
                    <a:stretch>
                      <a:fillRect/>
                    </a:stretch>
                  </pic:blipFill>
                  <pic:spPr>
                    <a:xfrm>
                      <a:off x="0" y="0"/>
                      <a:ext cx="506428" cy="114001"/>
                    </a:xfrm>
                    <a:prstGeom prst="rect"/>
                  </pic:spPr>
                </pic:pic>
              </a:graphicData>
            </a:graphic>
          </wp:inline>
        </w:drawing>
      </w:r>
      <w:r>
        <w:rPr>
          <w:b w:val="0"/>
          <w:i w:val="0"/>
        </w:rPr>
        <w:t xml:space="preserve"> represents the aggregate's online capacity for this ordering rule, and </w:t>
      </w:r>
      <w:r>
        <w:drawing>
          <wp:inline xmlns:a="http://schemas.openxmlformats.org/drawingml/2006/main" xmlns:pic="http://schemas.openxmlformats.org/drawingml/2006/picture">
            <wp:extent cx="1494237" cy="142413"/>
            <wp:docPr id="76" name="Picture 76"/>
            <wp:cNvGraphicFramePr>
              <a:graphicFrameLocks noChangeAspect="1"/>
            </wp:cNvGraphicFramePr>
            <a:graphic>
              <a:graphicData uri="http://schemas.openxmlformats.org/drawingml/2006/picture">
                <pic:pic>
                  <pic:nvPicPr>
                    <pic:cNvPr id="0" name="eq-076.png"/>
                    <pic:cNvPicPr/>
                  </pic:nvPicPr>
                  <pic:blipFill>
                    <a:blip r:embed="rId83"/>
                    <a:stretch>
                      <a:fillRect/>
                    </a:stretch>
                  </pic:blipFill>
                  <pic:spPr>
                    <a:xfrm>
                      <a:off x="0" y="0"/>
                      <a:ext cx="1494237" cy="142413"/>
                    </a:xfrm>
                    <a:prstGeom prst="rect"/>
                  </pic:spPr>
                </pic:pic>
              </a:graphicData>
            </a:graphic>
          </wp:inline>
        </w:drawing>
      </w:r>
      <w:r>
        <w:rPr>
          <w:b w:val="0"/>
          <w:i w:val="0"/>
        </w:rPr>
        <w:t xml:space="preserve"> is the minimum stable fraction:</w:t>
      </w:r>
    </w:p>
    <w:p>
      <w:pPr>
        <w:spacing w:after="160"/>
        <w:jc w:val="center"/>
      </w:pPr>
      <w:r>
        <w:drawing>
          <wp:inline xmlns:a="http://schemas.openxmlformats.org/drawingml/2006/main" xmlns:pic="http://schemas.openxmlformats.org/drawingml/2006/picture">
            <wp:extent cx="3599916" cy="621700"/>
            <wp:docPr id="77" name="Picture 77"/>
            <wp:cNvGraphicFramePr>
              <a:graphicFrameLocks noChangeAspect="1"/>
            </wp:cNvGraphicFramePr>
            <a:graphic>
              <a:graphicData uri="http://schemas.openxmlformats.org/drawingml/2006/picture">
                <pic:pic>
                  <pic:nvPicPr>
                    <pic:cNvPr id="0" name="eq-077.png"/>
                    <pic:cNvPicPr/>
                  </pic:nvPicPr>
                  <pic:blipFill>
                    <a:blip r:embed="rId84"/>
                    <a:stretch>
                      <a:fillRect/>
                    </a:stretch>
                  </pic:blipFill>
                  <pic:spPr>
                    <a:xfrm>
                      <a:off x="0" y="0"/>
                      <a:ext cx="3599916" cy="621700"/>
                    </a:xfrm>
                    <a:prstGeom prst="rect"/>
                  </pic:spPr>
                </pic:pic>
              </a:graphicData>
            </a:graphic>
          </wp:inline>
        </w:drawing>
      </w:r>
    </w:p>
    <w:p>
      <w:pPr>
        <w:keepNext/>
      </w:pPr>
      <w:r>
        <w:rPr>
          <w:b w:val="0"/>
          <w:i w:val="0"/>
        </w:rPr>
        <w:t xml:space="preserve">The running range avoids </w:t>
      </w:r>
      <w:r>
        <w:drawing>
          <wp:inline xmlns:a="http://schemas.openxmlformats.org/drawingml/2006/main" xmlns:pic="http://schemas.openxmlformats.org/drawingml/2006/picture">
            <wp:extent cx="359940" cy="127296"/>
            <wp:docPr id="78" name="Picture 78"/>
            <wp:cNvGraphicFramePr>
              <a:graphicFrameLocks noChangeAspect="1"/>
            </wp:cNvGraphicFramePr>
            <a:graphic>
              <a:graphicData uri="http://schemas.openxmlformats.org/drawingml/2006/picture">
                <pic:pic>
                  <pic:nvPicPr>
                    <pic:cNvPr id="0" name="eq-078.png"/>
                    <pic:cNvPicPr/>
                  </pic:nvPicPr>
                  <pic:blipFill>
                    <a:blip r:embed="rId85"/>
                    <a:stretch>
                      <a:fillRect/>
                    </a:stretch>
                  </pic:blipFill>
                  <pic:spPr>
                    <a:xfrm>
                      <a:off x="0" y="0"/>
                      <a:ext cx="359940" cy="127296"/>
                    </a:xfrm>
                    <a:prstGeom prst="rect"/>
                  </pic:spPr>
                </pic:pic>
              </a:graphicData>
            </a:graphic>
          </wp:inline>
        </w:drawing>
      </w:r>
      <w:r>
        <w:rPr>
          <w:b w:val="0"/>
          <w:i w:val="0"/>
        </w:rPr>
        <w:t xml:space="preserve"> £/MWh. The shutdown segment compares avoided expenditure over expected downtime </w:t>
      </w:r>
      <w:r>
        <w:drawing>
          <wp:inline xmlns:a="http://schemas.openxmlformats.org/drawingml/2006/main" xmlns:pic="http://schemas.openxmlformats.org/drawingml/2006/picture">
            <wp:extent cx="707466" cy="124847"/>
            <wp:docPr id="79" name="Picture 79"/>
            <wp:cNvGraphicFramePr>
              <a:graphicFrameLocks noChangeAspect="1"/>
            </wp:cNvGraphicFramePr>
            <a:graphic>
              <a:graphicData uri="http://schemas.openxmlformats.org/drawingml/2006/picture">
                <pic:pic>
                  <pic:nvPicPr>
                    <pic:cNvPr id="0" name="eq-079.png"/>
                    <pic:cNvPicPr/>
                  </pic:nvPicPr>
                  <pic:blipFill>
                    <a:blip r:embed="rId86"/>
                    <a:stretch>
                      <a:fillRect/>
                    </a:stretch>
                  </pic:blipFill>
                  <pic:spPr>
                    <a:xfrm>
                      <a:off x="0" y="0"/>
                      <a:ext cx="707466" cy="124847"/>
                    </a:xfrm>
                    <a:prstGeom prst="rect"/>
                  </pic:spPr>
                </pic:pic>
              </a:graphicData>
            </a:graphic>
          </wp:inline>
        </w:drawing>
      </w:r>
      <w:r>
        <w:rPr>
          <w:b w:val="0"/>
          <w:i w:val="0"/>
        </w:rPr>
        <w:t xml:space="preserve"> with restart expenditure </w:t>
      </w:r>
      <w:r>
        <w:drawing>
          <wp:inline xmlns:a="http://schemas.openxmlformats.org/drawingml/2006/main" xmlns:pic="http://schemas.openxmlformats.org/drawingml/2006/picture">
            <wp:extent cx="1683080" cy="164363"/>
            <wp:docPr id="80" name="Picture 80"/>
            <wp:cNvGraphicFramePr>
              <a:graphicFrameLocks noChangeAspect="1"/>
            </wp:cNvGraphicFramePr>
            <a:graphic>
              <a:graphicData uri="http://schemas.openxmlformats.org/drawingml/2006/picture">
                <pic:pic>
                  <pic:nvPicPr>
                    <pic:cNvPr id="0" name="eq-080.png"/>
                    <pic:cNvPicPr/>
                  </pic:nvPicPr>
                  <pic:blipFill>
                    <a:blip r:embed="rId87"/>
                    <a:stretch>
                      <a:fillRect/>
                    </a:stretch>
                  </pic:blipFill>
                  <pic:spPr>
                    <a:xfrm>
                      <a:off x="0" y="0"/>
                      <a:ext cx="1683080" cy="164363"/>
                    </a:xfrm>
                    <a:prstGeom prst="rect"/>
                  </pic:spPr>
                </pic:pic>
              </a:graphicData>
            </a:graphic>
          </wp:inline>
        </w:drawing>
      </w:r>
      <w:r>
        <w:rPr>
          <w:b w:val="0"/>
          <w:i w:val="0"/>
        </w:rPr>
        <w:t>, measured per MW of capacity per start:</w:t>
      </w:r>
    </w:p>
    <w:p>
      <w:pPr>
        <w:spacing w:after="160"/>
        <w:jc w:val="center"/>
      </w:pPr>
      <w:r>
        <w:drawing>
          <wp:inline xmlns:a="http://schemas.openxmlformats.org/drawingml/2006/main" xmlns:pic="http://schemas.openxmlformats.org/drawingml/2006/picture">
            <wp:extent cx="5253837" cy="605860"/>
            <wp:docPr id="81" name="Picture 81"/>
            <wp:cNvGraphicFramePr>
              <a:graphicFrameLocks noChangeAspect="1"/>
            </wp:cNvGraphicFramePr>
            <a:graphic>
              <a:graphicData uri="http://schemas.openxmlformats.org/drawingml/2006/picture">
                <pic:pic>
                  <pic:nvPicPr>
                    <pic:cNvPr id="0" name="eq-081.png"/>
                    <pic:cNvPicPr/>
                  </pic:nvPicPr>
                  <pic:blipFill>
                    <a:blip r:embed="rId88"/>
                    <a:stretch>
                      <a:fillRect/>
                    </a:stretch>
                  </pic:blipFill>
                  <pic:spPr>
                    <a:xfrm>
                      <a:off x="0" y="0"/>
                      <a:ext cx="5253837" cy="605860"/>
                    </a:xfrm>
                    <a:prstGeom prst="rect"/>
                  </pic:spPr>
                </pic:pic>
              </a:graphicData>
            </a:graphic>
          </wp:inline>
        </w:drawing>
      </w:r>
    </w:p>
    <w:p>
      <w:r>
        <w:rPr>
          <w:rFonts w:ascii="DejaVu Sans Mono" w:hAnsi="DejaVu Sans Mono"/>
          <w:b w:val="0"/>
          <w:i w:val="0"/>
          <w:sz w:val="17"/>
        </w:rPr>
        <w:t>SurplusOutlook.run_​after</w:t>
      </w:r>
      <w:r>
        <w:rPr>
          <w:b w:val="0"/>
          <w:i w:val="0"/>
        </w:rPr>
        <w:t xml:space="preserve"> counts consecutive periods after the current one with forecast demand no greater than forecast wind, solar and nuclear availability. The current downward period adds one period. Without injected availability arrays, </w:t>
      </w:r>
      <w:r>
        <w:rPr>
          <w:rFonts w:ascii="DejaVu Sans Mono" w:hAnsi="DejaVu Sans Mono"/>
          <w:b w:val="0"/>
          <w:i w:val="0"/>
          <w:sz w:val="17"/>
        </w:rPr>
        <w:t>horizon_h = 0.5</w:t>
      </w:r>
      <w:r>
        <w:rPr>
          <w:b w:val="0"/>
          <w:i w:val="0"/>
        </w:rPr>
        <w:t xml:space="preserve"> h. Removing one MW at the stable fraction shuts </w:t>
      </w:r>
      <w:r>
        <w:rPr>
          <w:rFonts w:ascii="DejaVu Sans Mono" w:hAnsi="DejaVu Sans Mono"/>
          <w:b w:val="0"/>
          <w:i w:val="0"/>
          <w:sz w:val="17"/>
        </w:rPr>
        <w:t>1 / min_stable_fraction</w:t>
      </w:r>
      <w:r>
        <w:rPr>
          <w:b w:val="0"/>
          <w:i w:val="0"/>
        </w:rPr>
        <w:t xml:space="preserve"> MW of capacity; the restart comparison divides restart cost by that fraction and by the expected downtime.</w:t>
      </w:r>
    </w:p>
    <w:p>
      <w:r>
        <w:rPr>
          <w:b w:val="0"/>
          <w:i w:val="0"/>
        </w:rPr>
        <w:t xml:space="preserve">A shutdown segment with </w:t>
      </w:r>
      <w:r>
        <w:drawing>
          <wp:inline xmlns:a="http://schemas.openxmlformats.org/drawingml/2006/main" xmlns:pic="http://schemas.openxmlformats.org/drawingml/2006/picture">
            <wp:extent cx="2324239" cy="140199"/>
            <wp:docPr id="82" name="Picture 82"/>
            <wp:cNvGraphicFramePr>
              <a:graphicFrameLocks noChangeAspect="1"/>
            </wp:cNvGraphicFramePr>
            <a:graphic>
              <a:graphicData uri="http://schemas.openxmlformats.org/drawingml/2006/picture">
                <pic:pic>
                  <pic:nvPicPr>
                    <pic:cNvPr id="0" name="eq-082.png"/>
                    <pic:cNvPicPr/>
                  </pic:nvPicPr>
                  <pic:blipFill>
                    <a:blip r:embed="rId89"/>
                    <a:stretch>
                      <a:fillRect/>
                    </a:stretch>
                  </pic:blipFill>
                  <pic:spPr>
                    <a:xfrm>
                      <a:off x="0" y="0"/>
                      <a:ext cx="2324239" cy="140199"/>
                    </a:xfrm>
                    <a:prstGeom prst="rect"/>
                  </pic:spPr>
                </pic:pic>
              </a:graphicData>
            </a:graphic>
          </wp:inline>
        </w:drawing>
      </w:r>
      <w:r>
        <w:rPr>
          <w:b w:val="0"/>
          <w:i w:val="0"/>
        </w:rPr>
        <w:t xml:space="preserve"> enters the same descending net-saving order as other resources. Positive </w:t>
      </w:r>
      <w:r>
        <w:drawing>
          <wp:inline xmlns:a="http://schemas.openxmlformats.org/drawingml/2006/main" xmlns:pic="http://schemas.openxmlformats.org/drawingml/2006/picture">
            <wp:extent cx="529942" cy="151099"/>
            <wp:docPr id="83" name="Picture 83"/>
            <wp:cNvGraphicFramePr>
              <a:graphicFrameLocks noChangeAspect="1"/>
            </wp:cNvGraphicFramePr>
            <a:graphic>
              <a:graphicData uri="http://schemas.openxmlformats.org/drawingml/2006/picture">
                <pic:pic>
                  <pic:nvPicPr>
                    <pic:cNvPr id="0" name="eq-083.png"/>
                    <pic:cNvPicPr/>
                  </pic:nvPicPr>
                  <pic:blipFill>
                    <a:blip r:embed="rId90"/>
                    <a:stretch>
                      <a:fillRect/>
                    </a:stretch>
                  </pic:blipFill>
                  <pic:spPr>
                    <a:xfrm>
                      <a:off x="0" y="0"/>
                      <a:ext cx="529942" cy="151099"/>
                    </a:xfrm>
                    <a:prstGeom prst="rect"/>
                  </pic:spPr>
                </pic:pic>
              </a:graphicData>
            </a:graphic>
          </wp:inline>
        </w:drawing>
      </w:r>
      <w:r>
        <w:rPr>
          <w:b w:val="0"/>
          <w:i w:val="0"/>
        </w:rPr>
        <w:t xml:space="preserve"> precedes zero-cost VRE; zero or negative </w:t>
      </w:r>
      <w:r>
        <w:drawing>
          <wp:inline xmlns:a="http://schemas.openxmlformats.org/drawingml/2006/main" xmlns:pic="http://schemas.openxmlformats.org/drawingml/2006/picture">
            <wp:extent cx="529942" cy="151099"/>
            <wp:docPr id="84" name="Picture 84"/>
            <wp:cNvGraphicFramePr>
              <a:graphicFrameLocks noChangeAspect="1"/>
            </wp:cNvGraphicFramePr>
            <a:graphic>
              <a:graphicData uri="http://schemas.openxmlformats.org/drawingml/2006/picture">
                <pic:pic>
                  <pic:nvPicPr>
                    <pic:cNvPr id="0" name="eq-083.png"/>
                    <pic:cNvPicPr/>
                  </pic:nvPicPr>
                  <pic:blipFill>
                    <a:blip r:embed="rId90"/>
                    <a:stretch>
                      <a:fillRect/>
                    </a:stretch>
                  </pic:blipFill>
                  <pic:spPr>
                    <a:xfrm>
                      <a:off x="0" y="0"/>
                      <a:ext cx="529942" cy="151099"/>
                    </a:xfrm>
                    <a:prstGeom prst="rect"/>
                  </pic:spPr>
                </pic:pic>
              </a:graphicData>
            </a:graphic>
          </wp:inline>
        </w:drawing>
      </w:r>
      <w:r>
        <w:rPr>
          <w:b w:val="0"/>
          <w:i w:val="0"/>
        </w:rPr>
        <w:t xml:space="preserve"> follows VRE, including ties after rounding. A segment with </w:t>
      </w:r>
      <w:r>
        <w:drawing>
          <wp:inline xmlns:a="http://schemas.openxmlformats.org/drawingml/2006/main" xmlns:pic="http://schemas.openxmlformats.org/drawingml/2006/picture">
            <wp:extent cx="2324239" cy="140199"/>
            <wp:docPr id="85" name="Picture 85"/>
            <wp:cNvGraphicFramePr>
              <a:graphicFrameLocks noChangeAspect="1"/>
            </wp:cNvGraphicFramePr>
            <a:graphic>
              <a:graphicData uri="http://schemas.openxmlformats.org/drawingml/2006/picture">
                <pic:pic>
                  <pic:nvPicPr>
                    <pic:cNvPr id="0" name="eq-085.png"/>
                    <pic:cNvPicPr/>
                  </pic:nvPicPr>
                  <pic:blipFill>
                    <a:blip r:embed="rId91"/>
                    <a:stretch>
                      <a:fillRect/>
                    </a:stretch>
                  </pic:blipFill>
                  <pic:spPr>
                    <a:xfrm>
                      <a:off x="0" y="0"/>
                      <a:ext cx="2324239" cy="140199"/>
                    </a:xfrm>
                    <a:prstGeom prst="rect"/>
                  </pic:spPr>
                </pic:pic>
              </a:graphicData>
            </a:graphic>
          </wp:inline>
        </w:drawing>
      </w:r>
      <w:r>
        <w:rPr>
          <w:b w:val="0"/>
          <w:i w:val="0"/>
        </w:rPr>
        <w:t xml:space="preserve"> follows all other reducible resources. These quantities define a continuous dispatch-ordering rule; the physical cost account uses the start-up bid adder </w:t>
      </w:r>
      <w:r>
        <w:drawing>
          <wp:inline xmlns:a="http://schemas.openxmlformats.org/drawingml/2006/main" xmlns:pic="http://schemas.openxmlformats.org/drawingml/2006/picture">
            <wp:extent cx="946696" cy="140251"/>
            <wp:docPr id="86" name="Picture 86"/>
            <wp:cNvGraphicFramePr>
              <a:graphicFrameLocks noChangeAspect="1"/>
            </wp:cNvGraphicFramePr>
            <a:graphic>
              <a:graphicData uri="http://schemas.openxmlformats.org/drawingml/2006/picture">
                <pic:pic>
                  <pic:nvPicPr>
                    <pic:cNvPr id="0" name="eq-044.png"/>
                    <pic:cNvPicPr/>
                  </pic:nvPicPr>
                  <pic:blipFill>
                    <a:blip r:embed="rId54"/>
                    <a:stretch>
                      <a:fillRect/>
                    </a:stretch>
                  </pic:blipFill>
                  <pic:spPr>
                    <a:xfrm>
                      <a:off x="0" y="0"/>
                      <a:ext cx="946696" cy="140251"/>
                    </a:xfrm>
                    <a:prstGeom prst="rect"/>
                  </pic:spPr>
                </pic:pic>
              </a:graphicData>
            </a:graphic>
          </wp:inline>
        </w:drawing>
      </w:r>
      <w:r>
        <w:rPr>
          <w:b w:val="0"/>
          <w:i w:val="0"/>
        </w:rPr>
        <w:t xml:space="preserve"> defined above.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9"/>
        <w:gridCol w:w="3337"/>
        <w:gridCol w:w="2445"/>
        <w:gridCol w:w="2251"/>
      </w:tblGrid>
      <w:tr>
        <w:trPr>
          <w:cantSplit/>
          <w:tblHeader w:val="true"/>
        </w:trPr>
        <w:tc>
          <w:tcPr>
            <w:tcW w:type="dxa" w:w="1759"/>
            <w:vAlign w:val="center"/>
            <w:tcMar>
              <w:top w:w="90" w:type="dxa"/>
              <w:left w:w="90" w:type="dxa"/>
              <w:bottom w:w="90" w:type="dxa"/>
              <w:right w:w="90" w:type="dxa"/>
            </w:tcMar>
            <w:shd w:fill="EEEEEE"/>
          </w:tcPr>
          <w:p>
            <w:pPr>
              <w:spacing w:after="40" w:line="276" w:lineRule="auto"/>
            </w:pPr>
            <w:r>
              <w:rPr>
                <w:b/>
                <w:i w:val="0"/>
                <w:sz w:val="18"/>
              </w:rPr>
              <w:t>Technology</w:t>
            </w:r>
          </w:p>
        </w:tc>
        <w:tc>
          <w:tcPr>
            <w:tcW w:type="dxa" w:w="3337"/>
            <w:vAlign w:val="center"/>
            <w:tcMar>
              <w:top w:w="90" w:type="dxa"/>
              <w:left w:w="90" w:type="dxa"/>
              <w:bottom w:w="90" w:type="dxa"/>
              <w:right w:w="90" w:type="dxa"/>
            </w:tcMar>
            <w:shd w:fill="EEEEEE"/>
          </w:tcPr>
          <w:p>
            <w:pPr>
              <w:spacing w:after="40" w:line="276" w:lineRule="auto"/>
            </w:pPr>
            <w:r>
              <w:rPr>
                <w:b/>
                <w:i w:val="0"/>
                <w:sz w:val="18"/>
              </w:rPr>
              <w:t>Restart cost: hot / warm / cold, 2025 GBP/MW</w:t>
            </w:r>
          </w:p>
        </w:tc>
        <w:tc>
          <w:tcPr>
            <w:tcW w:type="dxa" w:w="2445"/>
            <w:vAlign w:val="center"/>
            <w:tcMar>
              <w:top w:w="90" w:type="dxa"/>
              <w:left w:w="90" w:type="dxa"/>
              <w:bottom w:w="90" w:type="dxa"/>
              <w:right w:w="90" w:type="dxa"/>
            </w:tcMar>
            <w:shd w:fill="EEEEEE"/>
          </w:tcPr>
          <w:p>
            <w:pPr>
              <w:spacing w:after="40" w:line="276" w:lineRule="auto"/>
            </w:pPr>
            <w:r>
              <w:rPr>
                <w:b/>
                <w:i w:val="0"/>
                <w:sz w:val="18"/>
              </w:rPr>
              <w:t>Minimum stable fraction</w:t>
            </w:r>
          </w:p>
        </w:tc>
        <w:tc>
          <w:tcPr>
            <w:tcW w:type="dxa" w:w="2251"/>
            <w:vAlign w:val="center"/>
            <w:tcMar>
              <w:top w:w="90" w:type="dxa"/>
              <w:left w:w="90" w:type="dxa"/>
              <w:bottom w:w="90" w:type="dxa"/>
              <w:right w:w="90" w:type="dxa"/>
            </w:tcMar>
            <w:shd w:fill="EEEEEE"/>
          </w:tcPr>
          <w:p>
            <w:pPr>
              <w:spacing w:after="40" w:line="276" w:lineRule="auto"/>
            </w:pPr>
            <w:r>
              <w:rPr>
                <w:b/>
                <w:i w:val="0"/>
                <w:sz w:val="18"/>
              </w:rPr>
              <w:t>Minimum downtime, h</w:t>
            </w:r>
          </w:p>
        </w:tc>
      </w:tr>
      <w:tr>
        <w:trPr>
          <w:cantSplit/>
        </w:trPr>
        <w:tc>
          <w:tcPr>
            <w:tcW w:type="dxa" w:w="1759"/>
            <w:vAlign w:val="center"/>
            <w:tcMar>
              <w:top w:w="90" w:type="dxa"/>
              <w:left w:w="90" w:type="dxa"/>
              <w:bottom w:w="90" w:type="dxa"/>
              <w:right w:w="90" w:type="dxa"/>
            </w:tcMar>
          </w:tcPr>
          <w:p>
            <w:pPr>
              <w:spacing w:after="40" w:line="276" w:lineRule="auto"/>
            </w:pPr>
            <w:r>
              <w:rPr>
                <w:b w:val="0"/>
                <w:i w:val="0"/>
                <w:sz w:val="18"/>
              </w:rPr>
              <w:t>CCGT</w:t>
            </w:r>
          </w:p>
        </w:tc>
        <w:tc>
          <w:tcPr>
            <w:tcW w:type="dxa" w:w="3337"/>
            <w:vAlign w:val="center"/>
            <w:tcMar>
              <w:top w:w="90" w:type="dxa"/>
              <w:left w:w="90" w:type="dxa"/>
              <w:bottom w:w="90" w:type="dxa"/>
              <w:right w:w="90" w:type="dxa"/>
            </w:tcMar>
          </w:tcPr>
          <w:p>
            <w:pPr>
              <w:spacing w:after="40" w:line="276" w:lineRule="auto"/>
            </w:pPr>
            <w:r>
              <w:rPr>
                <w:b w:val="0"/>
                <w:i w:val="0"/>
                <w:sz w:val="18"/>
              </w:rPr>
              <w:t>113.7 / 134.4 / 155.0</w:t>
            </w:r>
          </w:p>
        </w:tc>
        <w:tc>
          <w:tcPr>
            <w:tcW w:type="dxa" w:w="2445"/>
            <w:vAlign w:val="center"/>
            <w:tcMar>
              <w:top w:w="90" w:type="dxa"/>
              <w:left w:w="90" w:type="dxa"/>
              <w:bottom w:w="90" w:type="dxa"/>
              <w:right w:w="90" w:type="dxa"/>
            </w:tcMar>
          </w:tcPr>
          <w:p>
            <w:pPr>
              <w:spacing w:after="40" w:line="276" w:lineRule="auto"/>
            </w:pPr>
            <w:r>
              <w:rPr>
                <w:b w:val="0"/>
                <w:i w:val="0"/>
                <w:sz w:val="18"/>
              </w:rPr>
              <w:t>0.50</w:t>
            </w:r>
          </w:p>
        </w:tc>
        <w:tc>
          <w:tcPr>
            <w:tcW w:type="dxa" w:w="2251"/>
            <w:vAlign w:val="center"/>
            <w:tcMar>
              <w:top w:w="90" w:type="dxa"/>
              <w:left w:w="90" w:type="dxa"/>
              <w:bottom w:w="90" w:type="dxa"/>
              <w:right w:w="90" w:type="dxa"/>
            </w:tcMar>
          </w:tcPr>
          <w:p>
            <w:pPr>
              <w:spacing w:after="40" w:line="276" w:lineRule="auto"/>
            </w:pPr>
            <w:r>
              <w:rPr>
                <w:b w:val="0"/>
                <w:i w:val="0"/>
                <w:sz w:val="18"/>
              </w:rPr>
              <w:t>6</w:t>
            </w:r>
          </w:p>
        </w:tc>
      </w:tr>
      <w:tr>
        <w:trPr>
          <w:cantSplit/>
        </w:trPr>
        <w:tc>
          <w:tcPr>
            <w:tcW w:type="dxa" w:w="1759"/>
            <w:vAlign w:val="center"/>
            <w:tcMar>
              <w:top w:w="90" w:type="dxa"/>
              <w:left w:w="90" w:type="dxa"/>
              <w:bottom w:w="90" w:type="dxa"/>
              <w:right w:w="90" w:type="dxa"/>
            </w:tcMar>
          </w:tcPr>
          <w:p>
            <w:pPr>
              <w:spacing w:after="40" w:line="276" w:lineRule="auto"/>
            </w:pPr>
            <w:r>
              <w:rPr>
                <w:b w:val="0"/>
                <w:i w:val="0"/>
                <w:sz w:val="18"/>
              </w:rPr>
              <w:t>OCGT</w:t>
            </w:r>
          </w:p>
        </w:tc>
        <w:tc>
          <w:tcPr>
            <w:tcW w:type="dxa" w:w="3337"/>
            <w:vAlign w:val="center"/>
            <w:tcMar>
              <w:top w:w="90" w:type="dxa"/>
              <w:left w:w="90" w:type="dxa"/>
              <w:bottom w:w="90" w:type="dxa"/>
              <w:right w:w="90" w:type="dxa"/>
            </w:tcMar>
          </w:tcPr>
          <w:p>
            <w:pPr>
              <w:spacing w:after="40" w:line="276" w:lineRule="auto"/>
            </w:pPr>
            <w:r>
              <w:rPr>
                <w:b w:val="0"/>
                <w:i w:val="0"/>
                <w:sz w:val="18"/>
              </w:rPr>
              <w:t>175.7 / 175.7 / 175.7</w:t>
            </w:r>
          </w:p>
        </w:tc>
        <w:tc>
          <w:tcPr>
            <w:tcW w:type="dxa" w:w="2445"/>
            <w:vAlign w:val="center"/>
            <w:tcMar>
              <w:top w:w="90" w:type="dxa"/>
              <w:left w:w="90" w:type="dxa"/>
              <w:bottom w:w="90" w:type="dxa"/>
              <w:right w:w="90" w:type="dxa"/>
            </w:tcMar>
          </w:tcPr>
          <w:p>
            <w:pPr>
              <w:spacing w:after="40" w:line="276" w:lineRule="auto"/>
            </w:pPr>
            <w:r>
              <w:rPr>
                <w:b w:val="0"/>
                <w:i w:val="0"/>
                <w:sz w:val="18"/>
              </w:rPr>
              <w:t>0.50</w:t>
            </w:r>
          </w:p>
        </w:tc>
        <w:tc>
          <w:tcPr>
            <w:tcW w:type="dxa" w:w="2251"/>
            <w:vAlign w:val="center"/>
            <w:tcMar>
              <w:top w:w="90" w:type="dxa"/>
              <w:left w:w="90" w:type="dxa"/>
              <w:bottom w:w="90" w:type="dxa"/>
              <w:right w:w="90" w:type="dxa"/>
            </w:tcMar>
          </w:tcPr>
          <w:p>
            <w:pPr>
              <w:spacing w:after="40" w:line="276" w:lineRule="auto"/>
            </w:pPr>
            <w:r>
              <w:rPr>
                <w:b w:val="0"/>
                <w:i w:val="0"/>
                <w:sz w:val="18"/>
              </w:rPr>
              <w:t>0.5</w:t>
            </w:r>
          </w:p>
        </w:tc>
      </w:tr>
      <w:tr>
        <w:trPr>
          <w:cantSplit/>
        </w:trPr>
        <w:tc>
          <w:tcPr>
            <w:tcW w:type="dxa" w:w="1759"/>
            <w:vAlign w:val="center"/>
            <w:tcMar>
              <w:top w:w="90" w:type="dxa"/>
              <w:left w:w="90" w:type="dxa"/>
              <w:bottom w:w="90" w:type="dxa"/>
              <w:right w:w="90" w:type="dxa"/>
            </w:tcMar>
          </w:tcPr>
          <w:p>
            <w:pPr>
              <w:spacing w:after="40" w:line="276" w:lineRule="auto"/>
            </w:pPr>
            <w:r>
              <w:rPr>
                <w:b w:val="0"/>
                <w:i w:val="0"/>
                <w:sz w:val="18"/>
              </w:rPr>
              <w:t>Biomass</w:t>
            </w:r>
          </w:p>
        </w:tc>
        <w:tc>
          <w:tcPr>
            <w:tcW w:type="dxa" w:w="3337"/>
            <w:vAlign w:val="center"/>
            <w:tcMar>
              <w:top w:w="90" w:type="dxa"/>
              <w:left w:w="90" w:type="dxa"/>
              <w:bottom w:w="90" w:type="dxa"/>
              <w:right w:w="90" w:type="dxa"/>
            </w:tcMar>
          </w:tcPr>
          <w:p>
            <w:pPr>
              <w:spacing w:after="40" w:line="276" w:lineRule="auto"/>
            </w:pPr>
            <w:r>
              <w:rPr>
                <w:b w:val="0"/>
                <w:i w:val="0"/>
                <w:sz w:val="18"/>
              </w:rPr>
              <w:t>129.2 / 129.2 / 129.2</w:t>
            </w:r>
          </w:p>
        </w:tc>
        <w:tc>
          <w:tcPr>
            <w:tcW w:type="dxa" w:w="2445"/>
            <w:vAlign w:val="center"/>
            <w:tcMar>
              <w:top w:w="90" w:type="dxa"/>
              <w:left w:w="90" w:type="dxa"/>
              <w:bottom w:w="90" w:type="dxa"/>
              <w:right w:w="90" w:type="dxa"/>
            </w:tcMar>
          </w:tcPr>
          <w:p>
            <w:pPr>
              <w:spacing w:after="40" w:line="276" w:lineRule="auto"/>
            </w:pPr>
            <w:r>
              <w:rPr>
                <w:b w:val="0"/>
                <w:i w:val="0"/>
                <w:sz w:val="18"/>
              </w:rPr>
              <w:t>0.35</w:t>
            </w:r>
          </w:p>
        </w:tc>
        <w:tc>
          <w:tcPr>
            <w:tcW w:type="dxa" w:w="2251"/>
            <w:vAlign w:val="center"/>
            <w:tcMar>
              <w:top w:w="90" w:type="dxa"/>
              <w:left w:w="90" w:type="dxa"/>
              <w:bottom w:w="90" w:type="dxa"/>
              <w:right w:w="90" w:type="dxa"/>
            </w:tcMar>
          </w:tcPr>
          <w:p>
            <w:pPr>
              <w:spacing w:after="40" w:line="276" w:lineRule="auto"/>
            </w:pPr>
            <w:r>
              <w:rPr>
                <w:b w:val="0"/>
                <w:i w:val="0"/>
                <w:sz w:val="18"/>
              </w:rPr>
              <w:t>6</w:t>
            </w:r>
          </w:p>
        </w:tc>
      </w:tr>
    </w:tbl>
    <w:p>
      <w:pPr>
        <w:spacing w:after="20"/>
      </w:pPr>
    </w:p>
    <w:p>
      <w:r>
        <w:rPr>
          <w:b w:val="0"/>
          <w:i w:val="0"/>
        </w:rPr>
        <w:t xml:space="preserve">CCGT uses the hot value for </w:t>
      </w:r>
      <w:r>
        <w:drawing>
          <wp:inline xmlns:a="http://schemas.openxmlformats.org/drawingml/2006/main" xmlns:pic="http://schemas.openxmlformats.org/drawingml/2006/picture">
            <wp:extent cx="1092965" cy="124848"/>
            <wp:docPr id="87" name="Picture 87"/>
            <wp:cNvGraphicFramePr>
              <a:graphicFrameLocks noChangeAspect="1"/>
            </wp:cNvGraphicFramePr>
            <a:graphic>
              <a:graphicData uri="http://schemas.openxmlformats.org/drawingml/2006/picture">
                <pic:pic>
                  <pic:nvPicPr>
                    <pic:cNvPr id="0" name="eq-087.png"/>
                    <pic:cNvPicPr/>
                  </pic:nvPicPr>
                  <pic:blipFill>
                    <a:blip r:embed="rId92"/>
                    <a:stretch>
                      <a:fillRect/>
                    </a:stretch>
                  </pic:blipFill>
                  <pic:spPr>
                    <a:xfrm>
                      <a:off x="0" y="0"/>
                      <a:ext cx="1092965" cy="124848"/>
                    </a:xfrm>
                    <a:prstGeom prst="rect"/>
                  </pic:spPr>
                </pic:pic>
              </a:graphicData>
            </a:graphic>
          </wp:inline>
        </w:drawing>
      </w:r>
      <w:r>
        <w:rPr>
          <w:b w:val="0"/>
          <w:i w:val="0"/>
        </w:rPr>
        <w:t xml:space="preserve"> h, warm for </w:t>
      </w:r>
      <w:r>
        <w:drawing>
          <wp:inline xmlns:a="http://schemas.openxmlformats.org/drawingml/2006/main" xmlns:pic="http://schemas.openxmlformats.org/drawingml/2006/picture">
            <wp:extent cx="1478537" cy="137997"/>
            <wp:docPr id="88" name="Picture 88"/>
            <wp:cNvGraphicFramePr>
              <a:graphicFrameLocks noChangeAspect="1"/>
            </wp:cNvGraphicFramePr>
            <a:graphic>
              <a:graphicData uri="http://schemas.openxmlformats.org/drawingml/2006/picture">
                <pic:pic>
                  <pic:nvPicPr>
                    <pic:cNvPr id="0" name="eq-088.png"/>
                    <pic:cNvPicPr/>
                  </pic:nvPicPr>
                  <pic:blipFill>
                    <a:blip r:embed="rId93"/>
                    <a:stretch>
                      <a:fillRect/>
                    </a:stretch>
                  </pic:blipFill>
                  <pic:spPr>
                    <a:xfrm>
                      <a:off x="0" y="0"/>
                      <a:ext cx="1478537" cy="137997"/>
                    </a:xfrm>
                    <a:prstGeom prst="rect"/>
                  </pic:spPr>
                </pic:pic>
              </a:graphicData>
            </a:graphic>
          </wp:inline>
        </w:drawing>
      </w:r>
      <w:r>
        <w:rPr>
          <w:b w:val="0"/>
          <w:i w:val="0"/>
        </w:rPr>
        <w:t xml:space="preserve"> h, and cold for </w:t>
      </w:r>
      <w:r>
        <w:drawing>
          <wp:inline xmlns:a="http://schemas.openxmlformats.org/drawingml/2006/main" xmlns:pic="http://schemas.openxmlformats.org/drawingml/2006/picture">
            <wp:extent cx="1092965" cy="124848"/>
            <wp:docPr id="89" name="Picture 89"/>
            <wp:cNvGraphicFramePr>
              <a:graphicFrameLocks noChangeAspect="1"/>
            </wp:cNvGraphicFramePr>
            <a:graphic>
              <a:graphicData uri="http://schemas.openxmlformats.org/drawingml/2006/picture">
                <pic:pic>
                  <pic:nvPicPr>
                    <pic:cNvPr id="0" name="eq-089.png"/>
                    <pic:cNvPicPr/>
                  </pic:nvPicPr>
                  <pic:blipFill>
                    <a:blip r:embed="rId94"/>
                    <a:stretch>
                      <a:fillRect/>
                    </a:stretch>
                  </pic:blipFill>
                  <pic:spPr>
                    <a:xfrm>
                      <a:off x="0" y="0"/>
                      <a:ext cx="1092965" cy="124848"/>
                    </a:xfrm>
                    <a:prstGeom prst="rect"/>
                  </pic:spPr>
                </pic:pic>
              </a:graphicData>
            </a:graphic>
          </wp:inline>
        </w:drawing>
      </w:r>
      <w:r>
        <w:rPr>
          <w:b w:val="0"/>
          <w:i w:val="0"/>
        </w:rPr>
        <w:t xml:space="preserve"> h. </w:t>
      </w:r>
      <w:r>
        <w:rPr>
          <w:rFonts w:ascii="DejaVu Sans Mono" w:hAnsi="DejaVu Sans Mono"/>
          <w:b w:val="0"/>
          <w:i w:val="0"/>
          <w:sz w:val="17"/>
        </w:rPr>
        <w:t>value_​thermal_​restart_​v1.json</w:t>
      </w:r>
      <w:r>
        <w:rPr>
          <w:b w:val="0"/>
          <w:i w:val="0"/>
        </w:rPr>
        <w:t xml:space="preserve"> combines cycling-wear estimates from </w:t>
      </w:r>
      <w:r>
        <w:rPr>
          <w:b w:val="0"/>
          <w:i w:val="0"/>
        </w:rPr>
        <w:t>Kumar et al. (2012)</w:t>
      </w:r>
      <w:r>
        <w:rPr>
          <w:b w:val="0"/>
          <w:i w:val="0"/>
        </w:rPr>
        <w:t xml:space="preserve"> with GB start-up fuel and carbon estimates from </w:t>
      </w:r>
      <w:r>
        <w:rPr>
          <w:b w:val="0"/>
          <w:i w:val="0"/>
        </w:rPr>
        <w:t>Staffell and Green (2016)</w:t>
      </w:r>
      <w:r>
        <w:rPr>
          <w:b w:val="0"/>
          <w:i w:val="0"/>
        </w:rPr>
        <w:t xml:space="preserve">. Its minimum-load and downtime assumptions draw on Elexon declarations and the technical sources recorded with the table. The table converts the selected 2024 GBP values to 2025 GBP using </w:t>
      </w:r>
      <w:r>
        <w:rPr>
          <w:b w:val="0"/>
          <w:i w:val="0"/>
        </w:rPr>
        <w:t>ONS CPI D7BT</w:t>
      </w:r>
      <w:r>
        <w:rPr>
          <w:b w:val="0"/>
          <w:i w:val="0"/>
        </w:rPr>
        <w:t xml:space="preserve">, </w:t>
      </w:r>
      <w:r>
        <w:drawing>
          <wp:inline xmlns:a="http://schemas.openxmlformats.org/drawingml/2006/main" xmlns:pic="http://schemas.openxmlformats.org/drawingml/2006/picture">
            <wp:extent cx="835332" cy="164435"/>
            <wp:docPr id="90" name="Picture 90"/>
            <wp:cNvGraphicFramePr>
              <a:graphicFrameLocks noChangeAspect="1"/>
            </wp:cNvGraphicFramePr>
            <a:graphic>
              <a:graphicData uri="http://schemas.openxmlformats.org/drawingml/2006/picture">
                <pic:pic>
                  <pic:nvPicPr>
                    <pic:cNvPr id="0" name="eq-090.png"/>
                    <pic:cNvPicPr/>
                  </pic:nvPicPr>
                  <pic:blipFill>
                    <a:blip r:embed="rId95"/>
                    <a:stretch>
                      <a:fillRect/>
                    </a:stretch>
                  </pic:blipFill>
                  <pic:spPr>
                    <a:xfrm>
                      <a:off x="0" y="0"/>
                      <a:ext cx="835332" cy="164435"/>
                    </a:xfrm>
                    <a:prstGeom prst="rect"/>
                  </pic:spPr>
                </pic:pic>
              </a:graphicData>
            </a:graphic>
          </wp:inline>
        </w:drawing>
      </w:r>
      <w:r>
        <w:rPr>
          <w:b w:val="0"/>
          <w:i w:val="0"/>
        </w:rPr>
        <w:t>, and rounds restart costs to one decimal place; the recorded conversion factor is 1.0336.</w:t>
      </w:r>
    </w:p>
    <w:p>
      <w:r>
        <w:rPr>
          <w:rFonts w:ascii="DejaVu Sans Mono" w:hAnsi="DejaVu Sans Mono"/>
          <w:b w:val="0"/>
          <w:i w:val="0"/>
          <w:sz w:val="17"/>
        </w:rPr>
        <w:t>RestartParameters.break_​even_​hours</w:t>
      </w:r>
      <w:r>
        <w:rPr>
          <w:b w:val="0"/>
          <w:i w:val="0"/>
        </w:rPr>
        <w:t xml:space="preserve"> divides restart cost by </w:t>
      </w:r>
      <w:r>
        <w:rPr>
          <w:rFonts w:ascii="DejaVu Sans Mono" w:hAnsi="DejaVu Sans Mono"/>
          <w:b w:val="0"/>
          <w:i w:val="0"/>
          <w:sz w:val="17"/>
        </w:rPr>
        <w:t>min_stable_fraction</w:t>
      </w:r>
      <w:r>
        <w:rPr>
          <w:b w:val="0"/>
          <w:i w:val="0"/>
        </w:rPr>
        <w:t xml:space="preserve"> times avoided operating cost. At the supplied GB costs, break-even times are 4.13 h for hot-start CCGT, 4.69 h for OCGT and 4.34 h for biomass. Thus eligible CCGT and biomass shutdowns at 6 h have positive net savings; OCGT first has positive savings at 5 h on the half-hour grid. The CCGT six-hour cost threshold is 113.7 / (0.5 × 6) = 37.9 £/MWh.</w:t>
      </w:r>
    </w:p>
    <w:p>
      <w:pPr>
        <w:keepNext/>
      </w:pPr>
      <w:r>
        <w:rPr>
          <w:b w:val="0"/>
          <w:i w:val="0"/>
        </w:rPr>
        <w:t>Equal rounded savings use class ranks thermal 0, imports 0.5, hydro and biomass 1, VRE 2, shutdown segments 2.5 and nuclear 3, followed by name and input order. Each accepted reduction consumes the remaining requirement once:</w:t>
      </w:r>
    </w:p>
    <w:p>
      <w:pPr>
        <w:spacing w:after="160"/>
        <w:jc w:val="center"/>
      </w:pPr>
      <w:r>
        <w:drawing>
          <wp:inline xmlns:a="http://schemas.openxmlformats.org/drawingml/2006/main" xmlns:pic="http://schemas.openxmlformats.org/drawingml/2006/picture">
            <wp:extent cx="3219678" cy="621983"/>
            <wp:docPr id="91" name="Picture 91"/>
            <wp:cNvGraphicFramePr>
              <a:graphicFrameLocks noChangeAspect="1"/>
            </wp:cNvGraphicFramePr>
            <a:graphic>
              <a:graphicData uri="http://schemas.openxmlformats.org/drawingml/2006/picture">
                <pic:pic>
                  <pic:nvPicPr>
                    <pic:cNvPr id="0" name="eq-091.png"/>
                    <pic:cNvPicPr/>
                  </pic:nvPicPr>
                  <pic:blipFill>
                    <a:blip r:embed="rId96"/>
                    <a:stretch>
                      <a:fillRect/>
                    </a:stretch>
                  </pic:blipFill>
                  <pic:spPr>
                    <a:xfrm>
                      <a:off x="0" y="0"/>
                      <a:ext cx="3219678" cy="621983"/>
                    </a:xfrm>
                    <a:prstGeom prst="rect"/>
                  </pic:spPr>
                </pic:pic>
              </a:graphicData>
            </a:graphic>
          </wp:inline>
        </w:drawing>
      </w:r>
    </w:p>
    <w:p>
      <w:r>
        <w:rPr>
          <w:rFonts w:ascii="DejaVu Sans Mono" w:hAnsi="DejaVu Sans Mono"/>
          <w:b w:val="0"/>
          <w:i w:val="0"/>
          <w:sz w:val="17"/>
        </w:rPr>
        <w:t>limit</w:t>
      </w:r>
      <w:r>
        <w:rPr>
          <w:b w:val="0"/>
          <w:i w:val="0"/>
        </w:rPr>
        <w:t xml:space="preserve"> is the segment's reducible MW, </w:t>
      </w:r>
      <w:r>
        <w:rPr>
          <w:rFonts w:ascii="DejaVu Sans Mono" w:hAnsi="DejaVu Sans Mono"/>
          <w:b w:val="0"/>
          <w:i w:val="0"/>
          <w:sz w:val="17"/>
        </w:rPr>
        <w:t>item[2]</w:t>
      </w:r>
      <w:r>
        <w:rPr>
          <w:b w:val="0"/>
          <w:i w:val="0"/>
        </w:rPr>
        <w:t xml:space="preserve"> is its remaining accepted output, and </w:t>
      </w:r>
      <w:r>
        <w:rPr>
          <w:rFonts w:ascii="DejaVu Sans Mono" w:hAnsi="DejaVu Sans Mono"/>
          <w:b w:val="0"/>
          <w:i w:val="0"/>
          <w:sz w:val="17"/>
        </w:rPr>
        <w:t>remaining</w:t>
      </w:r>
      <w:r>
        <w:rPr>
          <w:b w:val="0"/>
          <w:i w:val="0"/>
        </w:rPr>
        <w:t xml:space="preserve"> is the outstanding downward requirement. Hydro and biomass reductions return energy to cumulative budgets. Output held by the ramp floor becomes in-dispatch spill. </w:t>
      </w:r>
      <w:r>
        <w:rPr>
          <w:rFonts w:ascii="DejaVu Sans Mono" w:hAnsi="DejaVu Sans Mono"/>
          <w:b w:val="0"/>
          <w:i w:val="0"/>
          <w:sz w:val="17"/>
        </w:rPr>
        <w:t>native_​corrected.economic_​downward_​stack</w:t>
      </w:r>
      <w:r>
        <w:rPr>
          <w:b w:val="0"/>
          <w:i w:val="0"/>
        </w:rPr>
        <w:t xml:space="preserve"> applies these reductions.</w:t>
      </w:r>
    </w:p>
    <w:p>
      <w:r>
        <w:rPr>
          <w:b w:val="0"/>
          <w:i w:val="0"/>
        </w:rPr>
        <w:t xml:space="preserve">In the doctoral reproduction profile, downward rows follow ascending </w:t>
      </w:r>
      <w:r>
        <w:rPr>
          <w:rFonts w:ascii="DejaVu Sans Mono" w:hAnsi="DejaVu Sans Mono"/>
          <w:b w:val="0"/>
          <w:i w:val="0"/>
          <w:sz w:val="17"/>
        </w:rPr>
        <w:t>curtail_cost</w:t>
      </w:r>
      <w:r>
        <w:rPr>
          <w:b w:val="0"/>
          <w:i w:val="0"/>
        </w:rPr>
        <w:t>, placing zero-cost wind ahead of gas. Hydro reductions return to its budget. Both profiles stop reductions when the remaining requirement reaches zero.</w:t>
      </w:r>
    </w:p>
    <w:p>
      <w:pPr>
        <w:pStyle w:val="Heading2"/>
      </w:pPr>
      <w:r>
        <w:rPr>
          <w:b w:val="0"/>
          <w:i w:val="0"/>
        </w:rPr>
        <w:t>Settlement, displayed price and physical cost</w:t>
      </w:r>
    </w:p>
    <w:p>
      <w:pPr>
        <w:keepNext/>
      </w:pPr>
      <w:r>
        <w:rPr>
          <w:b w:val="0"/>
          <w:i w:val="0"/>
        </w:rPr>
        <w:t xml:space="preserve">Corrected Native dispatch pays every accepted supply category the same marginal price within each stage. Ahead settlement takes the highest accepted offer including imports and storage. </w:t>
      </w:r>
      <w:r>
        <w:rPr>
          <w:rFonts w:ascii="DejaVu Sans Mono" w:hAnsi="DejaVu Sans Mono"/>
          <w:b w:val="0"/>
          <w:i w:val="0"/>
          <w:sz w:val="17"/>
        </w:rPr>
        <w:t>uniform_income</w:t>
      </w:r>
      <w:r>
        <w:rPr>
          <w:b w:val="0"/>
          <w:i w:val="0"/>
        </w:rPr>
        <w:t xml:space="preserve"> multiplies accepted </w:t>
      </w:r>
      <w:r>
        <w:rPr>
          <w:rFonts w:ascii="DejaVu Sans Mono" w:hAnsi="DejaVu Sans Mono"/>
          <w:b w:val="0"/>
          <w:i w:val="0"/>
          <w:sz w:val="17"/>
        </w:rPr>
        <w:t>power_mw</w:t>
      </w:r>
      <w:r>
        <w:rPr>
          <w:b w:val="0"/>
          <w:i w:val="0"/>
        </w:rPr>
        <w:t xml:space="preserve"> by period length and the stage's </w:t>
      </w:r>
      <w:r>
        <w:rPr>
          <w:rFonts w:ascii="DejaVu Sans Mono" w:hAnsi="DejaVu Sans Mono"/>
          <w:b w:val="0"/>
          <w:i w:val="0"/>
          <w:sz w:val="17"/>
        </w:rPr>
        <w:t>price_gbp_per_mwh</w:t>
      </w:r>
      <w:r>
        <w:rPr>
          <w:b w:val="0"/>
          <w:i w:val="0"/>
        </w:rPr>
        <w:t>; the balancing price also includes accepted import prices:</w:t>
      </w:r>
    </w:p>
    <w:p>
      <w:pPr>
        <w:spacing w:after="160"/>
        <w:jc w:val="center"/>
      </w:pPr>
      <w:r>
        <w:drawing>
          <wp:inline xmlns:a="http://schemas.openxmlformats.org/drawingml/2006/main" xmlns:pic="http://schemas.openxmlformats.org/drawingml/2006/picture">
            <wp:extent cx="4659782" cy="182916"/>
            <wp:docPr id="92" name="Picture 92"/>
            <wp:cNvGraphicFramePr>
              <a:graphicFrameLocks noChangeAspect="1"/>
            </wp:cNvGraphicFramePr>
            <a:graphic>
              <a:graphicData uri="http://schemas.openxmlformats.org/drawingml/2006/picture">
                <pic:pic>
                  <pic:nvPicPr>
                    <pic:cNvPr id="0" name="eq-092.png"/>
                    <pic:cNvPicPr/>
                  </pic:nvPicPr>
                  <pic:blipFill>
                    <a:blip r:embed="rId97"/>
                    <a:stretch>
                      <a:fillRect/>
                    </a:stretch>
                  </pic:blipFill>
                  <pic:spPr>
                    <a:xfrm>
                      <a:off x="0" y="0"/>
                      <a:ext cx="4659782" cy="182916"/>
                    </a:xfrm>
                    <a:prstGeom prst="rect"/>
                  </pic:spPr>
                </pic:pic>
              </a:graphicData>
            </a:graphic>
          </wp:inline>
        </w:drawing>
      </w:r>
    </w:p>
    <w:p>
      <w:pPr>
        <w:spacing w:after="160"/>
        <w:jc w:val="center"/>
      </w:pPr>
      <w:r>
        <w:drawing>
          <wp:inline xmlns:a="http://schemas.openxmlformats.org/drawingml/2006/main" xmlns:pic="http://schemas.openxmlformats.org/drawingml/2006/picture">
            <wp:extent cx="6217920" cy="319843"/>
            <wp:docPr id="93" name="Picture 93"/>
            <wp:cNvGraphicFramePr>
              <a:graphicFrameLocks noChangeAspect="1"/>
            </wp:cNvGraphicFramePr>
            <a:graphic>
              <a:graphicData uri="http://schemas.openxmlformats.org/drawingml/2006/picture">
                <pic:pic>
                  <pic:nvPicPr>
                    <pic:cNvPr id="0" name="eq-093.png"/>
                    <pic:cNvPicPr/>
                  </pic:nvPicPr>
                  <pic:blipFill>
                    <a:blip r:embed="rId98"/>
                    <a:stretch>
                      <a:fillRect/>
                    </a:stretch>
                  </pic:blipFill>
                  <pic:spPr>
                    <a:xfrm>
                      <a:off x="0" y="0"/>
                      <a:ext cx="6217920" cy="319843"/>
                    </a:xfrm>
                    <a:prstGeom prst="rect"/>
                  </pic:spPr>
                </pic:pic>
              </a:graphicData>
            </a:graphic>
          </wp:inline>
        </w:drawing>
      </w:r>
    </w:p>
    <w:p>
      <w:r>
        <w:rPr>
          <w:b w:val="0"/>
          <w:i w:val="0"/>
        </w:rPr>
        <w:t>Storage charges are settled within the current period. In the doctoral reproduction profile, generation and storage each use their own highest accepted bid; an empty accepted generator set yields an empty income mapping, including periods supplied solely by storage. Its final balancing storage fee also enters subsequent downward-period expenditure.</w:t>
      </w:r>
    </w:p>
    <w:p>
      <w:pPr>
        <w:keepNext/>
      </w:pPr>
      <w:r>
        <w:rPr>
          <w:b w:val="0"/>
          <w:i w:val="0"/>
        </w:rPr>
        <w:t xml:space="preserve">The displayed Native price is labelled “Average period cost (£/MWh demand)”. If </w:t>
      </w:r>
      <w:r>
        <w:drawing>
          <wp:inline xmlns:a="http://schemas.openxmlformats.org/drawingml/2006/main" xmlns:pic="http://schemas.openxmlformats.org/drawingml/2006/picture">
            <wp:extent cx="1093914" cy="155647"/>
            <wp:docPr id="94" name="Picture 94"/>
            <wp:cNvGraphicFramePr>
              <a:graphicFrameLocks noChangeAspect="1"/>
            </wp:cNvGraphicFramePr>
            <a:graphic>
              <a:graphicData uri="http://schemas.openxmlformats.org/drawingml/2006/picture">
                <pic:pic>
                  <pic:nvPicPr>
                    <pic:cNvPr id="0" name="eq-094.png"/>
                    <pic:cNvPicPr/>
                  </pic:nvPicPr>
                  <pic:blipFill>
                    <a:blip r:embed="rId99"/>
                    <a:stretch>
                      <a:fillRect/>
                    </a:stretch>
                  </pic:blipFill>
                  <pic:spPr>
                    <a:xfrm>
                      <a:off x="0" y="0"/>
                      <a:ext cx="1093914" cy="155647"/>
                    </a:xfrm>
                    <a:prstGeom prst="rect"/>
                  </pic:spPr>
                </pic:pic>
              </a:graphicData>
            </a:graphic>
          </wp:inline>
        </w:drawing>
      </w:r>
      <w:r>
        <w:rPr>
          <w:b w:val="0"/>
          <w:i w:val="0"/>
        </w:rPr>
        <w:t xml:space="preserve"> is the accumulator of accepted-offer, storage, downward and upward charges, its value and associated period expenditure are</w:t>
      </w:r>
    </w:p>
    <w:p>
      <w:pPr>
        <w:spacing w:after="160"/>
        <w:jc w:val="center"/>
      </w:pPr>
      <w:r>
        <w:drawing>
          <wp:inline xmlns:a="http://schemas.openxmlformats.org/drawingml/2006/main" xmlns:pic="http://schemas.openxmlformats.org/drawingml/2006/picture">
            <wp:extent cx="6180658" cy="637723"/>
            <wp:docPr id="95" name="Picture 95"/>
            <wp:cNvGraphicFramePr>
              <a:graphicFrameLocks noChangeAspect="1"/>
            </wp:cNvGraphicFramePr>
            <a:graphic>
              <a:graphicData uri="http://schemas.openxmlformats.org/drawingml/2006/picture">
                <pic:pic>
                  <pic:nvPicPr>
                    <pic:cNvPr id="0" name="eq-095.png"/>
                    <pic:cNvPicPr/>
                  </pic:nvPicPr>
                  <pic:blipFill>
                    <a:blip r:embed="rId100"/>
                    <a:stretch>
                      <a:fillRect/>
                    </a:stretch>
                  </pic:blipFill>
                  <pic:spPr>
                    <a:xfrm>
                      <a:off x="0" y="0"/>
                      <a:ext cx="6180658" cy="637723"/>
                    </a:xfrm>
                    <a:prstGeom prst="rect"/>
                  </pic:spPr>
                </pic:pic>
              </a:graphicData>
            </a:graphic>
          </wp:inline>
        </w:drawing>
      </w:r>
    </w:p>
    <w:p>
      <w:r>
        <w:rPr>
          <w:b w:val="0"/>
          <w:i w:val="0"/>
        </w:rPr>
        <w:t xml:space="preserve">This statistic describes expenditure per MWh of actual demand. Generator and storage income are calculated from the settlement accounts above. Corrected </w:t>
      </w:r>
      <w:r>
        <w:drawing>
          <wp:inline xmlns:a="http://schemas.openxmlformats.org/drawingml/2006/main" xmlns:pic="http://schemas.openxmlformats.org/drawingml/2006/picture">
            <wp:extent cx="1093914" cy="155647"/>
            <wp:docPr id="96" name="Picture 96"/>
            <wp:cNvGraphicFramePr>
              <a:graphicFrameLocks noChangeAspect="1"/>
            </wp:cNvGraphicFramePr>
            <a:graphic>
              <a:graphicData uri="http://schemas.openxmlformats.org/drawingml/2006/picture">
                <pic:pic>
                  <pic:nvPicPr>
                    <pic:cNvPr id="0" name="eq-094.png"/>
                    <pic:cNvPicPr/>
                  </pic:nvPicPr>
                  <pic:blipFill>
                    <a:blip r:embed="rId99"/>
                    <a:stretch>
                      <a:fillRect/>
                    </a:stretch>
                  </pic:blipFill>
                  <pic:spPr>
                    <a:xfrm>
                      <a:off x="0" y="0"/>
                      <a:ext cx="1093914" cy="155647"/>
                    </a:xfrm>
                    <a:prstGeom prst="rect"/>
                  </pic:spPr>
                </pic:pic>
              </a:graphicData>
            </a:graphic>
          </wp:inline>
        </w:drawing>
      </w:r>
      <w:r>
        <w:rPr>
          <w:b w:val="0"/>
          <w:i w:val="0"/>
        </w:rPr>
        <w:t xml:space="preserve"> includes the current period's storage fee only. Final boundary supply enters the annual generation statistic, while Native reports storage discharge separately.</w:t>
      </w:r>
    </w:p>
    <w:p>
      <w:pPr>
        <w:keepNext/>
      </w:pPr>
      <w:r>
        <w:rPr>
          <w:b w:val="0"/>
          <w:i w:val="0"/>
        </w:rPr>
        <w:t xml:space="preserve">Physical operating expenditure values realised generation at composite </w:t>
      </w:r>
      <w:r>
        <w:rPr>
          <w:rFonts w:ascii="DejaVu Sans Mono" w:hAnsi="DejaVu Sans Mono"/>
          <w:b w:val="0"/>
          <w:i w:val="0"/>
          <w:sz w:val="17"/>
        </w:rPr>
        <w:t>gen_cost</w:t>
      </w:r>
      <w:r>
        <w:rPr>
          <w:b w:val="0"/>
          <w:i w:val="0"/>
        </w:rPr>
        <w:t xml:space="preserve">, imports at </w:t>
      </w:r>
      <w:r>
        <w:rPr>
          <w:rFonts w:ascii="DejaVu Sans Mono" w:hAnsi="DejaVu Sans Mono"/>
          <w:b w:val="0"/>
          <w:i w:val="0"/>
          <w:sz w:val="17"/>
        </w:rPr>
        <w:t>external_price</w:t>
      </w:r>
      <w:r>
        <w:rPr>
          <w:b w:val="0"/>
          <w:i w:val="0"/>
        </w:rPr>
        <w:t xml:space="preserve">, and qualifying starts at </w:t>
      </w:r>
      <w:r>
        <w:rPr>
          <w:rFonts w:ascii="DejaVu Sans Mono" w:hAnsi="DejaVu Sans Mono"/>
          <w:b w:val="0"/>
          <w:i w:val="0"/>
          <w:sz w:val="17"/>
        </w:rPr>
        <w:t>startup_cost</w:t>
      </w:r>
      <w:r>
        <w:rPr>
          <w:b w:val="0"/>
          <w:i w:val="0"/>
        </w:rPr>
        <w:t xml:space="preserve"> times generated MWh. </w:t>
      </w:r>
      <w:r>
        <w:rPr>
          <w:rFonts w:ascii="DejaVu Sans Mono" w:hAnsi="DejaVu Sans Mono"/>
          <w:b w:val="0"/>
          <w:i w:val="0"/>
          <w:sz w:val="17"/>
        </w:rPr>
        <w:t>physical_cost_terms</w:t>
      </w:r>
      <w:r>
        <w:rPr>
          <w:b w:val="0"/>
          <w:i w:val="0"/>
        </w:rPr>
        <w:t xml:space="preserve"> returns </w:t>
      </w:r>
      <w:r>
        <w:rPr>
          <w:rFonts w:ascii="DejaVu Sans Mono" w:hAnsi="DejaVu Sans Mono"/>
          <w:b w:val="0"/>
          <w:i w:val="0"/>
          <w:sz w:val="17"/>
        </w:rPr>
        <w:t>generation_variable_gbp</w:t>
      </w:r>
      <w:r>
        <w:rPr>
          <w:b w:val="0"/>
          <w:i w:val="0"/>
        </w:rPr>
        <w:t xml:space="preserve">, </w:t>
      </w:r>
      <w:r>
        <w:rPr>
          <w:rFonts w:ascii="DejaVu Sans Mono" w:hAnsi="DejaVu Sans Mono"/>
          <w:b w:val="0"/>
          <w:i w:val="0"/>
          <w:sz w:val="17"/>
        </w:rPr>
        <w:t>import_variable_gbp</w:t>
      </w:r>
      <w:r>
        <w:rPr>
          <w:b w:val="0"/>
          <w:i w:val="0"/>
        </w:rPr>
        <w:t xml:space="preserve"> and </w:t>
      </w:r>
      <w:r>
        <w:rPr>
          <w:rFonts w:ascii="DejaVu Sans Mono" w:hAnsi="DejaVu Sans Mono"/>
          <w:b w:val="0"/>
          <w:i w:val="0"/>
          <w:sz w:val="17"/>
        </w:rPr>
        <w:t>startup_adder_gbp</w:t>
      </w:r>
      <w:r>
        <w:rPr>
          <w:b w:val="0"/>
          <w:i w:val="0"/>
        </w:rPr>
        <w:t xml:space="preserve">; the annual account adds recorded-blackout cost and current storage cycle depreciation. The year index is </w:t>
      </w:r>
      <w:r>
        <w:drawing>
          <wp:inline xmlns:a="http://schemas.openxmlformats.org/drawingml/2006/main" xmlns:pic="http://schemas.openxmlformats.org/drawingml/2006/picture">
            <wp:extent cx="80984" cy="107249"/>
            <wp:docPr id="97" name="Picture 97"/>
            <wp:cNvGraphicFramePr>
              <a:graphicFrameLocks noChangeAspect="1"/>
            </wp:cNvGraphicFramePr>
            <a:graphic>
              <a:graphicData uri="http://schemas.openxmlformats.org/drawingml/2006/picture">
                <pic:pic>
                  <pic:nvPicPr>
                    <pic:cNvPr id="0" name="eq-097.png"/>
                    <pic:cNvPicPr/>
                  </pic:nvPicPr>
                  <pic:blipFill>
                    <a:blip r:embed="rId101"/>
                    <a:stretch>
                      <a:fillRect/>
                    </a:stretch>
                  </pic:blipFill>
                  <pic:spPr>
                    <a:xfrm>
                      <a:off x="0" y="0"/>
                      <a:ext cx="80984" cy="107249"/>
                    </a:xfrm>
                    <a:prstGeom prst="rect"/>
                  </pic:spPr>
                </pic:pic>
              </a:graphicData>
            </a:graphic>
          </wp:inline>
        </w:drawing>
      </w:r>
      <w:r>
        <w:rPr>
          <w:b w:val="0"/>
          <w:i w:val="0"/>
        </w:rPr>
        <w:t xml:space="preserve">; </w:t>
      </w:r>
      <w:r>
        <w:rPr>
          <w:rFonts w:ascii="DejaVu Sans Mono" w:hAnsi="DejaVu Sans Mono"/>
          <w:b w:val="0"/>
          <w:i w:val="0"/>
          <w:sz w:val="17"/>
        </w:rPr>
        <w:t>operating</w:t>
      </w:r>
      <w:r>
        <w:rPr>
          <w:b w:val="0"/>
          <w:i w:val="0"/>
        </w:rPr>
        <w:t xml:space="preserve"> and </w:t>
      </w:r>
      <w:r>
        <w:rPr>
          <w:rFonts w:ascii="DejaVu Sans Mono" w:hAnsi="DejaVu Sans Mono"/>
          <w:b w:val="0"/>
          <w:i w:val="0"/>
          <w:sz w:val="17"/>
        </w:rPr>
        <w:t>cycle_wear</w:t>
      </w:r>
      <w:r>
        <w:rPr>
          <w:b w:val="0"/>
          <w:i w:val="0"/>
        </w:rPr>
        <w:t xml:space="preserve"> are the implementation's annual totals in GBP:</w:t>
      </w:r>
    </w:p>
    <w:p>
      <w:pPr>
        <w:spacing w:after="160"/>
        <w:jc w:val="center"/>
      </w:pPr>
      <w:r>
        <w:drawing>
          <wp:inline xmlns:a="http://schemas.openxmlformats.org/drawingml/2006/main" xmlns:pic="http://schemas.openxmlformats.org/drawingml/2006/picture">
            <wp:extent cx="5337276" cy="1005739"/>
            <wp:docPr id="98" name="Picture 98"/>
            <wp:cNvGraphicFramePr>
              <a:graphicFrameLocks noChangeAspect="1"/>
            </wp:cNvGraphicFramePr>
            <a:graphic>
              <a:graphicData uri="http://schemas.openxmlformats.org/drawingml/2006/picture">
                <pic:pic>
                  <pic:nvPicPr>
                    <pic:cNvPr id="0" name="eq-098.png"/>
                    <pic:cNvPicPr/>
                  </pic:nvPicPr>
                  <pic:blipFill>
                    <a:blip r:embed="rId102"/>
                    <a:stretch>
                      <a:fillRect/>
                    </a:stretch>
                  </pic:blipFill>
                  <pic:spPr>
                    <a:xfrm>
                      <a:off x="0" y="0"/>
                      <a:ext cx="5337276" cy="1005739"/>
                    </a:xfrm>
                    <a:prstGeom prst="rect"/>
                  </pic:spPr>
                </pic:pic>
              </a:graphicData>
            </a:graphic>
          </wp:inline>
        </w:drawing>
      </w:r>
    </w:p>
    <w:p>
      <w:r>
        <w:rPr>
          <w:b w:val="0"/>
          <w:i w:val="0"/>
        </w:rPr>
        <w:t xml:space="preserve">Here </w:t>
      </w:r>
      <w:r>
        <w:drawing>
          <wp:inline xmlns:a="http://schemas.openxmlformats.org/drawingml/2006/main" xmlns:pic="http://schemas.openxmlformats.org/drawingml/2006/picture">
            <wp:extent cx="1067625" cy="175380"/>
            <wp:docPr id="99" name="Picture 99"/>
            <wp:cNvGraphicFramePr>
              <a:graphicFrameLocks noChangeAspect="1"/>
            </wp:cNvGraphicFramePr>
            <a:graphic>
              <a:graphicData uri="http://schemas.openxmlformats.org/drawingml/2006/picture">
                <pic:pic>
                  <pic:nvPicPr>
                    <pic:cNvPr id="0" name="eq-099.png"/>
                    <pic:cNvPicPr/>
                  </pic:nvPicPr>
                  <pic:blipFill>
                    <a:blip r:embed="rId103"/>
                    <a:stretch>
                      <a:fillRect/>
                    </a:stretch>
                  </pic:blipFill>
                  <pic:spPr>
                    <a:xfrm>
                      <a:off x="0" y="0"/>
                      <a:ext cx="1067625" cy="175380"/>
                    </a:xfrm>
                    <a:prstGeom prst="rect"/>
                  </pic:spPr>
                </pic:pic>
              </a:graphicData>
            </a:graphic>
          </wp:inline>
        </w:drawing>
      </w:r>
      <w:r>
        <w:rPr>
          <w:b w:val="0"/>
          <w:i w:val="0"/>
        </w:rPr>
        <w:t xml:space="preserve"> is imported MWh, </w:t>
      </w:r>
      <w:r>
        <w:drawing>
          <wp:inline xmlns:a="http://schemas.openxmlformats.org/drawingml/2006/main" xmlns:pic="http://schemas.openxmlformats.org/drawingml/2006/picture">
            <wp:extent cx="1106985" cy="140291"/>
            <wp:docPr id="100" name="Picture 100"/>
            <wp:cNvGraphicFramePr>
              <a:graphicFrameLocks noChangeAspect="1"/>
            </wp:cNvGraphicFramePr>
            <a:graphic>
              <a:graphicData uri="http://schemas.openxmlformats.org/drawingml/2006/picture">
                <pic:pic>
                  <pic:nvPicPr>
                    <pic:cNvPr id="0" name="eq-100.png"/>
                    <pic:cNvPicPr/>
                  </pic:nvPicPr>
                  <pic:blipFill>
                    <a:blip r:embed="rId104"/>
                    <a:stretch>
                      <a:fillRect/>
                    </a:stretch>
                  </pic:blipFill>
                  <pic:spPr>
                    <a:xfrm>
                      <a:off x="0" y="0"/>
                      <a:ext cx="1106985" cy="140291"/>
                    </a:xfrm>
                    <a:prstGeom prst="rect"/>
                  </pic:spPr>
                </pic:pic>
              </a:graphicData>
            </a:graphic>
          </wp:inline>
        </w:drawing>
      </w:r>
      <w:r>
        <w:rPr>
          <w:b w:val="0"/>
          <w:i w:val="0"/>
        </w:rPr>
        <w:t xml:space="preserve"> is recorded blackout MWh, and </w:t>
      </w:r>
      <w:r>
        <w:drawing>
          <wp:inline xmlns:a="http://schemas.openxmlformats.org/drawingml/2006/main" xmlns:pic="http://schemas.openxmlformats.org/drawingml/2006/picture">
            <wp:extent cx="846797" cy="177237"/>
            <wp:docPr id="101" name="Picture 101"/>
            <wp:cNvGraphicFramePr>
              <a:graphicFrameLocks noChangeAspect="1"/>
            </wp:cNvGraphicFramePr>
            <a:graphic>
              <a:graphicData uri="http://schemas.openxmlformats.org/drawingml/2006/picture">
                <pic:pic>
                  <pic:nvPicPr>
                    <pic:cNvPr id="0" name="eq-101.png"/>
                    <pic:cNvPicPr/>
                  </pic:nvPicPr>
                  <pic:blipFill>
                    <a:blip r:embed="rId105"/>
                    <a:stretch>
                      <a:fillRect/>
                    </a:stretch>
                  </pic:blipFill>
                  <pic:spPr>
                    <a:xfrm>
                      <a:off x="0" y="0"/>
                      <a:ext cx="846797" cy="177237"/>
                    </a:xfrm>
                    <a:prstGeom prst="rect"/>
                  </pic:spPr>
                </pic:pic>
              </a:graphicData>
            </a:graphic>
          </wp:inline>
        </w:drawing>
      </w:r>
      <w:r>
        <w:rPr>
          <w:b w:val="0"/>
          <w:i w:val="0"/>
        </w:rPr>
        <w:t xml:space="preserve"> is the sum of each storage asset's </w:t>
      </w:r>
      <w:r>
        <w:rPr>
          <w:rFonts w:ascii="DejaVu Sans Mono" w:hAnsi="DejaVu Sans Mono"/>
          <w:b w:val="0"/>
          <w:i w:val="0"/>
          <w:sz w:val="17"/>
        </w:rPr>
        <w:t>current_​cycle_​depreciation_​gbp</w:t>
      </w:r>
      <w:r>
        <w:rPr>
          <w:b w:val="0"/>
          <w:i w:val="0"/>
        </w:rPr>
        <w:t xml:space="preserve">. Market settlement transfers are reported separately from these resource components. The cost account uses </w:t>
      </w:r>
      <w:r>
        <w:drawing>
          <wp:inline xmlns:a="http://schemas.openxmlformats.org/drawingml/2006/main" xmlns:pic="http://schemas.openxmlformats.org/drawingml/2006/picture">
            <wp:extent cx="2033892" cy="149035"/>
            <wp:docPr id="102" name="Picture 102"/>
            <wp:cNvGraphicFramePr>
              <a:graphicFrameLocks noChangeAspect="1"/>
            </wp:cNvGraphicFramePr>
            <a:graphic>
              <a:graphicData uri="http://schemas.openxmlformats.org/drawingml/2006/picture">
                <pic:pic>
                  <pic:nvPicPr>
                    <pic:cNvPr id="0" name="eq-102.png"/>
                    <pic:cNvPicPr/>
                  </pic:nvPicPr>
                  <pic:blipFill>
                    <a:blip r:embed="rId106"/>
                    <a:stretch>
                      <a:fillRect/>
                    </a:stretch>
                  </pic:blipFill>
                  <pic:spPr>
                    <a:xfrm>
                      <a:off x="0" y="0"/>
                      <a:ext cx="2033892" cy="149035"/>
                    </a:xfrm>
                    <a:prstGeom prst="rect"/>
                  </pic:spPr>
                </pic:pic>
              </a:graphicData>
            </a:graphic>
          </wp:inline>
        </w:drawing>
      </w:r>
      <w:r>
        <w:rPr>
          <w:b w:val="0"/>
          <w:i w:val="0"/>
        </w:rPr>
        <w:t xml:space="preserve"> £/MWh, equivalent to £8,500 per MW-half-hour. Corrected Native reads </w:t>
      </w:r>
      <w:r>
        <w:rPr>
          <w:rFonts w:ascii="DejaVu Sans Mono" w:hAnsi="DejaVu Sans Mono"/>
          <w:b w:val="0"/>
          <w:i w:val="0"/>
          <w:sz w:val="17"/>
        </w:rPr>
        <w:t>market.voll_gbp_per_mwh</w:t>
      </w:r>
      <w:r>
        <w:rPr>
          <w:b w:val="0"/>
          <w:i w:val="0"/>
        </w:rPr>
        <w:t>, with an allowed range of 0–1,000,000; the doctoral reproduction rule set uses the constant 17,000. In Native this parameter values recorded blackout in the cost account. Stress shortfalls are reported separately and reduce the served-energy denominator used in Chapter 4.</w:t>
      </w:r>
    </w:p>
    <w:p>
      <w:pPr>
        <w:pStyle w:val="Heading2"/>
      </w:pPr>
      <w:r>
        <w:rPr>
          <w:b w:val="0"/>
          <w:i w:val="0"/>
        </w:rPr>
        <w:t>Energy balance and result qualification</w:t>
      </w:r>
    </w:p>
    <w:p>
      <w:pPr>
        <w:keepNext/>
      </w:pPr>
      <w:r>
        <w:rPr>
          <w:b w:val="0"/>
          <w:i w:val="0"/>
        </w:rPr>
        <w:t xml:space="preserve">The corrected Native balance includes gross accepted supply, charging, exports, flexible demand and non-VRE spill. All quantities in this section are MWh. With accepted supply </w:t>
      </w:r>
      <w:r>
        <w:drawing>
          <wp:inline xmlns:a="http://schemas.openxmlformats.org/drawingml/2006/main" xmlns:pic="http://schemas.openxmlformats.org/drawingml/2006/picture">
            <wp:extent cx="1667744" cy="155598"/>
            <wp:docPr id="103" name="Picture 103"/>
            <wp:cNvGraphicFramePr>
              <a:graphicFrameLocks noChangeAspect="1"/>
            </wp:cNvGraphicFramePr>
            <a:graphic>
              <a:graphicData uri="http://schemas.openxmlformats.org/drawingml/2006/picture">
                <pic:pic>
                  <pic:nvPicPr>
                    <pic:cNvPr id="0" name="eq-103.png"/>
                    <pic:cNvPicPr/>
                  </pic:nvPicPr>
                  <pic:blipFill>
                    <a:blip r:embed="rId107"/>
                    <a:stretch>
                      <a:fillRect/>
                    </a:stretch>
                  </pic:blipFill>
                  <pic:spPr>
                    <a:xfrm>
                      <a:off x="0" y="0"/>
                      <a:ext cx="1667744" cy="155598"/>
                    </a:xfrm>
                    <a:prstGeom prst="rect"/>
                  </pic:spPr>
                </pic:pic>
              </a:graphicData>
            </a:graphic>
          </wp:inline>
        </w:drawing>
      </w:r>
      <w:r>
        <w:rPr>
          <w:b w:val="0"/>
          <w:i w:val="0"/>
        </w:rPr>
        <w:t xml:space="preserve">, recorded blackout </w:t>
      </w:r>
      <w:r>
        <w:drawing>
          <wp:inline xmlns:a="http://schemas.openxmlformats.org/drawingml/2006/main" xmlns:pic="http://schemas.openxmlformats.org/drawingml/2006/picture">
            <wp:extent cx="1106985" cy="140291"/>
            <wp:docPr id="104" name="Picture 104"/>
            <wp:cNvGraphicFramePr>
              <a:graphicFrameLocks noChangeAspect="1"/>
            </wp:cNvGraphicFramePr>
            <a:graphic>
              <a:graphicData uri="http://schemas.openxmlformats.org/drawingml/2006/picture">
                <pic:pic>
                  <pic:nvPicPr>
                    <pic:cNvPr id="0" name="eq-100.png"/>
                    <pic:cNvPicPr/>
                  </pic:nvPicPr>
                  <pic:blipFill>
                    <a:blip r:embed="rId104"/>
                    <a:stretch>
                      <a:fillRect/>
                    </a:stretch>
                  </pic:blipFill>
                  <pic:spPr>
                    <a:xfrm>
                      <a:off x="0" y="0"/>
                      <a:ext cx="1106985" cy="140291"/>
                    </a:xfrm>
                    <a:prstGeom prst="rect"/>
                  </pic:spPr>
                </pic:pic>
              </a:graphicData>
            </a:graphic>
          </wp:inline>
        </w:drawing>
      </w:r>
      <w:r>
        <w:rPr>
          <w:b w:val="0"/>
          <w:i w:val="0"/>
        </w:rPr>
        <w:t xml:space="preserve">, actual demand </w:t>
      </w:r>
      <w:r>
        <w:drawing>
          <wp:inline xmlns:a="http://schemas.openxmlformats.org/drawingml/2006/main" xmlns:pic="http://schemas.openxmlformats.org/drawingml/2006/picture">
            <wp:extent cx="1405658" cy="140128"/>
            <wp:docPr id="105" name="Picture 105"/>
            <wp:cNvGraphicFramePr>
              <a:graphicFrameLocks noChangeAspect="1"/>
            </wp:cNvGraphicFramePr>
            <a:graphic>
              <a:graphicData uri="http://schemas.openxmlformats.org/drawingml/2006/picture">
                <pic:pic>
                  <pic:nvPicPr>
                    <pic:cNvPr id="0" name="eq-105.png"/>
                    <pic:cNvPicPr/>
                  </pic:nvPicPr>
                  <pic:blipFill>
                    <a:blip r:embed="rId108"/>
                    <a:stretch>
                      <a:fillRect/>
                    </a:stretch>
                  </pic:blipFill>
                  <pic:spPr>
                    <a:xfrm>
                      <a:off x="0" y="0"/>
                      <a:ext cx="1405658" cy="140128"/>
                    </a:xfrm>
                    <a:prstGeom prst="rect"/>
                  </pic:spPr>
                </pic:pic>
              </a:graphicData>
            </a:graphic>
          </wp:inline>
        </w:drawing>
      </w:r>
      <w:r>
        <w:rPr>
          <w:b w:val="0"/>
          <w:i w:val="0"/>
        </w:rPr>
        <w:t xml:space="preserve">, storage charge </w:t>
      </w:r>
      <w:r>
        <w:drawing>
          <wp:inline xmlns:a="http://schemas.openxmlformats.org/drawingml/2006/main" xmlns:pic="http://schemas.openxmlformats.org/drawingml/2006/picture">
            <wp:extent cx="1553752" cy="155594"/>
            <wp:docPr id="106" name="Picture 106"/>
            <wp:cNvGraphicFramePr>
              <a:graphicFrameLocks noChangeAspect="1"/>
            </wp:cNvGraphicFramePr>
            <a:graphic>
              <a:graphicData uri="http://schemas.openxmlformats.org/drawingml/2006/picture">
                <pic:pic>
                  <pic:nvPicPr>
                    <pic:cNvPr id="0" name="eq-106.png"/>
                    <pic:cNvPicPr/>
                  </pic:nvPicPr>
                  <pic:blipFill>
                    <a:blip r:embed="rId109"/>
                    <a:stretch>
                      <a:fillRect/>
                    </a:stretch>
                  </pic:blipFill>
                  <pic:spPr>
                    <a:xfrm>
                      <a:off x="0" y="0"/>
                      <a:ext cx="1553752" cy="155594"/>
                    </a:xfrm>
                    <a:prstGeom prst="rect"/>
                  </pic:spPr>
                </pic:pic>
              </a:graphicData>
            </a:graphic>
          </wp:inline>
        </w:drawing>
      </w:r>
      <w:r>
        <w:rPr>
          <w:b w:val="0"/>
          <w:i w:val="0"/>
        </w:rPr>
        <w:t xml:space="preserve">, exports </w:t>
      </w:r>
      <w:r>
        <w:drawing>
          <wp:inline xmlns:a="http://schemas.openxmlformats.org/drawingml/2006/main" xmlns:pic="http://schemas.openxmlformats.org/drawingml/2006/picture">
            <wp:extent cx="951369" cy="153447"/>
            <wp:docPr id="107" name="Picture 107"/>
            <wp:cNvGraphicFramePr>
              <a:graphicFrameLocks noChangeAspect="1"/>
            </wp:cNvGraphicFramePr>
            <a:graphic>
              <a:graphicData uri="http://schemas.openxmlformats.org/drawingml/2006/picture">
                <pic:pic>
                  <pic:nvPicPr>
                    <pic:cNvPr id="0" name="eq-107.png"/>
                    <pic:cNvPicPr/>
                  </pic:nvPicPr>
                  <pic:blipFill>
                    <a:blip r:embed="rId110"/>
                    <a:stretch>
                      <a:fillRect/>
                    </a:stretch>
                  </pic:blipFill>
                  <pic:spPr>
                    <a:xfrm>
                      <a:off x="0" y="0"/>
                      <a:ext cx="951369" cy="153447"/>
                    </a:xfrm>
                    <a:prstGeom prst="rect"/>
                  </pic:spPr>
                </pic:pic>
              </a:graphicData>
            </a:graphic>
          </wp:inline>
        </w:drawing>
      </w:r>
      <w:r>
        <w:rPr>
          <w:b w:val="0"/>
          <w:i w:val="0"/>
        </w:rPr>
        <w:t xml:space="preserve">, flexible demand </w:t>
      </w:r>
      <w:r>
        <w:drawing>
          <wp:inline xmlns:a="http://schemas.openxmlformats.org/drawingml/2006/main" xmlns:pic="http://schemas.openxmlformats.org/drawingml/2006/picture">
            <wp:extent cx="1653212" cy="142330"/>
            <wp:docPr id="108" name="Picture 108"/>
            <wp:cNvGraphicFramePr>
              <a:graphicFrameLocks noChangeAspect="1"/>
            </wp:cNvGraphicFramePr>
            <a:graphic>
              <a:graphicData uri="http://schemas.openxmlformats.org/drawingml/2006/picture">
                <pic:pic>
                  <pic:nvPicPr>
                    <pic:cNvPr id="0" name="eq-108.png"/>
                    <pic:cNvPicPr/>
                  </pic:nvPicPr>
                  <pic:blipFill>
                    <a:blip r:embed="rId111"/>
                    <a:stretch>
                      <a:fillRect/>
                    </a:stretch>
                  </pic:blipFill>
                  <pic:spPr>
                    <a:xfrm>
                      <a:off x="0" y="0"/>
                      <a:ext cx="1653212" cy="142330"/>
                    </a:xfrm>
                    <a:prstGeom prst="rect"/>
                  </pic:spPr>
                </pic:pic>
              </a:graphicData>
            </a:graphic>
          </wp:inline>
        </w:drawing>
      </w:r>
      <w:r>
        <w:rPr>
          <w:b w:val="0"/>
          <w:i w:val="0"/>
        </w:rPr>
        <w:t xml:space="preserve"> and non-VRE spill </w:t>
      </w:r>
      <w:r>
        <w:drawing>
          <wp:inline xmlns:a="http://schemas.openxmlformats.org/drawingml/2006/main" xmlns:pic="http://schemas.openxmlformats.org/drawingml/2006/picture">
            <wp:extent cx="1438884" cy="153306"/>
            <wp:docPr id="109" name="Picture 109"/>
            <wp:cNvGraphicFramePr>
              <a:graphicFrameLocks noChangeAspect="1"/>
            </wp:cNvGraphicFramePr>
            <a:graphic>
              <a:graphicData uri="http://schemas.openxmlformats.org/drawingml/2006/picture">
                <pic:pic>
                  <pic:nvPicPr>
                    <pic:cNvPr id="0" name="eq-109.png"/>
                    <pic:cNvPicPr/>
                  </pic:nvPicPr>
                  <pic:blipFill>
                    <a:blip r:embed="rId112"/>
                    <a:stretch>
                      <a:fillRect/>
                    </a:stretch>
                  </pic:blipFill>
                  <pic:spPr>
                    <a:xfrm>
                      <a:off x="0" y="0"/>
                      <a:ext cx="1438884" cy="153306"/>
                    </a:xfrm>
                    <a:prstGeom prst="rect"/>
                  </pic:spPr>
                </pic:pic>
              </a:graphicData>
            </a:graphic>
          </wp:inline>
        </w:drawing>
      </w:r>
      <w:r>
        <w:rPr>
          <w:b w:val="0"/>
          <w:i w:val="0"/>
        </w:rPr>
        <w:t xml:space="preserve">, the </w:t>
      </w:r>
      <w:r>
        <w:rPr>
          <w:rFonts w:ascii="DejaVu Sans Mono" w:hAnsi="DejaVu Sans Mono"/>
          <w:b w:val="0"/>
          <w:i w:val="0"/>
          <w:sz w:val="17"/>
        </w:rPr>
        <w:t>native_​corrected_​full_​node_​v1</w:t>
      </w:r>
      <w:r>
        <w:rPr>
          <w:b w:val="0"/>
          <w:i w:val="0"/>
        </w:rPr>
        <w:t xml:space="preserve"> residual is</w:t>
      </w:r>
    </w:p>
    <w:p>
      <w:pPr>
        <w:spacing w:after="160"/>
        <w:jc w:val="center"/>
      </w:pPr>
      <w:r>
        <w:drawing>
          <wp:inline xmlns:a="http://schemas.openxmlformats.org/drawingml/2006/main" xmlns:pic="http://schemas.openxmlformats.org/drawingml/2006/picture">
            <wp:extent cx="6107811" cy="621753"/>
            <wp:docPr id="110" name="Picture 110"/>
            <wp:cNvGraphicFramePr>
              <a:graphicFrameLocks noChangeAspect="1"/>
            </wp:cNvGraphicFramePr>
            <a:graphic>
              <a:graphicData uri="http://schemas.openxmlformats.org/drawingml/2006/picture">
                <pic:pic>
                  <pic:nvPicPr>
                    <pic:cNvPr id="0" name="eq-110.png"/>
                    <pic:cNvPicPr/>
                  </pic:nvPicPr>
                  <pic:blipFill>
                    <a:blip r:embed="rId113"/>
                    <a:stretch>
                      <a:fillRect/>
                    </a:stretch>
                  </pic:blipFill>
                  <pic:spPr>
                    <a:xfrm>
                      <a:off x="0" y="0"/>
                      <a:ext cx="6107811" cy="621753"/>
                    </a:xfrm>
                    <a:prstGeom prst="rect"/>
                  </pic:spPr>
                </pic:pic>
              </a:graphicData>
            </a:graphic>
          </wp:inline>
        </w:drawing>
      </w:r>
    </w:p>
    <w:p>
      <w:pPr>
        <w:keepNext/>
      </w:pPr>
      <w:r>
        <w:rPr>
          <w:b w:val="0"/>
          <w:i w:val="0"/>
        </w:rPr>
        <w:t xml:space="preserve">The doctoral reproduction profile uses </w:t>
      </w:r>
      <w:r>
        <w:rPr>
          <w:rFonts w:ascii="DejaVu Sans Mono" w:hAnsi="DejaVu Sans Mono"/>
          <w:b w:val="0"/>
          <w:i w:val="0"/>
          <w:sz w:val="17"/>
        </w:rPr>
        <w:t>default_​psm_​surplus_​node_​v1</w:t>
      </w:r>
      <w:r>
        <w:rPr>
          <w:b w:val="0"/>
          <w:i w:val="0"/>
        </w:rPr>
        <w:t xml:space="preserve">. Its out-of-dispatch renewable surplus supplied to storage, exports or electrolysis is </w:t>
      </w:r>
      <w:r>
        <w:drawing>
          <wp:inline xmlns:a="http://schemas.openxmlformats.org/drawingml/2006/main" xmlns:pic="http://schemas.openxmlformats.org/drawingml/2006/picture">
            <wp:extent cx="900471" cy="140219"/>
            <wp:docPr id="111" name="Picture 111"/>
            <wp:cNvGraphicFramePr>
              <a:graphicFrameLocks noChangeAspect="1"/>
            </wp:cNvGraphicFramePr>
            <a:graphic>
              <a:graphicData uri="http://schemas.openxmlformats.org/drawingml/2006/picture">
                <pic:pic>
                  <pic:nvPicPr>
                    <pic:cNvPr id="0" name="eq-111.png"/>
                    <pic:cNvPicPr/>
                  </pic:nvPicPr>
                  <pic:blipFill>
                    <a:blip r:embed="rId114"/>
                    <a:stretch>
                      <a:fillRect/>
                    </a:stretch>
                  </pic:blipFill>
                  <pic:spPr>
                    <a:xfrm>
                      <a:off x="0" y="0"/>
                      <a:ext cx="900471" cy="140219"/>
                    </a:xfrm>
                    <a:prstGeom prst="rect"/>
                  </pic:spPr>
                </pic:pic>
              </a:graphicData>
            </a:graphic>
          </wp:inline>
        </w:drawing>
      </w:r>
      <w:r>
        <w:rPr>
          <w:b w:val="0"/>
          <w:i w:val="0"/>
        </w:rPr>
        <w:t xml:space="preserve">, and its already-accepted surplus finally spilled is </w:t>
      </w:r>
      <w:r>
        <w:drawing>
          <wp:inline xmlns:a="http://schemas.openxmlformats.org/drawingml/2006/main" xmlns:pic="http://schemas.openxmlformats.org/drawingml/2006/picture">
            <wp:extent cx="826935" cy="140382"/>
            <wp:docPr id="112" name="Picture 112"/>
            <wp:cNvGraphicFramePr>
              <a:graphicFrameLocks noChangeAspect="1"/>
            </wp:cNvGraphicFramePr>
            <a:graphic>
              <a:graphicData uri="http://schemas.openxmlformats.org/drawingml/2006/picture">
                <pic:pic>
                  <pic:nvPicPr>
                    <pic:cNvPr id="0" name="eq-112.png"/>
                    <pic:cNvPicPr/>
                  </pic:nvPicPr>
                  <pic:blipFill>
                    <a:blip r:embed="rId115"/>
                    <a:stretch>
                      <a:fillRect/>
                    </a:stretch>
                  </pic:blipFill>
                  <pic:spPr>
                    <a:xfrm>
                      <a:off x="0" y="0"/>
                      <a:ext cx="826935" cy="140382"/>
                    </a:xfrm>
                    <a:prstGeom prst="rect"/>
                  </pic:spPr>
                </pic:pic>
              </a:graphicData>
            </a:graphic>
          </wp:inline>
        </w:drawing>
      </w:r>
      <w:r>
        <w:rPr>
          <w:b w:val="0"/>
          <w:i w:val="0"/>
        </w:rPr>
        <w:t>:</w:t>
      </w:r>
    </w:p>
    <w:p>
      <w:pPr>
        <w:spacing w:after="160"/>
        <w:jc w:val="center"/>
      </w:pPr>
      <w:r>
        <w:drawing>
          <wp:inline xmlns:a="http://schemas.openxmlformats.org/drawingml/2006/main" xmlns:pic="http://schemas.openxmlformats.org/drawingml/2006/picture">
            <wp:extent cx="4833747" cy="845620"/>
            <wp:docPr id="113" name="Picture 113"/>
            <wp:cNvGraphicFramePr>
              <a:graphicFrameLocks noChangeAspect="1"/>
            </wp:cNvGraphicFramePr>
            <a:graphic>
              <a:graphicData uri="http://schemas.openxmlformats.org/drawingml/2006/picture">
                <pic:pic>
                  <pic:nvPicPr>
                    <pic:cNvPr id="0" name="eq-113.png"/>
                    <pic:cNvPicPr/>
                  </pic:nvPicPr>
                  <pic:blipFill>
                    <a:blip r:embed="rId116"/>
                    <a:stretch>
                      <a:fillRect/>
                    </a:stretch>
                  </pic:blipFill>
                  <pic:spPr>
                    <a:xfrm>
                      <a:off x="0" y="0"/>
                      <a:ext cx="4833747" cy="845620"/>
                    </a:xfrm>
                    <a:prstGeom prst="rect"/>
                  </pic:spPr>
                </pic:pic>
              </a:graphicData>
            </a:graphic>
          </wp:inline>
        </w:drawing>
      </w:r>
    </w:p>
    <w:p>
      <w:pPr>
        <w:keepNext/>
      </w:pPr>
      <w:r>
        <w:rPr>
          <w:b w:val="0"/>
          <w:i w:val="0"/>
        </w:rPr>
        <w:t>The compatibility adjustment absorbs numerical noise within the declared tolerance. Native uses</w:t>
      </w:r>
    </w:p>
    <w:p>
      <w:pPr>
        <w:spacing w:after="160"/>
        <w:jc w:val="center"/>
      </w:pPr>
      <w:r>
        <w:drawing>
          <wp:inline xmlns:a="http://schemas.openxmlformats.org/drawingml/2006/main" xmlns:pic="http://schemas.openxmlformats.org/drawingml/2006/picture">
            <wp:extent cx="6217920" cy="782702"/>
            <wp:docPr id="114" name="Picture 114"/>
            <wp:cNvGraphicFramePr>
              <a:graphicFrameLocks noChangeAspect="1"/>
            </wp:cNvGraphicFramePr>
            <a:graphic>
              <a:graphicData uri="http://schemas.openxmlformats.org/drawingml/2006/picture">
                <pic:pic>
                  <pic:nvPicPr>
                    <pic:cNvPr id="0" name="eq-114.png"/>
                    <pic:cNvPicPr/>
                  </pic:nvPicPr>
                  <pic:blipFill>
                    <a:blip r:embed="rId117"/>
                    <a:stretch>
                      <a:fillRect/>
                    </a:stretch>
                  </pic:blipFill>
                  <pic:spPr>
                    <a:xfrm>
                      <a:off x="0" y="0"/>
                      <a:ext cx="6217920" cy="782702"/>
                    </a:xfrm>
                    <a:prstGeom prst="rect"/>
                  </pic:spPr>
                </pic:pic>
              </a:graphicData>
            </a:graphic>
          </wp:inline>
        </w:drawing>
      </w:r>
    </w:p>
    <w:p>
      <w:r>
        <w:rPr>
          <w:b w:val="0"/>
          <w:i w:val="0"/>
        </w:rPr>
        <w:t xml:space="preserve">The corresponding LP tolerances are </w:t>
      </w:r>
      <w:r>
        <w:drawing>
          <wp:inline xmlns:a="http://schemas.openxmlformats.org/drawingml/2006/main" xmlns:pic="http://schemas.openxmlformats.org/drawingml/2006/picture">
            <wp:extent cx="328247" cy="146617"/>
            <wp:docPr id="115" name="Picture 115"/>
            <wp:cNvGraphicFramePr>
              <a:graphicFrameLocks noChangeAspect="1"/>
            </wp:cNvGraphicFramePr>
            <a:graphic>
              <a:graphicData uri="http://schemas.openxmlformats.org/drawingml/2006/picture">
                <pic:pic>
                  <pic:nvPicPr>
                    <pic:cNvPr id="0" name="eq-115.png"/>
                    <pic:cNvPicPr/>
                  </pic:nvPicPr>
                  <pic:blipFill>
                    <a:blip r:embed="rId118"/>
                    <a:stretch>
                      <a:fillRect/>
                    </a:stretch>
                  </pic:blipFill>
                  <pic:spPr>
                    <a:xfrm>
                      <a:off x="0" y="0"/>
                      <a:ext cx="328247" cy="146617"/>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328247" cy="146617"/>
            <wp:docPr id="116" name="Picture 116"/>
            <wp:cNvGraphicFramePr>
              <a:graphicFrameLocks noChangeAspect="1"/>
            </wp:cNvGraphicFramePr>
            <a:graphic>
              <a:graphicData uri="http://schemas.openxmlformats.org/drawingml/2006/picture">
                <pic:pic>
                  <pic:nvPicPr>
                    <pic:cNvPr id="0" name="eq-116.png"/>
                    <pic:cNvPicPr/>
                  </pic:nvPicPr>
                  <pic:blipFill>
                    <a:blip r:embed="rId119"/>
                    <a:stretch>
                      <a:fillRect/>
                    </a:stretch>
                  </pic:blipFill>
                  <pic:spPr>
                    <a:xfrm>
                      <a:off x="0" y="0"/>
                      <a:ext cx="328247" cy="146617"/>
                    </a:xfrm>
                    <a:prstGeom prst="rect"/>
                  </pic:spPr>
                </pic:pic>
              </a:graphicData>
            </a:graphic>
          </wp:inline>
        </w:drawing>
      </w:r>
      <w:r>
        <w:rPr>
          <w:b w:val="0"/>
          <w:i w:val="0"/>
        </w:rPr>
        <w:t xml:space="preserve">. Residuals outside this tolerance remain in the physical balance. </w:t>
      </w:r>
      <w:r>
        <w:rPr>
          <w:rFonts w:ascii="DejaVu Sans Mono" w:hAnsi="DejaVu Sans Mono"/>
          <w:b w:val="0"/>
          <w:i w:val="0"/>
          <w:sz w:val="17"/>
        </w:rPr>
        <w:t>native_balance_audit.py</w:t>
      </w:r>
      <w:r>
        <w:rPr>
          <w:b w:val="0"/>
          <w:i w:val="0"/>
        </w:rPr>
        <w:t xml:space="preserve">, </w:t>
      </w:r>
      <w:r>
        <w:rPr>
          <w:rFonts w:ascii="DejaVu Sans Mono" w:hAnsi="DejaVu Sans Mono"/>
          <w:b w:val="0"/>
          <w:i w:val="0"/>
          <w:sz w:val="17"/>
        </w:rPr>
        <w:t>energy_​balance_​contract.py</w:t>
      </w:r>
      <w:r>
        <w:rPr>
          <w:b w:val="0"/>
          <w:i w:val="0"/>
        </w:rPr>
        <w:t xml:space="preserve"> and </w:t>
      </w:r>
      <w:r>
        <w:rPr>
          <w:rFonts w:ascii="DejaVu Sans Mono" w:hAnsi="DejaVu Sans Mono"/>
          <w:b w:val="0"/>
          <w:i w:val="0"/>
          <w:sz w:val="17"/>
        </w:rPr>
        <w:t>energy_​balance_​oracle.py</w:t>
      </w:r>
      <w:r>
        <w:rPr>
          <w:b w:val="0"/>
          <w:i w:val="0"/>
        </w:rPr>
        <w:t xml:space="preserve"> connect the ledger's supply boundary to these checks.</w:t>
      </w:r>
    </w:p>
    <w:p>
      <w:pPr>
        <w:keepNext/>
      </w:pPr>
      <w:r>
        <w:rPr>
          <w:b w:val="0"/>
          <w:i w:val="0"/>
        </w:rPr>
        <w:t>The energy account books the full unmet-demand quantity before distinguishing recorded blackout from additional stress shortfall:</w:t>
      </w:r>
    </w:p>
    <w:p>
      <w:pPr>
        <w:spacing w:after="160"/>
        <w:jc w:val="center"/>
      </w:pPr>
      <w:r>
        <w:drawing>
          <wp:inline xmlns:a="http://schemas.openxmlformats.org/drawingml/2006/main" xmlns:pic="http://schemas.openxmlformats.org/drawingml/2006/picture">
            <wp:extent cx="5813374" cy="395483"/>
            <wp:docPr id="117" name="Picture 117"/>
            <wp:cNvGraphicFramePr>
              <a:graphicFrameLocks noChangeAspect="1"/>
            </wp:cNvGraphicFramePr>
            <a:graphic>
              <a:graphicData uri="http://schemas.openxmlformats.org/drawingml/2006/picture">
                <pic:pic>
                  <pic:nvPicPr>
                    <pic:cNvPr id="0" name="eq-117.png"/>
                    <pic:cNvPicPr/>
                  </pic:nvPicPr>
                  <pic:blipFill>
                    <a:blip r:embed="rId120"/>
                    <a:stretch>
                      <a:fillRect/>
                    </a:stretch>
                  </pic:blipFill>
                  <pic:spPr>
                    <a:xfrm>
                      <a:off x="0" y="0"/>
                      <a:ext cx="5813374" cy="395483"/>
                    </a:xfrm>
                    <a:prstGeom prst="rect"/>
                  </pic:spPr>
                </pic:pic>
              </a:graphicData>
            </a:graphic>
          </wp:inline>
        </w:drawing>
      </w:r>
    </w:p>
    <w:p>
      <w:r>
        <w:rPr>
          <w:b w:val="0"/>
          <w:i w:val="0"/>
        </w:rPr>
        <w:t xml:space="preserve">A period whose sole imbalance is unmet demand closes with </w:t>
      </w:r>
      <w:r>
        <w:drawing>
          <wp:inline xmlns:a="http://schemas.openxmlformats.org/drawingml/2006/main" xmlns:pic="http://schemas.openxmlformats.org/drawingml/2006/picture">
            <wp:extent cx="1921579" cy="155567"/>
            <wp:docPr id="118" name="Picture 118"/>
            <wp:cNvGraphicFramePr>
              <a:graphicFrameLocks noChangeAspect="1"/>
            </wp:cNvGraphicFramePr>
            <a:graphic>
              <a:graphicData uri="http://schemas.openxmlformats.org/drawingml/2006/picture">
                <pic:pic>
                  <pic:nvPicPr>
                    <pic:cNvPr id="0" name="eq-118.png"/>
                    <pic:cNvPicPr/>
                  </pic:nvPicPr>
                  <pic:blipFill>
                    <a:blip r:embed="rId121"/>
                    <a:stretch>
                      <a:fillRect/>
                    </a:stretch>
                  </pic:blipFill>
                  <pic:spPr>
                    <a:xfrm>
                      <a:off x="0" y="0"/>
                      <a:ext cx="1921579" cy="155567"/>
                    </a:xfrm>
                    <a:prstGeom prst="rect"/>
                  </pic:spPr>
                </pic:pic>
              </a:graphicData>
            </a:graphic>
          </wp:inline>
        </w:drawing>
      </w:r>
      <w:r>
        <w:rPr>
          <w:b w:val="0"/>
          <w:i w:val="0"/>
        </w:rPr>
        <w:t xml:space="preserve"> and is recorded as a stress period. Consecutive stress periods within a year form one event. Annual reporting gives event count, period count and shortfall MWh. The additional stress quantity used with recorded blackout follows the account's separation, so Chapter 4 subtracts each unmet-demand component once from demand.</w:t>
      </w:r>
    </w:p>
    <w:p>
      <w:r>
        <w:rPr>
          <w:b w:val="0"/>
          <w:i w:val="0"/>
        </w:rPr>
        <w:t xml:space="preserve">Annual qualification checks three groups: run invariants; energy balance and ledger consistency, including surplus conservation and </w:t>
      </w:r>
      <w:r>
        <w:drawing>
          <wp:inline xmlns:a="http://schemas.openxmlformats.org/drawingml/2006/main" xmlns:pic="http://schemas.openxmlformats.org/drawingml/2006/picture">
            <wp:extent cx="5014626" cy="190595"/>
            <wp:docPr id="119" name="Picture 119"/>
            <wp:cNvGraphicFramePr>
              <a:graphicFrameLocks noChangeAspect="1"/>
            </wp:cNvGraphicFramePr>
            <a:graphic>
              <a:graphicData uri="http://schemas.openxmlformats.org/drawingml/2006/picture">
                <pic:pic>
                  <pic:nvPicPr>
                    <pic:cNvPr id="0" name="eq-119.png"/>
                    <pic:cNvPicPr/>
                  </pic:nvPicPr>
                  <pic:blipFill>
                    <a:blip r:embed="rId122"/>
                    <a:stretch>
                      <a:fillRect/>
                    </a:stretch>
                  </pic:blipFill>
                  <pic:spPr>
                    <a:xfrm>
                      <a:off x="0" y="0"/>
                      <a:ext cx="5014626" cy="190595"/>
                    </a:xfrm>
                    <a:prstGeom prst="rect"/>
                  </pic:spPr>
                </pic:pic>
              </a:graphicData>
            </a:graphic>
          </wp:inline>
        </w:drawing>
      </w:r>
      <w:r>
        <w:rPr>
          <w:b w:val="0"/>
          <w:i w:val="0"/>
        </w:rPr>
        <w:t>; and storage throughput, inventory bounds and batch reconciliation. Corrected annual economic results require all three groups to pass. Doctoral reproduction results require all raw invariants to pass for display on result pages. Stress events are reported as reliability outcomes. The annual state record also retains the Native inventory reset and the profile's surplus-boundary definition.</w:t>
      </w:r>
    </w:p>
    <w:p>
      <w:pPr>
        <w:pStyle w:val="Heading2"/>
      </w:pPr>
      <w:r>
        <w:rPr>
          <w:b w:val="0"/>
          <w:i w:val="0"/>
        </w:rPr>
        <w:t>Experimental pathway inputs</w:t>
      </w:r>
    </w:p>
    <w:p>
      <w:r>
        <w:rPr>
          <w:b w:val="0"/>
          <w:i w:val="0"/>
        </w:rPr>
        <w:t xml:space="preserve">The experimental national pathway uses frozen v1 weather, unit availability for nuclear and natural-flow hydro, and raw boundary prices under either methodology profile. The weather transformation uses its original radiation convention and unity loss factors. </w:t>
      </w:r>
      <w:r>
        <w:rPr>
          <w:rFonts w:ascii="DejaVu Sans Mono" w:hAnsi="DejaVu Sans Mono"/>
          <w:b w:val="0"/>
          <w:i w:val="0"/>
          <w:sz w:val="17"/>
        </w:rPr>
        <w:t>doctoral_​market_​factory.py</w:t>
      </w:r>
      <w:r>
        <w:rPr>
          <w:b w:val="0"/>
          <w:i w:val="0"/>
        </w:rPr>
        <w:t xml:space="preserve"> builds agents from complete rows of costs, efficiencies, ramps, opening output, downward prices and natural budgets. A new asset may reuse a row through </w:t>
      </w:r>
      <w:r>
        <w:rPr>
          <w:rFonts w:ascii="DejaVu Sans Mono" w:hAnsi="DejaVu Sans Mono"/>
          <w:b w:val="0"/>
          <w:i w:val="0"/>
          <w:sz w:val="17"/>
        </w:rPr>
        <w:t>doctoral_​parameter_​source_​id</w:t>
      </w:r>
      <w:r>
        <w:rPr>
          <w:b w:val="0"/>
          <w:i w:val="0"/>
        </w:rPr>
        <w:t>, retaining the row's ramp and budget values. Direct renewable electrolysis and the common electrolyser have zero capacity in this pathway.</w:t>
      </w:r>
    </w:p>
    <w:p>
      <w:r>
        <w:rPr>
          <w:b w:val="0"/>
          <w:i w:val="0"/>
        </w:rPr>
        <w:t xml:space="preserve">The module supports fixed-year dispatch and experimental annual cash accounts. It records </w:t>
      </w:r>
      <w:r>
        <w:rPr>
          <w:rFonts w:ascii="DejaVu Sans Mono" w:hAnsi="DejaVu Sans Mono"/>
          <w:b w:val="0"/>
          <w:i w:val="0"/>
          <w:sz w:val="17"/>
        </w:rPr>
        <w:t>scientific_​release_​eligible=false</w:t>
      </w:r>
      <w:r>
        <w:rPr>
          <w:b w:val="0"/>
          <w:i w:val="0"/>
        </w:rPr>
        <w:t xml:space="preserve"> and </w:t>
      </w:r>
      <w:r>
        <w:rPr>
          <w:rFonts w:ascii="DejaVu Sans Mono" w:hAnsi="DejaVu Sans Mono"/>
          <w:b w:val="0"/>
          <w:i w:val="0"/>
          <w:sz w:val="17"/>
        </w:rPr>
        <w:t>doctoral_​annual_​cem_​ready=false</w:t>
      </w:r>
      <w:r>
        <w:rPr>
          <w:b w:val="0"/>
          <w:i w:val="0"/>
        </w:rPr>
        <w:t xml:space="preserve">. Integration with </w:t>
      </w:r>
      <w:r>
        <w:rPr>
          <w:rFonts w:ascii="DejaVu Sans Mono" w:hAnsi="DejaVu Sans Mono"/>
          <w:b w:val="0"/>
          <w:i w:val="0"/>
          <w:sz w:val="17"/>
        </w:rPr>
        <w:t>agent-investment</w:t>
      </w:r>
      <w:r>
        <w:rPr>
          <w:b w:val="0"/>
          <w:i w:val="0"/>
        </w:rPr>
        <w:t xml:space="preserve"> requires the </w:t>
      </w:r>
      <w:r>
        <w:rPr>
          <w:rFonts w:ascii="DejaVu Sans Mono" w:hAnsi="DejaVu Sans Mono"/>
          <w:b w:val="0"/>
          <w:i w:val="0"/>
          <w:sz w:val="17"/>
        </w:rPr>
        <w:t>value.agent-cashflow/v1</w:t>
      </w:r>
      <w:r>
        <w:rPr>
          <w:b w:val="0"/>
          <w:i w:val="0"/>
        </w:rPr>
        <w:t xml:space="preserve"> account contract for eligible thermal decisions; this experimental PSM currently publishes </w:t>
      </w:r>
      <w:r>
        <w:rPr>
          <w:rFonts w:ascii="DejaVu Sans Mono" w:hAnsi="DejaVu Sans Mono"/>
          <w:b w:val="0"/>
          <w:i w:val="0"/>
          <w:sz w:val="17"/>
        </w:rPr>
        <w:t>doctoral_​cashflow_​inputs</w:t>
      </w:r>
      <w:r>
        <w:rPr>
          <w:b w:val="0"/>
          <w:i w:val="0"/>
        </w:rPr>
        <w:t>, so that combination stops at the investment-account requirement. The following equations describe the implemented period engine.</w:t>
      </w:r>
    </w:p>
    <w:p>
      <w:pPr>
        <w:pStyle w:val="Heading2"/>
      </w:pPr>
      <w:r>
        <w:rPr>
          <w:b w:val="0"/>
          <w:i w:val="0"/>
        </w:rPr>
        <w:t>Experimental batch inventory</w:t>
      </w:r>
    </w:p>
    <w:p>
      <w:pPr>
        <w:keepNext/>
      </w:pPr>
      <w:r>
        <w:rPr>
          <w:b w:val="0"/>
          <w:i w:val="0"/>
        </w:rPr>
        <w:t xml:space="preserve">The experimental kernel stores batches in </w:t>
      </w:r>
      <w:r>
        <w:rPr>
          <w:rFonts w:ascii="DejaVu Sans Mono" w:hAnsi="DejaVu Sans Mono"/>
          <w:b w:val="0"/>
          <w:i w:val="0"/>
          <w:sz w:val="17"/>
        </w:rPr>
        <w:t>stored_energy</w:t>
      </w:r>
      <w:r>
        <w:rPr>
          <w:b w:val="0"/>
          <w:i w:val="0"/>
        </w:rPr>
        <w:t xml:space="preserve"> as raw power-equivalent quantities: multiplying a batch by </w:t>
      </w:r>
      <w:r>
        <w:rPr>
          <w:rFonts w:ascii="DejaVu Sans Mono" w:hAnsi="DejaVu Sans Mono"/>
          <w:b w:val="0"/>
          <w:i w:val="0"/>
          <w:sz w:val="17"/>
        </w:rPr>
        <w:t>period_hours = 0.5</w:t>
      </w:r>
      <w:r>
        <w:rPr>
          <w:b w:val="0"/>
          <w:i w:val="0"/>
        </w:rPr>
        <w:t xml:space="preserve"> gives internal MWh. </w:t>
      </w:r>
      <w:r>
        <w:rPr>
          <w:rFonts w:ascii="DejaVu Sans Mono" w:hAnsi="DejaVu Sans Mono"/>
          <w:b w:val="0"/>
          <w:i w:val="0"/>
          <w:sz w:val="17"/>
        </w:rPr>
        <w:t>pool_limit</w:t>
      </w:r>
      <w:r>
        <w:rPr>
          <w:b w:val="0"/>
          <w:i w:val="0"/>
        </w:rPr>
        <w:t xml:space="preserve"> bounds the sum of these raw quantities, </w:t>
      </w:r>
      <w:r>
        <w:rPr>
          <w:rFonts w:ascii="DejaVu Sans Mono" w:hAnsi="DejaVu Sans Mono"/>
          <w:b w:val="0"/>
          <w:i w:val="0"/>
          <w:sz w:val="17"/>
        </w:rPr>
        <w:t>per_pool_limit</w:t>
      </w:r>
      <w:r>
        <w:rPr>
          <w:b w:val="0"/>
          <w:i w:val="0"/>
        </w:rPr>
        <w:t xml:space="preserve"> is delivered MW, and </w:t>
      </w:r>
      <w:r>
        <w:rPr>
          <w:rFonts w:ascii="DejaVu Sans Mono" w:hAnsi="DejaVu Sans Mono"/>
          <w:b w:val="0"/>
          <w:i w:val="0"/>
          <w:sz w:val="17"/>
        </w:rPr>
        <w:t>n_1</w:t>
      </w:r>
      <w:r>
        <w:rPr>
          <w:b w:val="0"/>
          <w:i w:val="0"/>
        </w:rPr>
        <w:t xml:space="preserve">, </w:t>
      </w:r>
      <w:r>
        <w:rPr>
          <w:rFonts w:ascii="DejaVu Sans Mono" w:hAnsi="DejaVu Sans Mono"/>
          <w:b w:val="0"/>
          <w:i w:val="0"/>
          <w:sz w:val="17"/>
        </w:rPr>
        <w:t>n_2</w:t>
      </w:r>
      <w:r>
        <w:rPr>
          <w:b w:val="0"/>
          <w:i w:val="0"/>
        </w:rPr>
        <w:t xml:space="preserve"> are charge and discharge efficiencies. Self-discharge uses the rates above. A batch charged at </w:t>
      </w:r>
      <w:r>
        <w:rPr>
          <w:rFonts w:ascii="DejaVu Sans Mono" w:hAnsi="DejaVu Sans Mono"/>
          <w:b w:val="0"/>
          <w:i w:val="0"/>
          <w:sz w:val="17"/>
        </w:rPr>
        <w:t>charge_period</w:t>
      </w:r>
      <w:r>
        <w:rPr>
          <w:b w:val="0"/>
          <w:i w:val="0"/>
        </w:rPr>
        <w:t xml:space="preserve"> and offered at </w:t>
      </w:r>
      <w:r>
        <w:rPr>
          <w:rFonts w:ascii="DejaVu Sans Mono" w:hAnsi="DejaVu Sans Mono"/>
          <w:b w:val="0"/>
          <w:i w:val="0"/>
          <w:sz w:val="17"/>
        </w:rPr>
        <w:t>period</w:t>
      </w:r>
      <w:r>
        <w:rPr>
          <w:b w:val="0"/>
          <w:i w:val="0"/>
        </w:rPr>
        <w:t xml:space="preserve"> has price</w:t>
      </w:r>
    </w:p>
    <w:p>
      <w:pPr>
        <w:spacing w:after="160"/>
        <w:jc w:val="center"/>
      </w:pPr>
      <w:r>
        <w:drawing>
          <wp:inline xmlns:a="http://schemas.openxmlformats.org/drawingml/2006/main" xmlns:pic="http://schemas.openxmlformats.org/drawingml/2006/picture">
            <wp:extent cx="5363870" cy="464137"/>
            <wp:docPr id="120" name="Picture 120"/>
            <wp:cNvGraphicFramePr>
              <a:graphicFrameLocks noChangeAspect="1"/>
            </wp:cNvGraphicFramePr>
            <a:graphic>
              <a:graphicData uri="http://schemas.openxmlformats.org/drawingml/2006/picture">
                <pic:pic>
                  <pic:nvPicPr>
                    <pic:cNvPr id="0" name="eq-120.png"/>
                    <pic:cNvPicPr/>
                  </pic:nvPicPr>
                  <pic:blipFill>
                    <a:blip r:embed="rId123"/>
                    <a:stretch>
                      <a:fillRect/>
                    </a:stretch>
                  </pic:blipFill>
                  <pic:spPr>
                    <a:xfrm>
                      <a:off x="0" y="0"/>
                      <a:ext cx="5363870" cy="464137"/>
                    </a:xfrm>
                    <a:prstGeom prst="rect"/>
                  </pic:spPr>
                </pic:pic>
              </a:graphicData>
            </a:graphic>
          </wp:inline>
        </w:drawing>
      </w:r>
    </w:p>
    <w:p>
      <w:r>
        <w:rPr>
          <w:b w:val="0"/>
          <w:i w:val="0"/>
        </w:rPr>
        <w:t xml:space="preserve">The prototype values are supplied by </w:t>
      </w:r>
      <w:r>
        <w:rPr>
          <w:rFonts w:ascii="DejaVu Sans Mono" w:hAnsi="DejaVu Sans Mono"/>
          <w:b w:val="0"/>
          <w:i w:val="0"/>
          <w:sz w:val="17"/>
        </w:rPr>
        <w:t>config.py</w:t>
      </w:r>
      <w:r>
        <w:rPr>
          <w:b w:val="0"/>
          <w:i w:val="0"/>
        </w:rPr>
        <w:t xml:space="preserve">, with complete parameter rows bound for each run by </w:t>
      </w:r>
      <w:r>
        <w:rPr>
          <w:rFonts w:ascii="DejaVu Sans Mono" w:hAnsi="DejaVu Sans Mono"/>
          <w:b w:val="0"/>
          <w:i w:val="0"/>
          <w:sz w:val="17"/>
        </w:rPr>
        <w:t>doctoral_​market_​factory.py</w:t>
      </w:r>
      <w:r>
        <w:rPr>
          <w:b w:val="0"/>
          <w:i w:val="0"/>
        </w:rPr>
        <w: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6"/>
        <w:gridCol w:w="1535"/>
        <w:gridCol w:w="1535"/>
        <w:gridCol w:w="1968"/>
        <w:gridCol w:w="2228"/>
      </w:tblGrid>
      <w:tr>
        <w:trPr>
          <w:cantSplit/>
          <w:tblHeader w:val="true"/>
        </w:trPr>
        <w:tc>
          <w:tcPr>
            <w:tcW w:type="dxa" w:w="2526"/>
            <w:vAlign w:val="center"/>
            <w:tcMar>
              <w:top w:w="90" w:type="dxa"/>
              <w:left w:w="90" w:type="dxa"/>
              <w:bottom w:w="90" w:type="dxa"/>
              <w:right w:w="90" w:type="dxa"/>
            </w:tcMar>
            <w:shd w:fill="EEEEEE"/>
          </w:tcPr>
          <w:p>
            <w:pPr>
              <w:spacing w:after="40" w:line="276" w:lineRule="auto"/>
            </w:pPr>
            <w:r>
              <w:rPr>
                <w:b/>
                <w:i w:val="0"/>
                <w:sz w:val="18"/>
              </w:rPr>
              <w:t>Prototype technology</w:t>
            </w:r>
          </w:p>
        </w:tc>
        <w:tc>
          <w:tcPr>
            <w:tcW w:type="dxa" w:w="1535"/>
            <w:vAlign w:val="center"/>
            <w:tcMar>
              <w:top w:w="90" w:type="dxa"/>
              <w:left w:w="90" w:type="dxa"/>
              <w:bottom w:w="90" w:type="dxa"/>
              <w:right w:w="90" w:type="dxa"/>
            </w:tcMar>
            <w:shd w:fill="EEEEEE"/>
          </w:tcPr>
          <w:p>
            <w:pPr>
              <w:spacing w:after="40" w:line="276" w:lineRule="auto"/>
            </w:pPr>
            <w:r>
              <w:rPr>
                <w:rFonts w:ascii="DejaVu Sans Mono" w:hAnsi="DejaVu Sans Mono"/>
                <w:b/>
                <w:i w:val="0"/>
                <w:sz w:val="18"/>
              </w:rPr>
              <w:t>n_1</w:t>
            </w:r>
          </w:p>
        </w:tc>
        <w:tc>
          <w:tcPr>
            <w:tcW w:type="dxa" w:w="1535"/>
            <w:vAlign w:val="center"/>
            <w:tcMar>
              <w:top w:w="90" w:type="dxa"/>
              <w:left w:w="90" w:type="dxa"/>
              <w:bottom w:w="90" w:type="dxa"/>
              <w:right w:w="90" w:type="dxa"/>
            </w:tcMar>
            <w:shd w:fill="EEEEEE"/>
          </w:tcPr>
          <w:p>
            <w:pPr>
              <w:spacing w:after="40" w:line="276" w:lineRule="auto"/>
            </w:pPr>
            <w:r>
              <w:rPr>
                <w:rFonts w:ascii="DejaVu Sans Mono" w:hAnsi="DejaVu Sans Mono"/>
                <w:b/>
                <w:i w:val="0"/>
                <w:sz w:val="18"/>
              </w:rPr>
              <w:t>n_2</w:t>
            </w:r>
          </w:p>
        </w:tc>
        <w:tc>
          <w:tcPr>
            <w:tcW w:type="dxa" w:w="1968"/>
            <w:vAlign w:val="center"/>
            <w:tcMar>
              <w:top w:w="90" w:type="dxa"/>
              <w:left w:w="90" w:type="dxa"/>
              <w:bottom w:w="90" w:type="dxa"/>
              <w:right w:w="90" w:type="dxa"/>
            </w:tcMar>
            <w:shd w:fill="EEEEEE"/>
          </w:tcPr>
          <w:p>
            <w:pPr>
              <w:spacing w:after="40" w:line="276" w:lineRule="auto"/>
            </w:pPr>
            <w:r>
              <w:rPr>
                <w:rFonts w:ascii="DejaVu Sans Mono" w:hAnsi="DejaVu Sans Mono"/>
                <w:b/>
                <w:i w:val="0"/>
                <w:sz w:val="18"/>
              </w:rPr>
              <w:t>storage_fee</w:t>
            </w:r>
          </w:p>
        </w:tc>
        <w:tc>
          <w:tcPr>
            <w:tcW w:type="dxa" w:w="2228"/>
            <w:vAlign w:val="center"/>
            <w:tcMar>
              <w:top w:w="90" w:type="dxa"/>
              <w:left w:w="90" w:type="dxa"/>
              <w:bottom w:w="90" w:type="dxa"/>
              <w:right w:w="90" w:type="dxa"/>
            </w:tcMar>
            <w:shd w:fill="EEEEEE"/>
          </w:tcPr>
          <w:p>
            <w:pPr>
              <w:spacing w:after="40" w:line="276" w:lineRule="auto"/>
            </w:pPr>
            <w:r>
              <w:rPr>
                <w:rFonts w:ascii="DejaVu Sans Mono" w:hAnsi="DejaVu Sans Mono"/>
                <w:b/>
                <w:i w:val="0"/>
                <w:sz w:val="18"/>
              </w:rPr>
              <w:t>per_storage_fee</w:t>
            </w:r>
          </w:p>
        </w:tc>
      </w:tr>
      <w:tr>
        <w:trPr>
          <w:cantSplit/>
        </w:trPr>
        <w:tc>
          <w:tcPr>
            <w:tcW w:type="dxa" w:w="2526"/>
            <w:vAlign w:val="center"/>
            <w:tcMar>
              <w:top w:w="90" w:type="dxa"/>
              <w:left w:w="90" w:type="dxa"/>
              <w:bottom w:w="90" w:type="dxa"/>
              <w:right w:w="90" w:type="dxa"/>
            </w:tcMar>
          </w:tcPr>
          <w:p>
            <w:pPr>
              <w:spacing w:after="40" w:line="276" w:lineRule="auto"/>
            </w:pPr>
            <w:r>
              <w:rPr>
                <w:b w:val="0"/>
                <w:i w:val="0"/>
                <w:sz w:val="18"/>
              </w:rPr>
              <w:t>Pumped hydro</w:t>
            </w:r>
          </w:p>
        </w:tc>
        <w:tc>
          <w:tcPr>
            <w:tcW w:type="dxa" w:w="1535"/>
            <w:vAlign w:val="center"/>
            <w:tcMar>
              <w:top w:w="90" w:type="dxa"/>
              <w:left w:w="90" w:type="dxa"/>
              <w:bottom w:w="90" w:type="dxa"/>
              <w:right w:w="90" w:type="dxa"/>
            </w:tcMar>
          </w:tcPr>
          <w:p>
            <w:pPr>
              <w:spacing w:after="40" w:line="276" w:lineRule="auto"/>
            </w:pPr>
            <w:r>
              <w:rPr>
                <w:b w:val="0"/>
                <w:i w:val="0"/>
                <w:sz w:val="18"/>
              </w:rPr>
              <w:t>0.87</w:t>
            </w:r>
          </w:p>
        </w:tc>
        <w:tc>
          <w:tcPr>
            <w:tcW w:type="dxa" w:w="1535"/>
            <w:vAlign w:val="center"/>
            <w:tcMar>
              <w:top w:w="90" w:type="dxa"/>
              <w:left w:w="90" w:type="dxa"/>
              <w:bottom w:w="90" w:type="dxa"/>
              <w:right w:w="90" w:type="dxa"/>
            </w:tcMar>
          </w:tcPr>
          <w:p>
            <w:pPr>
              <w:spacing w:after="40" w:line="276" w:lineRule="auto"/>
            </w:pPr>
            <w:r>
              <w:rPr>
                <w:b w:val="0"/>
                <w:i w:val="0"/>
                <w:sz w:val="18"/>
              </w:rPr>
              <w:t>0.87</w:t>
            </w:r>
          </w:p>
        </w:tc>
        <w:tc>
          <w:tcPr>
            <w:tcW w:type="dxa" w:w="1968"/>
            <w:vAlign w:val="center"/>
            <w:tcMar>
              <w:top w:w="90" w:type="dxa"/>
              <w:left w:w="90" w:type="dxa"/>
              <w:bottom w:w="90" w:type="dxa"/>
              <w:right w:w="90" w:type="dxa"/>
            </w:tcMar>
          </w:tcPr>
          <w:p>
            <w:pPr>
              <w:spacing w:after="40" w:line="276" w:lineRule="auto"/>
            </w:pPr>
            <w:r>
              <w:rPr>
                <w:b w:val="0"/>
                <w:i w:val="0"/>
                <w:sz w:val="18"/>
              </w:rPr>
              <w:t>0</w:t>
            </w:r>
          </w:p>
        </w:tc>
        <w:tc>
          <w:tcPr>
            <w:tcW w:type="dxa" w:w="2228"/>
            <w:vAlign w:val="center"/>
            <w:tcMar>
              <w:top w:w="90" w:type="dxa"/>
              <w:left w:w="90" w:type="dxa"/>
              <w:bottom w:w="90" w:type="dxa"/>
              <w:right w:w="90" w:type="dxa"/>
            </w:tcMar>
          </w:tcPr>
          <w:p>
            <w:pPr>
              <w:spacing w:after="40" w:line="276" w:lineRule="auto"/>
            </w:pPr>
            <w:r>
              <w:rPr>
                <w:b w:val="0"/>
                <w:i w:val="0"/>
                <w:sz w:val="18"/>
              </w:rPr>
              <w:t>1.1008</w:t>
            </w:r>
          </w:p>
        </w:tc>
      </w:tr>
      <w:tr>
        <w:trPr>
          <w:cantSplit/>
        </w:trPr>
        <w:tc>
          <w:tcPr>
            <w:tcW w:type="dxa" w:w="2526"/>
            <w:vAlign w:val="center"/>
            <w:tcMar>
              <w:top w:w="90" w:type="dxa"/>
              <w:left w:w="90" w:type="dxa"/>
              <w:bottom w:w="90" w:type="dxa"/>
              <w:right w:w="90" w:type="dxa"/>
            </w:tcMar>
          </w:tcPr>
          <w:p>
            <w:pPr>
              <w:spacing w:after="40" w:line="276" w:lineRule="auto"/>
            </w:pPr>
            <w:r>
              <w:rPr>
                <w:b w:val="0"/>
                <w:i w:val="0"/>
                <w:sz w:val="18"/>
              </w:rPr>
              <w:t>1C battery</w:t>
            </w:r>
          </w:p>
        </w:tc>
        <w:tc>
          <w:tcPr>
            <w:tcW w:type="dxa" w:w="1535"/>
            <w:vAlign w:val="center"/>
            <w:tcMar>
              <w:top w:w="90" w:type="dxa"/>
              <w:left w:w="90" w:type="dxa"/>
              <w:bottom w:w="90" w:type="dxa"/>
              <w:right w:w="90" w:type="dxa"/>
            </w:tcMar>
          </w:tcPr>
          <w:p>
            <w:pPr>
              <w:spacing w:after="40" w:line="276" w:lineRule="auto"/>
            </w:pPr>
            <w:r>
              <w:rPr>
                <w:b w:val="0"/>
                <w:i w:val="0"/>
                <w:sz w:val="18"/>
              </w:rPr>
              <w:t>0.81</w:t>
            </w:r>
          </w:p>
        </w:tc>
        <w:tc>
          <w:tcPr>
            <w:tcW w:type="dxa" w:w="1535"/>
            <w:vAlign w:val="center"/>
            <w:tcMar>
              <w:top w:w="90" w:type="dxa"/>
              <w:left w:w="90" w:type="dxa"/>
              <w:bottom w:w="90" w:type="dxa"/>
              <w:right w:w="90" w:type="dxa"/>
            </w:tcMar>
          </w:tcPr>
          <w:p>
            <w:pPr>
              <w:spacing w:after="40" w:line="276" w:lineRule="auto"/>
            </w:pPr>
            <w:r>
              <w:rPr>
                <w:b w:val="0"/>
                <w:i w:val="0"/>
                <w:sz w:val="18"/>
              </w:rPr>
              <w:t>0.81</w:t>
            </w:r>
          </w:p>
        </w:tc>
        <w:tc>
          <w:tcPr>
            <w:tcW w:type="dxa" w:w="1968"/>
            <w:vAlign w:val="center"/>
            <w:tcMar>
              <w:top w:w="90" w:type="dxa"/>
              <w:left w:w="90" w:type="dxa"/>
              <w:bottom w:w="90" w:type="dxa"/>
              <w:right w:w="90" w:type="dxa"/>
            </w:tcMar>
          </w:tcPr>
          <w:p>
            <w:pPr>
              <w:spacing w:after="40" w:line="276" w:lineRule="auto"/>
            </w:pPr>
            <w:r>
              <w:rPr>
                <w:b w:val="0"/>
                <w:i w:val="0"/>
                <w:sz w:val="18"/>
              </w:rPr>
              <w:t>0</w:t>
            </w:r>
          </w:p>
        </w:tc>
        <w:tc>
          <w:tcPr>
            <w:tcW w:type="dxa" w:w="2228"/>
            <w:vAlign w:val="center"/>
            <w:tcMar>
              <w:top w:w="90" w:type="dxa"/>
              <w:left w:w="90" w:type="dxa"/>
              <w:bottom w:w="90" w:type="dxa"/>
              <w:right w:w="90" w:type="dxa"/>
            </w:tcMar>
          </w:tcPr>
          <w:p>
            <w:pPr>
              <w:spacing w:after="40" w:line="276" w:lineRule="auto"/>
            </w:pPr>
            <w:r>
              <w:rPr>
                <w:b w:val="0"/>
                <w:i w:val="0"/>
                <w:sz w:val="18"/>
              </w:rPr>
              <w:t>1.0558</w:t>
            </w:r>
          </w:p>
        </w:tc>
      </w:tr>
      <w:tr>
        <w:trPr>
          <w:cantSplit/>
        </w:trPr>
        <w:tc>
          <w:tcPr>
            <w:tcW w:type="dxa" w:w="2526"/>
            <w:vAlign w:val="center"/>
            <w:tcMar>
              <w:top w:w="90" w:type="dxa"/>
              <w:left w:w="90" w:type="dxa"/>
              <w:bottom w:w="90" w:type="dxa"/>
              <w:right w:w="90" w:type="dxa"/>
            </w:tcMar>
          </w:tcPr>
          <w:p>
            <w:pPr>
              <w:spacing w:after="40" w:line="276" w:lineRule="auto"/>
            </w:pPr>
            <w:r>
              <w:rPr>
                <w:b w:val="0"/>
                <w:i w:val="0"/>
                <w:sz w:val="18"/>
              </w:rPr>
              <w:t>0.25C battery</w:t>
            </w:r>
          </w:p>
        </w:tc>
        <w:tc>
          <w:tcPr>
            <w:tcW w:type="dxa" w:w="1535"/>
            <w:vAlign w:val="center"/>
            <w:tcMar>
              <w:top w:w="90" w:type="dxa"/>
              <w:left w:w="90" w:type="dxa"/>
              <w:bottom w:w="90" w:type="dxa"/>
              <w:right w:w="90" w:type="dxa"/>
            </w:tcMar>
          </w:tcPr>
          <w:p>
            <w:pPr>
              <w:spacing w:after="40" w:line="276" w:lineRule="auto"/>
            </w:pPr>
            <w:r>
              <w:rPr>
                <w:b w:val="0"/>
                <w:i w:val="0"/>
                <w:sz w:val="18"/>
              </w:rPr>
              <w:t>0.81</w:t>
            </w:r>
          </w:p>
        </w:tc>
        <w:tc>
          <w:tcPr>
            <w:tcW w:type="dxa" w:w="1535"/>
            <w:vAlign w:val="center"/>
            <w:tcMar>
              <w:top w:w="90" w:type="dxa"/>
              <w:left w:w="90" w:type="dxa"/>
              <w:bottom w:w="90" w:type="dxa"/>
              <w:right w:w="90" w:type="dxa"/>
            </w:tcMar>
          </w:tcPr>
          <w:p>
            <w:pPr>
              <w:spacing w:after="40" w:line="276" w:lineRule="auto"/>
            </w:pPr>
            <w:r>
              <w:rPr>
                <w:b w:val="0"/>
                <w:i w:val="0"/>
                <w:sz w:val="18"/>
              </w:rPr>
              <w:t>0.81</w:t>
            </w:r>
          </w:p>
        </w:tc>
        <w:tc>
          <w:tcPr>
            <w:tcW w:type="dxa" w:w="1968"/>
            <w:vAlign w:val="center"/>
            <w:tcMar>
              <w:top w:w="90" w:type="dxa"/>
              <w:left w:w="90" w:type="dxa"/>
              <w:bottom w:w="90" w:type="dxa"/>
              <w:right w:w="90" w:type="dxa"/>
            </w:tcMar>
          </w:tcPr>
          <w:p>
            <w:pPr>
              <w:spacing w:after="40" w:line="276" w:lineRule="auto"/>
            </w:pPr>
            <w:r>
              <w:rPr>
                <w:b w:val="0"/>
                <w:i w:val="0"/>
                <w:sz w:val="18"/>
              </w:rPr>
              <w:t>0</w:t>
            </w:r>
          </w:p>
        </w:tc>
        <w:tc>
          <w:tcPr>
            <w:tcW w:type="dxa" w:w="2228"/>
            <w:vAlign w:val="center"/>
            <w:tcMar>
              <w:top w:w="90" w:type="dxa"/>
              <w:left w:w="90" w:type="dxa"/>
              <w:bottom w:w="90" w:type="dxa"/>
              <w:right w:w="90" w:type="dxa"/>
            </w:tcMar>
          </w:tcPr>
          <w:p>
            <w:pPr>
              <w:spacing w:after="40" w:line="276" w:lineRule="auto"/>
            </w:pPr>
            <w:r>
              <w:rPr>
                <w:b w:val="0"/>
                <w:i w:val="0"/>
                <w:sz w:val="18"/>
              </w:rPr>
              <w:t>0.7369</w:t>
            </w:r>
          </w:p>
        </w:tc>
      </w:tr>
      <w:tr>
        <w:trPr>
          <w:cantSplit/>
        </w:trPr>
        <w:tc>
          <w:tcPr>
            <w:tcW w:type="dxa" w:w="2526"/>
            <w:vAlign w:val="center"/>
            <w:tcMar>
              <w:top w:w="90" w:type="dxa"/>
              <w:left w:w="90" w:type="dxa"/>
              <w:bottom w:w="90" w:type="dxa"/>
              <w:right w:w="90" w:type="dxa"/>
            </w:tcMar>
          </w:tcPr>
          <w:p>
            <w:pPr>
              <w:spacing w:after="40" w:line="276" w:lineRule="auto"/>
            </w:pPr>
            <w:r>
              <w:rPr>
                <w:b w:val="0"/>
                <w:i w:val="0"/>
                <w:sz w:val="18"/>
              </w:rPr>
              <w:t>0.5C battery</w:t>
            </w:r>
          </w:p>
        </w:tc>
        <w:tc>
          <w:tcPr>
            <w:tcW w:type="dxa" w:w="1535"/>
            <w:vAlign w:val="center"/>
            <w:tcMar>
              <w:top w:w="90" w:type="dxa"/>
              <w:left w:w="90" w:type="dxa"/>
              <w:bottom w:w="90" w:type="dxa"/>
              <w:right w:w="90" w:type="dxa"/>
            </w:tcMar>
          </w:tcPr>
          <w:p>
            <w:pPr>
              <w:spacing w:after="40" w:line="276" w:lineRule="auto"/>
            </w:pPr>
            <w:r>
              <w:rPr>
                <w:b w:val="0"/>
                <w:i w:val="0"/>
                <w:sz w:val="18"/>
              </w:rPr>
              <w:t>0.98</w:t>
            </w:r>
          </w:p>
        </w:tc>
        <w:tc>
          <w:tcPr>
            <w:tcW w:type="dxa" w:w="1535"/>
            <w:vAlign w:val="center"/>
            <w:tcMar>
              <w:top w:w="90" w:type="dxa"/>
              <w:left w:w="90" w:type="dxa"/>
              <w:bottom w:w="90" w:type="dxa"/>
              <w:right w:w="90" w:type="dxa"/>
            </w:tcMar>
          </w:tcPr>
          <w:p>
            <w:pPr>
              <w:spacing w:after="40" w:line="276" w:lineRule="auto"/>
            </w:pPr>
            <w:r>
              <w:rPr>
                <w:b w:val="0"/>
                <w:i w:val="0"/>
                <w:sz w:val="18"/>
              </w:rPr>
              <w:t>0.98</w:t>
            </w:r>
          </w:p>
        </w:tc>
        <w:tc>
          <w:tcPr>
            <w:tcW w:type="dxa" w:w="1968"/>
            <w:vAlign w:val="center"/>
            <w:tcMar>
              <w:top w:w="90" w:type="dxa"/>
              <w:left w:w="90" w:type="dxa"/>
              <w:bottom w:w="90" w:type="dxa"/>
              <w:right w:w="90" w:type="dxa"/>
            </w:tcMar>
          </w:tcPr>
          <w:p>
            <w:pPr>
              <w:spacing w:after="40" w:line="276" w:lineRule="auto"/>
            </w:pPr>
            <w:r>
              <w:rPr>
                <w:b w:val="0"/>
                <w:i w:val="0"/>
                <w:sz w:val="18"/>
              </w:rPr>
              <w:t>135.26</w:t>
            </w:r>
          </w:p>
        </w:tc>
        <w:tc>
          <w:tcPr>
            <w:tcW w:type="dxa" w:w="2228"/>
            <w:vAlign w:val="center"/>
            <w:tcMar>
              <w:top w:w="90" w:type="dxa"/>
              <w:left w:w="90" w:type="dxa"/>
              <w:bottom w:w="90" w:type="dxa"/>
              <w:right w:w="90" w:type="dxa"/>
            </w:tcMar>
          </w:tcPr>
          <w:p>
            <w:pPr>
              <w:spacing w:after="40" w:line="276" w:lineRule="auto"/>
            </w:pPr>
            <w:r>
              <w:rPr>
                <w:b w:val="0"/>
                <w:i w:val="0"/>
                <w:sz w:val="18"/>
              </w:rPr>
              <w:t>0.1736</w:t>
            </w:r>
          </w:p>
        </w:tc>
      </w:tr>
      <w:tr>
        <w:trPr>
          <w:cantSplit/>
        </w:trPr>
        <w:tc>
          <w:tcPr>
            <w:tcW w:type="dxa" w:w="2526"/>
            <w:vAlign w:val="center"/>
            <w:tcMar>
              <w:top w:w="90" w:type="dxa"/>
              <w:left w:w="90" w:type="dxa"/>
              <w:bottom w:w="90" w:type="dxa"/>
              <w:right w:w="90" w:type="dxa"/>
            </w:tcMar>
          </w:tcPr>
          <w:p>
            <w:pPr>
              <w:spacing w:after="40" w:line="276" w:lineRule="auto"/>
            </w:pPr>
            <w:r>
              <w:rPr>
                <w:b w:val="0"/>
                <w:i w:val="0"/>
                <w:sz w:val="18"/>
              </w:rPr>
              <w:t>Hydrogen storage</w:t>
            </w:r>
          </w:p>
        </w:tc>
        <w:tc>
          <w:tcPr>
            <w:tcW w:type="dxa" w:w="1535"/>
            <w:vAlign w:val="center"/>
            <w:tcMar>
              <w:top w:w="90" w:type="dxa"/>
              <w:left w:w="90" w:type="dxa"/>
              <w:bottom w:w="90" w:type="dxa"/>
              <w:right w:w="90" w:type="dxa"/>
            </w:tcMar>
          </w:tcPr>
          <w:p>
            <w:pPr>
              <w:spacing w:after="40" w:line="276" w:lineRule="auto"/>
            </w:pPr>
            <w:r>
              <w:rPr>
                <w:b w:val="0"/>
                <w:i w:val="0"/>
                <w:sz w:val="18"/>
              </w:rPr>
              <w:t>0.57</w:t>
            </w:r>
          </w:p>
        </w:tc>
        <w:tc>
          <w:tcPr>
            <w:tcW w:type="dxa" w:w="1535"/>
            <w:vAlign w:val="center"/>
            <w:tcMar>
              <w:top w:w="90" w:type="dxa"/>
              <w:left w:w="90" w:type="dxa"/>
              <w:bottom w:w="90" w:type="dxa"/>
              <w:right w:w="90" w:type="dxa"/>
            </w:tcMar>
          </w:tcPr>
          <w:p>
            <w:pPr>
              <w:spacing w:after="40" w:line="276" w:lineRule="auto"/>
            </w:pPr>
            <w:r>
              <w:rPr>
                <w:b w:val="0"/>
                <w:i w:val="0"/>
                <w:sz w:val="18"/>
              </w:rPr>
              <w:t>0.57</w:t>
            </w:r>
          </w:p>
        </w:tc>
        <w:tc>
          <w:tcPr>
            <w:tcW w:type="dxa" w:w="1968"/>
            <w:vAlign w:val="center"/>
            <w:tcMar>
              <w:top w:w="90" w:type="dxa"/>
              <w:left w:w="90" w:type="dxa"/>
              <w:bottom w:w="90" w:type="dxa"/>
              <w:right w:w="90" w:type="dxa"/>
            </w:tcMar>
          </w:tcPr>
          <w:p>
            <w:pPr>
              <w:spacing w:after="40" w:line="276" w:lineRule="auto"/>
            </w:pPr>
            <w:r>
              <w:rPr>
                <w:b w:val="0"/>
                <w:i w:val="0"/>
                <w:sz w:val="18"/>
              </w:rPr>
              <w:t>884.4</w:t>
            </w:r>
          </w:p>
        </w:tc>
        <w:tc>
          <w:tcPr>
            <w:tcW w:type="dxa" w:w="2228"/>
            <w:vAlign w:val="center"/>
            <w:tcMar>
              <w:top w:w="90" w:type="dxa"/>
              <w:left w:w="90" w:type="dxa"/>
              <w:bottom w:w="90" w:type="dxa"/>
              <w:right w:w="90" w:type="dxa"/>
            </w:tcMar>
          </w:tcPr>
          <w:p>
            <w:pPr>
              <w:spacing w:after="40" w:line="276" w:lineRule="auto"/>
            </w:pPr>
            <w:r>
              <w:rPr>
                <w:b w:val="0"/>
                <w:i w:val="0"/>
                <w:sz w:val="18"/>
              </w:rPr>
              <w:t>0.0055</w:t>
            </w:r>
          </w:p>
        </w:tc>
      </w:tr>
    </w:tbl>
    <w:p>
      <w:pPr>
        <w:spacing w:after="20"/>
      </w:pPr>
    </w:p>
    <w:p>
      <w:r>
        <w:rPr>
          <w:b w:val="0"/>
          <w:i w:val="0"/>
        </w:rPr>
        <w:t xml:space="preserve">All batches and both clearing stages share the battery's delivered-power limit. Ahead clearing reads the already delivered MW as </w:t>
      </w:r>
      <w:r>
        <w:rPr>
          <w:rFonts w:ascii="DejaVu Sans Mono" w:hAnsi="DejaVu Sans Mono"/>
          <w:b w:val="0"/>
          <w:i w:val="0"/>
          <w:sz w:val="17"/>
        </w:rPr>
        <w:t>delivered</w:t>
      </w:r>
      <w:r>
        <w:rPr>
          <w:b w:val="0"/>
          <w:i w:val="0"/>
        </w:rPr>
        <w:t xml:space="preserve"> from </w:t>
      </w:r>
      <w:r>
        <w:rPr>
          <w:rFonts w:ascii="DejaVu Sans Mono" w:hAnsi="DejaVu Sans Mono"/>
          <w:b w:val="0"/>
          <w:i w:val="0"/>
          <w:sz w:val="17"/>
        </w:rPr>
        <w:t>gen_list</w:t>
      </w:r>
      <w:r>
        <w:rPr>
          <w:b w:val="0"/>
          <w:i w:val="0"/>
        </w:rPr>
        <w:t xml:space="preserve">, then limits the offered raw batch quantity </w:t>
      </w:r>
      <w:r>
        <w:rPr>
          <w:rFonts w:ascii="DejaVu Sans Mono" w:hAnsi="DejaVu Sans Mono"/>
          <w:b w:val="0"/>
          <w:i w:val="0"/>
          <w:sz w:val="17"/>
        </w:rPr>
        <w:t>item[3]</w:t>
      </w:r>
      <w:r>
        <w:rPr>
          <w:b w:val="0"/>
          <w:i w:val="0"/>
        </w:rPr>
        <w:t xml:space="preserve"> by the remaining power divided by </w:t>
      </w:r>
      <w:r>
        <w:rPr>
          <w:rFonts w:ascii="DejaVu Sans Mono" w:hAnsi="DejaVu Sans Mono"/>
          <w:b w:val="0"/>
          <w:i w:val="0"/>
          <w:sz w:val="17"/>
        </w:rPr>
        <w:t>n_2</w:t>
      </w:r>
      <w:r>
        <w:rPr>
          <w:b w:val="0"/>
          <w:i w:val="0"/>
        </w:rPr>
        <w:t xml:space="preserve">. A smaller remaining </w:t>
      </w:r>
      <w:r>
        <w:rPr>
          <w:rFonts w:ascii="DejaVu Sans Mono" w:hAnsi="DejaVu Sans Mono"/>
          <w:b w:val="0"/>
          <w:i w:val="0"/>
          <w:sz w:val="17"/>
        </w:rPr>
        <w:t>forecast_demand</w:t>
      </w:r>
      <w:r>
        <w:rPr>
          <w:b w:val="0"/>
          <w:i w:val="0"/>
        </w:rPr>
        <w:t xml:space="preserve"> withdraws that demand divided by </w:t>
      </w:r>
      <w:r>
        <w:rPr>
          <w:rFonts w:ascii="DejaVu Sans Mono" w:hAnsi="DejaVu Sans Mono"/>
          <w:b w:val="0"/>
          <w:i w:val="0"/>
          <w:sz w:val="17"/>
        </w:rPr>
        <w:t>n_2</w:t>
      </w:r>
      <w:r>
        <w:rPr>
          <w:b w:val="0"/>
          <w:i w:val="0"/>
        </w:rPr>
        <w:t xml:space="preserve">; balancing applies the same rule to </w:t>
      </w:r>
      <w:r>
        <w:rPr>
          <w:rFonts w:ascii="DejaVu Sans Mono" w:hAnsi="DejaVu Sans Mono"/>
          <w:b w:val="0"/>
          <w:i w:val="0"/>
          <w:sz w:val="17"/>
        </w:rPr>
        <w:t>energy_provided</w:t>
      </w:r>
      <w:r>
        <w:rPr>
          <w:b w:val="0"/>
          <w:i w:val="0"/>
        </w:rPr>
        <w:t>. Ahead offers use all existing batches, while balancing uses batches aged at least two periods. Raw balances below 0.001 are removed, corresponding to at most 0.0005 MWh per batch.</w:t>
      </w:r>
    </w:p>
    <w:p>
      <w:pPr>
        <w:keepNext/>
      </w:pPr>
      <w:r>
        <w:rPr>
          <w:b w:val="0"/>
          <w:i w:val="0"/>
        </w:rPr>
        <w:t xml:space="preserve">Charging orders batteries by </w:t>
      </w:r>
      <w:r>
        <w:rPr>
          <w:rFonts w:ascii="DejaVu Sans Mono" w:hAnsi="DejaVu Sans Mono"/>
          <w:b w:val="0"/>
          <w:i w:val="0"/>
          <w:sz w:val="17"/>
        </w:rPr>
        <w:t>storage_fee</w:t>
      </w:r>
      <w:r>
        <w:rPr>
          <w:b w:val="0"/>
          <w:i w:val="0"/>
        </w:rPr>
        <w:t xml:space="preserve">, </w:t>
      </w:r>
      <w:r>
        <w:rPr>
          <w:rFonts w:ascii="DejaVu Sans Mono" w:hAnsi="DejaVu Sans Mono"/>
          <w:b w:val="0"/>
          <w:i w:val="0"/>
          <w:sz w:val="17"/>
        </w:rPr>
        <w:t>per_storage_fee</w:t>
      </w:r>
      <w:r>
        <w:rPr>
          <w:b w:val="0"/>
          <w:i w:val="0"/>
        </w:rPr>
        <w:t xml:space="preserve"> and the product </w:t>
      </w:r>
      <w:r>
        <w:rPr>
          <w:rFonts w:ascii="DejaVu Sans Mono" w:hAnsi="DejaVu Sans Mono"/>
          <w:b w:val="0"/>
          <w:i w:val="0"/>
          <w:sz w:val="17"/>
        </w:rPr>
        <w:t>n_1 * n_2</w:t>
      </w:r>
      <w:r>
        <w:rPr>
          <w:b w:val="0"/>
          <w:i w:val="0"/>
        </w:rPr>
        <w:t xml:space="preserve">. For each battery, </w:t>
      </w:r>
      <w:r>
        <w:rPr>
          <w:rFonts w:ascii="DejaVu Sans Mono" w:hAnsi="DejaVu Sans Mono"/>
          <w:b w:val="0"/>
          <w:i w:val="0"/>
          <w:sz w:val="17"/>
        </w:rPr>
        <w:t>store_service_three</w:t>
      </w:r>
      <w:r>
        <w:rPr>
          <w:b w:val="0"/>
          <w:i w:val="0"/>
        </w:rPr>
        <w:t xml:space="preserve"> first absorbs forecast surplus </w:t>
      </w:r>
      <w:r>
        <w:rPr>
          <w:rFonts w:ascii="DejaVu Sans Mono" w:hAnsi="DejaVu Sans Mono"/>
          <w:b w:val="0"/>
          <w:i w:val="0"/>
          <w:sz w:val="17"/>
        </w:rPr>
        <w:t>need_curtailed_energy</w:t>
      </w:r>
      <w:r>
        <w:rPr>
          <w:b w:val="0"/>
          <w:i w:val="0"/>
        </w:rPr>
        <w:t xml:space="preserve">, then other </w:t>
      </w:r>
      <w:r>
        <w:rPr>
          <w:rFonts w:ascii="DejaVu Sans Mono" w:hAnsi="DejaVu Sans Mono"/>
          <w:b w:val="0"/>
          <w:i w:val="0"/>
          <w:sz w:val="17"/>
        </w:rPr>
        <w:t>excess_energy</w:t>
      </w:r>
      <w:r>
        <w:rPr>
          <w:b w:val="0"/>
          <w:i w:val="0"/>
        </w:rPr>
        <w:t>. Its first pass uses</w:t>
      </w:r>
    </w:p>
    <w:p>
      <w:pPr>
        <w:spacing w:after="160"/>
        <w:jc w:val="center"/>
      </w:pPr>
      <w:r>
        <w:drawing>
          <wp:inline xmlns:a="http://schemas.openxmlformats.org/drawingml/2006/main" xmlns:pic="http://schemas.openxmlformats.org/drawingml/2006/picture">
            <wp:extent cx="6217920" cy="804408"/>
            <wp:docPr id="121" name="Picture 121"/>
            <wp:cNvGraphicFramePr>
              <a:graphicFrameLocks noChangeAspect="1"/>
            </wp:cNvGraphicFramePr>
            <a:graphic>
              <a:graphicData uri="http://schemas.openxmlformats.org/drawingml/2006/picture">
                <pic:pic>
                  <pic:nvPicPr>
                    <pic:cNvPr id="0" name="eq-121.png"/>
                    <pic:cNvPicPr/>
                  </pic:nvPicPr>
                  <pic:blipFill>
                    <a:blip r:embed="rId124"/>
                    <a:stretch>
                      <a:fillRect/>
                    </a:stretch>
                  </pic:blipFill>
                  <pic:spPr>
                    <a:xfrm>
                      <a:off x="0" y="0"/>
                      <a:ext cx="6217920" cy="804408"/>
                    </a:xfrm>
                    <a:prstGeom prst="rect"/>
                  </pic:spPr>
                </pic:pic>
              </a:graphicData>
            </a:graphic>
          </wp:inline>
        </w:drawing>
      </w:r>
    </w:p>
    <w:p>
      <w:r>
        <w:rPr>
          <w:b w:val="0"/>
          <w:i w:val="0"/>
        </w:rPr>
        <w:t xml:space="preserve">The second pass substitutes </w:t>
      </w:r>
      <w:r>
        <w:rPr>
          <w:rFonts w:ascii="DejaVu Sans Mono" w:hAnsi="DejaVu Sans Mono"/>
          <w:b w:val="0"/>
          <w:i w:val="0"/>
          <w:sz w:val="17"/>
        </w:rPr>
        <w:t>excess_energy</w:t>
      </w:r>
      <w:r>
        <w:rPr>
          <w:b w:val="0"/>
          <w:i w:val="0"/>
        </w:rPr>
        <w:t xml:space="preserve"> for the forecast surplus. Raw inventory room directly limits grid-side charging power. For the 0.5C prototype, four periods of holding give a price of 135.26 + 4 × 0.1736 = 135.9544 GBP/MWh. A 10 MWh batch has raw quantity 20; delivery of 10 MW over 0.5 h withdraws 5 / 0.98 = 5.1020408 MWh and earns £679.772 when settled at that price. Raw expenditure diagnostics use raw withdrawal times bid price; cash settlement uses delivered MWh.</w:t>
      </w:r>
    </w:p>
    <w:p>
      <w:pPr>
        <w:pStyle w:val="Heading2"/>
      </w:pPr>
      <w:r>
        <w:rPr>
          <w:b w:val="0"/>
          <w:i w:val="0"/>
        </w:rPr>
        <w:t>Experimental planning and realisation</w:t>
      </w:r>
    </w:p>
    <w:p>
      <w:r>
        <w:rPr>
          <w:rFonts w:ascii="DejaVu Sans Mono" w:hAnsi="DejaVu Sans Mono"/>
          <w:b w:val="0"/>
          <w:i w:val="0"/>
          <w:sz w:val="17"/>
        </w:rPr>
        <w:t>DoctoralPeriodEngine</w:t>
      </w:r>
      <w:r>
        <w:rPr>
          <w:b w:val="0"/>
          <w:i w:val="0"/>
        </w:rPr>
        <w:t xml:space="preserve"> forms the ahead plan on a copy of opening physical state. It updates natural budgets and self-discharge, then calls </w:t>
      </w:r>
      <w:r>
        <w:rPr>
          <w:rFonts w:ascii="DejaVu Sans Mono" w:hAnsi="DejaVu Sans Mono"/>
          <w:b w:val="0"/>
          <w:i w:val="0"/>
          <w:sz w:val="17"/>
        </w:rPr>
        <w:t>ahead_market_bidding</w:t>
      </w:r>
      <w:r>
        <w:rPr>
          <w:b w:val="0"/>
          <w:i w:val="0"/>
        </w:rPr>
        <w:t xml:space="preserve">. Generator and storage offers follow stable price order. Conventional generation obeys ramp limits; hydro and biomass also obey remaining budgets. Nuclear retains output down to previous </w:t>
      </w:r>
      <w:r>
        <w:rPr>
          <w:rFonts w:ascii="DejaVu Sans Mono" w:hAnsi="DejaVu Sans Mono"/>
          <w:b w:val="0"/>
          <w:i w:val="0"/>
          <w:sz w:val="17"/>
        </w:rPr>
        <w:t>real_gen_energy</w:t>
      </w:r>
      <w:r>
        <w:rPr>
          <w:b w:val="0"/>
          <w:i w:val="0"/>
        </w:rPr>
        <w:t xml:space="preserve"> less </w:t>
      </w:r>
      <w:r>
        <w:rPr>
          <w:rFonts w:ascii="DejaVu Sans Mono" w:hAnsi="DejaVu Sans Mono"/>
          <w:b w:val="0"/>
          <w:i w:val="0"/>
          <w:sz w:val="17"/>
        </w:rPr>
        <w:t>alter_limit</w:t>
      </w:r>
      <w:r>
        <w:rPr>
          <w:b w:val="0"/>
          <w:i w:val="0"/>
        </w:rPr>
        <w:t xml:space="preserve"> when that exceeds remaining forecast demand. Nuclear memory decays by 0.99 in a period without acceptance. The engine records unaccepted renewable availability separately from already-generated nuclear surplus.</w:t>
      </w:r>
    </w:p>
    <w:p>
      <w:pPr>
        <w:keepNext/>
      </w:pPr>
      <w:r>
        <w:rPr>
          <w:b w:val="0"/>
          <w:i w:val="0"/>
        </w:rPr>
        <w:t xml:space="preserve">Realisation compares actual demand with scheduled supply after removing the ahead stage's already-generated non-renewable surplus. In </w:t>
      </w:r>
      <w:r>
        <w:rPr>
          <w:rFonts w:ascii="DejaVu Sans Mono" w:hAnsi="DejaVu Sans Mono"/>
          <w:b w:val="0"/>
          <w:i w:val="0"/>
          <w:sz w:val="17"/>
        </w:rPr>
        <w:t>realise_period</w:t>
      </w:r>
      <w:r>
        <w:rPr>
          <w:b w:val="0"/>
          <w:i w:val="0"/>
        </w:rPr>
        <w:t xml:space="preserve">, </w:t>
      </w:r>
      <w:r>
        <w:rPr>
          <w:rFonts w:ascii="DejaVu Sans Mono" w:hAnsi="DejaVu Sans Mono"/>
          <w:b w:val="0"/>
          <w:i w:val="0"/>
          <w:sz w:val="17"/>
        </w:rPr>
        <w:t>actual</w:t>
      </w:r>
      <w:r>
        <w:rPr>
          <w:b w:val="0"/>
          <w:i w:val="0"/>
        </w:rPr>
        <w:t xml:space="preserve"> and </w:t>
      </w:r>
      <w:r>
        <w:rPr>
          <w:rFonts w:ascii="DejaVu Sans Mono" w:hAnsi="DejaVu Sans Mono"/>
          <w:b w:val="0"/>
          <w:i w:val="0"/>
          <w:sz w:val="17"/>
        </w:rPr>
        <w:t>scheduled_load</w:t>
      </w:r>
      <w:r>
        <w:rPr>
          <w:b w:val="0"/>
          <w:i w:val="0"/>
        </w:rPr>
        <w:t xml:space="preserve"> are MW:</w:t>
      </w:r>
    </w:p>
    <w:p>
      <w:pPr>
        <w:spacing w:after="160"/>
        <w:jc w:val="center"/>
      </w:pPr>
      <w:r>
        <w:drawing>
          <wp:inline xmlns:a="http://schemas.openxmlformats.org/drawingml/2006/main" xmlns:pic="http://schemas.openxmlformats.org/drawingml/2006/picture">
            <wp:extent cx="5834024" cy="409205"/>
            <wp:docPr id="122" name="Picture 122"/>
            <wp:cNvGraphicFramePr>
              <a:graphicFrameLocks noChangeAspect="1"/>
            </wp:cNvGraphicFramePr>
            <a:graphic>
              <a:graphicData uri="http://schemas.openxmlformats.org/drawingml/2006/picture">
                <pic:pic>
                  <pic:nvPicPr>
                    <pic:cNvPr id="0" name="eq-122.png"/>
                    <pic:cNvPicPr/>
                  </pic:nvPicPr>
                  <pic:blipFill>
                    <a:blip r:embed="rId125"/>
                    <a:stretch>
                      <a:fillRect/>
                    </a:stretch>
                  </pic:blipFill>
                  <pic:spPr>
                    <a:xfrm>
                      <a:off x="0" y="0"/>
                      <a:ext cx="5834024" cy="409205"/>
                    </a:xfrm>
                    <a:prstGeom prst="rect"/>
                  </pic:spPr>
                </pic:pic>
              </a:graphicData>
            </a:graphic>
          </wp:inline>
        </w:drawing>
      </w:r>
    </w:p>
    <w:p>
      <w:r>
        <w:rPr>
          <w:b w:val="0"/>
          <w:i w:val="0"/>
        </w:rPr>
        <w:t xml:space="preserve">When </w:t>
      </w:r>
      <w:r>
        <w:rPr>
          <w:rFonts w:ascii="DejaVu Sans Mono" w:hAnsi="DejaVu Sans Mono"/>
          <w:b w:val="0"/>
          <w:i w:val="0"/>
          <w:sz w:val="17"/>
        </w:rPr>
        <w:t>actual &lt; scheduled_load</w:t>
      </w:r>
      <w:r>
        <w:rPr>
          <w:b w:val="0"/>
          <w:i w:val="0"/>
        </w:rPr>
        <w:t xml:space="preserve">, the difference enters </w:t>
      </w:r>
      <w:r>
        <w:rPr>
          <w:rFonts w:ascii="DejaVu Sans Mono" w:hAnsi="DejaVu Sans Mono"/>
          <w:b w:val="0"/>
          <w:i w:val="0"/>
          <w:sz w:val="17"/>
        </w:rPr>
        <w:t>curtailment_​market_​bidding</w:t>
      </w:r>
      <w:r>
        <w:rPr>
          <w:b w:val="0"/>
          <w:i w:val="0"/>
        </w:rPr>
        <w:t xml:space="preserve">. It charges storage, processes existing surplus, accepts positive-price exports in descending price order, then reduces generation in configured downward-price order. </w:t>
      </w:r>
      <w:r>
        <w:rPr>
          <w:rFonts w:ascii="DejaVu Sans Mono" w:hAnsi="DejaVu Sans Mono"/>
          <w:b w:val="0"/>
          <w:i w:val="0"/>
          <w:sz w:val="17"/>
        </w:rPr>
        <w:t>_curtail_thermal_bid</w:t>
      </w:r>
      <w:r>
        <w:rPr>
          <w:b w:val="0"/>
          <w:i w:val="0"/>
        </w:rPr>
        <w:t xml:space="preserve"> limits each reduction using the accepted MW </w:t>
      </w:r>
      <w:r>
        <w:rPr>
          <w:rFonts w:ascii="DejaVu Sans Mono" w:hAnsi="DejaVu Sans Mono"/>
          <w:b w:val="0"/>
          <w:i w:val="0"/>
          <w:sz w:val="17"/>
        </w:rPr>
        <w:t>bid[2]</w:t>
      </w:r>
      <w:r>
        <w:rPr>
          <w:b w:val="0"/>
          <w:i w:val="0"/>
        </w:rPr>
        <w:t xml:space="preserve">, the earlier </w:t>
      </w:r>
      <w:r>
        <w:rPr>
          <w:rFonts w:ascii="DejaVu Sans Mono" w:hAnsi="DejaVu Sans Mono"/>
          <w:b w:val="0"/>
          <w:i w:val="0"/>
          <w:sz w:val="17"/>
        </w:rPr>
        <w:t>previous_energy</w:t>
      </w:r>
      <w:r>
        <w:rPr>
          <w:b w:val="0"/>
          <w:i w:val="0"/>
        </w:rPr>
        <w:t xml:space="preserve"> and </w:t>
      </w:r>
      <w:r>
        <w:rPr>
          <w:rFonts w:ascii="DejaVu Sans Mono" w:hAnsi="DejaVu Sans Mono"/>
          <w:b w:val="0"/>
          <w:i w:val="0"/>
          <w:sz w:val="17"/>
        </w:rPr>
        <w:t>generator.alter_limit</w:t>
      </w:r>
      <w:r>
        <w:rPr>
          <w:b w:val="0"/>
          <w:i w:val="0"/>
        </w:rPr>
        <w:t>:</w:t>
      </w:r>
    </w:p>
    <w:p>
      <w:pPr>
        <w:keepLines/>
        <w:spacing w:line="276" w:lineRule="auto" w:after="160"/>
      </w:pPr>
      <w:r>
        <w:rPr>
          <w:rFonts w:ascii="DejaVu Sans Mono" w:hAnsi="DejaVu Sans Mono"/>
          <w:b w:val="0"/>
          <w:i w:val="0"/>
          <w:sz w:val="17"/>
        </w:rPr>
        <w:t>if bid[2] - previous_energy == generator.alter_limit:</w:t>
        <w:br/>
        <w:t xml:space="preserve">    max_curtail_energy = min(2 * generator.alter_limit, bid[2])</w:t>
        <w:br/>
        <w:t>elif previous_energy &gt;= generator.alter_limit:</w:t>
        <w:br/>
        <w:t xml:space="preserve">    max_curtail_energy = bid[2] - (previous_energy - generator.alter_limit)</w:t>
        <w:br/>
        <w:t>else:</w:t>
        <w:br/>
        <w:t xml:space="preserve">    max_curtail_energy = bid[2]</w:t>
        <w:br/>
        <w:t>curtailed = min(need_​curtailed_​energy,</w:t>
        <w:br/>
        <w:t xml:space="preserve">                max(0, min(bid[2], max_curtail_energy)))</w:t>
        <w:br/>
        <w:t>bid[2] -= curtailed</w:t>
        <w:br/>
      </w:r>
    </w:p>
    <w:p>
      <w:r>
        <w:rPr>
          <w:b w:val="0"/>
          <w:i w:val="0"/>
        </w:rPr>
        <w:t xml:space="preserve">Hydro and biomass return the reduction to their used budgets, and previous output is read by generator object identity. Remaining non-renewable output held by ramp constraints becomes </w:t>
      </w:r>
      <w:r>
        <w:rPr>
          <w:rFonts w:ascii="DejaVu Sans Mono" w:hAnsi="DejaVu Sans Mono"/>
          <w:b w:val="0"/>
          <w:i w:val="0"/>
          <w:sz w:val="17"/>
        </w:rPr>
        <w:t>non_vre_spill</w:t>
      </w:r>
      <w:r>
        <w:rPr>
          <w:b w:val="0"/>
          <w:i w:val="0"/>
        </w:rPr>
        <w:t>.</w:t>
      </w:r>
    </w:p>
    <w:p>
      <w:r>
        <w:rPr>
          <w:b w:val="0"/>
          <w:i w:val="0"/>
        </w:rPr>
        <w:t xml:space="preserve">When </w:t>
      </w:r>
      <w:r>
        <w:rPr>
          <w:rFonts w:ascii="DejaVu Sans Mono" w:hAnsi="DejaVu Sans Mono"/>
          <w:b w:val="0"/>
          <w:i w:val="0"/>
          <w:sz w:val="17"/>
        </w:rPr>
        <w:t>actual &gt;= scheduled_load</w:t>
      </w:r>
      <w:r>
        <w:rPr>
          <w:b w:val="0"/>
          <w:i w:val="0"/>
        </w:rPr>
        <w:t xml:space="preserve">, </w:t>
      </w:r>
      <w:r>
        <w:rPr>
          <w:rFonts w:ascii="DejaVu Sans Mono" w:hAnsi="DejaVu Sans Mono"/>
          <w:b w:val="0"/>
          <w:i w:val="0"/>
          <w:sz w:val="17"/>
        </w:rPr>
        <w:t>balancing_​market_​bidding</w:t>
      </w:r>
      <w:r>
        <w:rPr>
          <w:b w:val="0"/>
          <w:i w:val="0"/>
        </w:rPr>
        <w:t xml:space="preserve"> first uses existing surplus and offers the remainder to storage. It then combines the last ahead-accepted generator and subsequent generators with eligible storage batches and imports. With an empty ahead generator set, this search starts at the first offer. The marginal generator's </w:t>
      </w:r>
      <w:r>
        <w:rPr>
          <w:rFonts w:ascii="DejaVu Sans Mono" w:hAnsi="DejaVu Sans Mono"/>
          <w:b w:val="0"/>
          <w:i w:val="0"/>
          <w:sz w:val="17"/>
        </w:rPr>
        <w:t>valid_energy</w:t>
      </w:r>
      <w:r>
        <w:rPr>
          <w:b w:val="0"/>
          <w:i w:val="0"/>
        </w:rPr>
        <w:t xml:space="preserve"> is its ramp-limited available output less its ahead-accepted MW; later generators offer their full ramp-limited availability. Hydro and biomass retain budget limits. Imports use </w:t>
      </w:r>
      <w:r>
        <w:rPr>
          <w:rFonts w:ascii="DejaVu Sans Mono" w:hAnsi="DejaVu Sans Mono"/>
          <w:b w:val="0"/>
          <w:i w:val="0"/>
          <w:sz w:val="17"/>
        </w:rPr>
        <w:t>external_price</w:t>
      </w:r>
      <w:r>
        <w:rPr>
          <w:b w:val="0"/>
          <w:i w:val="0"/>
        </w:rPr>
        <w:t>; this branch accepts positive-price exports in ascending price order. Remaining demand becomes blackout.</w:t>
      </w:r>
    </w:p>
    <w:p>
      <w:pPr>
        <w:keepNext/>
      </w:pPr>
      <w:r>
        <w:rPr>
          <w:b w:val="0"/>
          <w:i w:val="0"/>
        </w:rPr>
        <w:t xml:space="preserve">The engine checks final physical balance before advancing state. </w:t>
      </w:r>
      <w:r>
        <w:rPr>
          <w:rFonts w:ascii="DejaVu Sans Mono" w:hAnsi="DejaVu Sans Mono"/>
          <w:b w:val="0"/>
          <w:i w:val="0"/>
          <w:sz w:val="17"/>
        </w:rPr>
        <w:t>total</w:t>
      </w:r>
      <w:r>
        <w:rPr>
          <w:b w:val="0"/>
          <w:i w:val="0"/>
        </w:rPr>
        <w:t xml:space="preserve">, </w:t>
      </w:r>
      <w:r>
        <w:rPr>
          <w:rFonts w:ascii="DejaVu Sans Mono" w:hAnsi="DejaVu Sans Mono"/>
          <w:b w:val="0"/>
          <w:i w:val="0"/>
          <w:sz w:val="17"/>
        </w:rPr>
        <w:t>actual</w:t>
      </w:r>
      <w:r>
        <w:rPr>
          <w:b w:val="0"/>
          <w:i w:val="0"/>
        </w:rPr>
        <w:t xml:space="preserve">, </w:t>
      </w:r>
      <w:r>
        <w:rPr>
          <w:rFonts w:ascii="DejaVu Sans Mono" w:hAnsi="DejaVu Sans Mono"/>
          <w:b w:val="0"/>
          <w:i w:val="0"/>
          <w:sz w:val="17"/>
        </w:rPr>
        <w:t>charge</w:t>
      </w:r>
      <w:r>
        <w:rPr>
          <w:b w:val="0"/>
          <w:i w:val="0"/>
        </w:rPr>
        <w:t xml:space="preserve">, </w:t>
      </w:r>
      <w:r>
        <w:rPr>
          <w:rFonts w:ascii="DejaVu Sans Mono" w:hAnsi="DejaVu Sans Mono"/>
          <w:b w:val="0"/>
          <w:i w:val="0"/>
          <w:sz w:val="17"/>
        </w:rPr>
        <w:t>exported</w:t>
      </w:r>
      <w:r>
        <w:rPr>
          <w:b w:val="0"/>
          <w:i w:val="0"/>
        </w:rPr>
        <w:t xml:space="preserve">, </w:t>
      </w:r>
      <w:r>
        <w:rPr>
          <w:rFonts w:ascii="DejaVu Sans Mono" w:hAnsi="DejaVu Sans Mono"/>
          <w:b w:val="0"/>
          <w:i w:val="0"/>
          <w:sz w:val="17"/>
        </w:rPr>
        <w:t>non_vre_spill</w:t>
      </w:r>
      <w:r>
        <w:rPr>
          <w:b w:val="0"/>
          <w:i w:val="0"/>
        </w:rPr>
        <w:t xml:space="preserve"> and </w:t>
      </w:r>
      <w:r>
        <w:rPr>
          <w:rFonts w:ascii="DejaVu Sans Mono" w:hAnsi="DejaVu Sans Mono"/>
          <w:b w:val="0"/>
          <w:i w:val="0"/>
          <w:sz w:val="17"/>
        </w:rPr>
        <w:t>blackout</w:t>
      </w:r>
      <w:r>
        <w:rPr>
          <w:b w:val="0"/>
          <w:i w:val="0"/>
        </w:rPr>
        <w:t xml:space="preserve"> are MW in this calculation; </w:t>
      </w:r>
      <w:r>
        <w:rPr>
          <w:rFonts w:ascii="DejaVu Sans Mono" w:hAnsi="DejaVu Sans Mono"/>
          <w:b w:val="0"/>
          <w:i w:val="0"/>
          <w:sz w:val="17"/>
        </w:rPr>
        <w:t>residual</w:t>
      </w:r>
      <w:r>
        <w:rPr>
          <w:b w:val="0"/>
          <w:i w:val="0"/>
        </w:rPr>
        <w:t xml:space="preserve"> is MWh:</w:t>
      </w:r>
    </w:p>
    <w:p>
      <w:pPr>
        <w:spacing w:after="160"/>
        <w:jc w:val="center"/>
      </w:pPr>
      <w:r>
        <w:drawing>
          <wp:inline xmlns:a="http://schemas.openxmlformats.org/drawingml/2006/main" xmlns:pic="http://schemas.openxmlformats.org/drawingml/2006/picture">
            <wp:extent cx="5932170" cy="621792"/>
            <wp:docPr id="123" name="Picture 123"/>
            <wp:cNvGraphicFramePr>
              <a:graphicFrameLocks noChangeAspect="1"/>
            </wp:cNvGraphicFramePr>
            <a:graphic>
              <a:graphicData uri="http://schemas.openxmlformats.org/drawingml/2006/picture">
                <pic:pic>
                  <pic:nvPicPr>
                    <pic:cNvPr id="0" name="eq-123.png"/>
                    <pic:cNvPicPr/>
                  </pic:nvPicPr>
                  <pic:blipFill>
                    <a:blip r:embed="rId126"/>
                    <a:stretch>
                      <a:fillRect/>
                    </a:stretch>
                  </pic:blipFill>
                  <pic:spPr>
                    <a:xfrm>
                      <a:off x="0" y="0"/>
                      <a:ext cx="5932170" cy="621792"/>
                    </a:xfrm>
                    <a:prstGeom prst="rect"/>
                  </pic:spPr>
                </pic:pic>
              </a:graphicData>
            </a:graphic>
          </wp:inline>
        </w:drawing>
      </w:r>
    </w:p>
    <w:p>
      <w:pPr>
        <w:keepNext/>
      </w:pPr>
      <w:r>
        <w:rPr>
          <w:b w:val="0"/>
          <w:i w:val="0"/>
        </w:rPr>
        <w:t xml:space="preserve">State advancement requires an absolute </w:t>
      </w:r>
      <w:r>
        <w:rPr>
          <w:rFonts w:ascii="DejaVu Sans Mono" w:hAnsi="DejaVu Sans Mono"/>
          <w:b w:val="0"/>
          <w:i w:val="0"/>
          <w:sz w:val="17"/>
        </w:rPr>
        <w:t>residual</w:t>
      </w:r>
      <w:r>
        <w:rPr>
          <w:b w:val="0"/>
          <w:i w:val="0"/>
        </w:rPr>
        <w:t xml:space="preserve"> at most </w:t>
      </w:r>
      <w:r>
        <w:drawing>
          <wp:inline xmlns:a="http://schemas.openxmlformats.org/drawingml/2006/main" xmlns:pic="http://schemas.openxmlformats.org/drawingml/2006/picture">
            <wp:extent cx="328247" cy="146617"/>
            <wp:docPr id="124" name="Picture 124"/>
            <wp:cNvGraphicFramePr>
              <a:graphicFrameLocks noChangeAspect="1"/>
            </wp:cNvGraphicFramePr>
            <a:graphic>
              <a:graphicData uri="http://schemas.openxmlformats.org/drawingml/2006/picture">
                <pic:pic>
                  <pic:nvPicPr>
                    <pic:cNvPr id="0" name="eq-116.png"/>
                    <pic:cNvPicPr/>
                  </pic:nvPicPr>
                  <pic:blipFill>
                    <a:blip r:embed="rId119"/>
                    <a:stretch>
                      <a:fillRect/>
                    </a:stretch>
                  </pic:blipFill>
                  <pic:spPr>
                    <a:xfrm>
                      <a:off x="0" y="0"/>
                      <a:ext cx="328247" cy="146617"/>
                    </a:xfrm>
                    <a:prstGeom prst="rect"/>
                  </pic:spPr>
                </pic:pic>
              </a:graphicData>
            </a:graphic>
          </wp:inline>
        </w:drawing>
      </w:r>
      <w:r>
        <w:rPr>
          <w:b w:val="0"/>
          <w:i w:val="0"/>
        </w:rPr>
        <w:t xml:space="preserve"> MWh, nonnegative generation and renewable output within availability. The storage calculation separately reconciles </w:t>
      </w:r>
      <w:r>
        <w:rPr>
          <w:rFonts w:ascii="DejaVu Sans Mono" w:hAnsi="DejaVu Sans Mono"/>
          <w:b w:val="0"/>
          <w:i w:val="0"/>
          <w:sz w:val="17"/>
        </w:rPr>
        <w:t>opening</w:t>
      </w:r>
      <w:r>
        <w:rPr>
          <w:b w:val="0"/>
          <w:i w:val="0"/>
        </w:rPr>
        <w:t xml:space="preserve">, grid-side </w:t>
      </w:r>
      <w:r>
        <w:rPr>
          <w:rFonts w:ascii="DejaVu Sans Mono" w:hAnsi="DejaVu Sans Mono"/>
          <w:b w:val="0"/>
          <w:i w:val="0"/>
          <w:sz w:val="17"/>
        </w:rPr>
        <w:t>charged</w:t>
      </w:r>
      <w:r>
        <w:rPr>
          <w:b w:val="0"/>
          <w:i w:val="0"/>
        </w:rPr>
        <w:t xml:space="preserve">, grid-side </w:t>
      </w:r>
      <w:r>
        <w:rPr>
          <w:rFonts w:ascii="DejaVu Sans Mono" w:hAnsi="DejaVu Sans Mono"/>
          <w:b w:val="0"/>
          <w:i w:val="0"/>
          <w:sz w:val="17"/>
        </w:rPr>
        <w:t>delivered</w:t>
      </w:r>
      <w:r>
        <w:rPr>
          <w:b w:val="0"/>
          <w:i w:val="0"/>
        </w:rPr>
        <w:t xml:space="preserve">, self-discharge </w:t>
      </w:r>
      <w:r>
        <w:rPr>
          <w:rFonts w:ascii="DejaVu Sans Mono" w:hAnsi="DejaVu Sans Mono"/>
          <w:b w:val="0"/>
          <w:i w:val="0"/>
          <w:sz w:val="17"/>
        </w:rPr>
        <w:t>decay</w:t>
      </w:r>
      <w:r>
        <w:rPr>
          <w:b w:val="0"/>
          <w:i w:val="0"/>
        </w:rPr>
        <w:t xml:space="preserve">, conversion loss </w:t>
      </w:r>
      <w:r>
        <w:rPr>
          <w:rFonts w:ascii="DejaVu Sans Mono" w:hAnsi="DejaVu Sans Mono"/>
          <w:b w:val="0"/>
          <w:i w:val="0"/>
          <w:sz w:val="17"/>
        </w:rPr>
        <w:t>conversion</w:t>
      </w:r>
      <w:r>
        <w:rPr>
          <w:b w:val="0"/>
          <w:i w:val="0"/>
        </w:rPr>
        <w:t xml:space="preserve"> and small-batch removal </w:t>
      </w:r>
      <w:r>
        <w:rPr>
          <w:rFonts w:ascii="DejaVu Sans Mono" w:hAnsi="DejaVu Sans Mono"/>
          <w:b w:val="0"/>
          <w:i w:val="0"/>
          <w:sz w:val="17"/>
        </w:rPr>
        <w:t>discard</w:t>
      </w:r>
      <w:r>
        <w:rPr>
          <w:b w:val="0"/>
          <w:i w:val="0"/>
        </w:rPr>
        <w:t>, all in MWh:</w:t>
      </w:r>
    </w:p>
    <w:p>
      <w:pPr>
        <w:spacing w:after="160"/>
        <w:jc w:val="center"/>
      </w:pPr>
      <w:r>
        <w:drawing>
          <wp:inline xmlns:a="http://schemas.openxmlformats.org/drawingml/2006/main" xmlns:pic="http://schemas.openxmlformats.org/drawingml/2006/picture">
            <wp:extent cx="4360925" cy="845672"/>
            <wp:docPr id="125" name="Picture 125"/>
            <wp:cNvGraphicFramePr>
              <a:graphicFrameLocks noChangeAspect="1"/>
            </wp:cNvGraphicFramePr>
            <a:graphic>
              <a:graphicData uri="http://schemas.openxmlformats.org/drawingml/2006/picture">
                <pic:pic>
                  <pic:nvPicPr>
                    <pic:cNvPr id="0" name="eq-125.png"/>
                    <pic:cNvPicPr/>
                  </pic:nvPicPr>
                  <pic:blipFill>
                    <a:blip r:embed="rId127"/>
                    <a:stretch>
                      <a:fillRect/>
                    </a:stretch>
                  </pic:blipFill>
                  <pic:spPr>
                    <a:xfrm>
                      <a:off x="0" y="0"/>
                      <a:ext cx="4360925" cy="845672"/>
                    </a:xfrm>
                    <a:prstGeom prst="rect"/>
                  </pic:spPr>
                </pic:pic>
              </a:graphicData>
            </a:graphic>
          </wp:inline>
        </w:drawing>
      </w:r>
    </w:p>
    <w:p>
      <w:r>
        <w:rPr>
          <w:rFonts w:ascii="DejaVu Sans Mono" w:hAnsi="DejaVu Sans Mono"/>
          <w:b w:val="0"/>
          <w:i w:val="0"/>
          <w:sz w:val="17"/>
        </w:rPr>
        <w:t>commit_period</w:t>
      </w:r>
      <w:r>
        <w:rPr>
          <w:b w:val="0"/>
          <w:i w:val="0"/>
        </w:rPr>
        <w:t xml:space="preserve"> passes closing storage batches, generator memory and the accepted-generator set to the next period. Generation routed to storage and exports is allocated back to its renewable source.</w:t>
      </w:r>
    </w:p>
    <w:p>
      <w:pPr>
        <w:pStyle w:val="Heading2"/>
      </w:pPr>
      <w:r>
        <w:rPr>
          <w:b w:val="0"/>
          <w:i w:val="0"/>
        </w:rPr>
        <w:t>Experimental settlement and annual expenditure</w:t>
      </w:r>
    </w:p>
    <w:p>
      <w:r>
        <w:rPr>
          <w:b w:val="0"/>
          <w:i w:val="0"/>
        </w:rPr>
        <w:t xml:space="preserve">The experimental engine settles generators and storage at their separate highest accepted bids in ahead and upward markets. </w:t>
      </w:r>
      <w:r>
        <w:rPr>
          <w:rFonts w:ascii="DejaVu Sans Mono" w:hAnsi="DejaVu Sans Mono"/>
          <w:b w:val="0"/>
          <w:i w:val="0"/>
          <w:sz w:val="17"/>
        </w:rPr>
        <w:t>acm_income</w:t>
      </w:r>
      <w:r>
        <w:rPr>
          <w:b w:val="0"/>
          <w:i w:val="0"/>
        </w:rPr>
        <w:t xml:space="preserve"> books ahead cash before downward realisation changes dispatch, multiplying accepted MW by </w:t>
      </w:r>
      <w:r>
        <w:rPr>
          <w:rFonts w:ascii="DejaVu Sans Mono" w:hAnsi="DejaVu Sans Mono"/>
          <w:b w:val="0"/>
          <w:i w:val="0"/>
          <w:sz w:val="17"/>
        </w:rPr>
        <w:t>period_hours</w:t>
      </w:r>
      <w:r>
        <w:rPr>
          <w:b w:val="0"/>
          <w:i w:val="0"/>
        </w:rPr>
        <w:t xml:space="preserve"> and either </w:t>
      </w:r>
      <w:r>
        <w:rPr>
          <w:rFonts w:ascii="DejaVu Sans Mono" w:hAnsi="DejaVu Sans Mono"/>
          <w:b w:val="0"/>
          <w:i w:val="0"/>
          <w:sz w:val="17"/>
        </w:rPr>
        <w:t>max_gen_price</w:t>
      </w:r>
      <w:r>
        <w:rPr>
          <w:b w:val="0"/>
          <w:i w:val="0"/>
        </w:rPr>
        <w:t xml:space="preserve"> or </w:t>
      </w:r>
      <w:r>
        <w:rPr>
          <w:rFonts w:ascii="DejaVu Sans Mono" w:hAnsi="DejaVu Sans Mono"/>
          <w:b w:val="0"/>
          <w:i w:val="0"/>
          <w:sz w:val="17"/>
        </w:rPr>
        <w:t>max_bat_price</w:t>
      </w:r>
      <w:r>
        <w:rPr>
          <w:b w:val="0"/>
          <w:i w:val="0"/>
        </w:rPr>
        <w:t xml:space="preserve">. Storage-only supply receives its storage settlement. </w:t>
      </w:r>
      <w:r>
        <w:rPr>
          <w:rFonts w:ascii="DejaVu Sans Mono" w:hAnsi="DejaVu Sans Mono"/>
          <w:b w:val="0"/>
          <w:i w:val="0"/>
          <w:sz w:val="17"/>
        </w:rPr>
        <w:t>acm_income_balance</w:t>
      </w:r>
      <w:r>
        <w:rPr>
          <w:b w:val="0"/>
          <w:i w:val="0"/>
        </w:rPr>
        <w:t xml:space="preserve"> applies the same category prices to upward supply.</w:t>
      </w:r>
    </w:p>
    <w:p>
      <w:r>
        <w:rPr>
          <w:b w:val="0"/>
          <w:i w:val="0"/>
        </w:rPr>
        <w:t xml:space="preserve">Downward cash retains the sign of the configured price. For each accepted action, </w:t>
      </w:r>
      <w:r>
        <w:rPr>
          <w:rFonts w:ascii="DejaVu Sans Mono" w:hAnsi="DejaVu Sans Mono"/>
          <w:b w:val="0"/>
          <w:i w:val="0"/>
          <w:sz w:val="17"/>
        </w:rPr>
        <w:t>quantity</w:t>
      </w:r>
      <w:r>
        <w:rPr>
          <w:b w:val="0"/>
          <w:i w:val="0"/>
        </w:rPr>
        <w:t xml:space="preserve"> is MW and </w:t>
      </w:r>
      <w:r>
        <w:rPr>
          <w:rFonts w:ascii="DejaVu Sans Mono" w:hAnsi="DejaVu Sans Mono"/>
          <w:b w:val="0"/>
          <w:i w:val="0"/>
          <w:sz w:val="17"/>
        </w:rPr>
        <w:t>price</w:t>
      </w:r>
      <w:r>
        <w:rPr>
          <w:b w:val="0"/>
          <w:i w:val="0"/>
        </w:rPr>
        <w:t xml:space="preserve"> is GBP/MWh. The engine computes </w:t>
      </w:r>
      <w:r>
        <w:rPr>
          <w:rFonts w:ascii="DejaVu Sans Mono" w:hAnsi="DejaVu Sans Mono"/>
          <w:b w:val="0"/>
          <w:i w:val="0"/>
          <w:sz w:val="17"/>
        </w:rPr>
        <w:t>raw_gbp = quantity * 0.5 * price</w:t>
      </w:r>
      <w:r>
        <w:rPr>
          <w:b w:val="0"/>
          <w:i w:val="0"/>
        </w:rPr>
        <w:t xml:space="preserve">, adding it to </w:t>
      </w:r>
      <w:r>
        <w:rPr>
          <w:rFonts w:ascii="DejaVu Sans Mono" w:hAnsi="DejaVu Sans Mono"/>
          <w:b w:val="0"/>
          <w:i w:val="0"/>
          <w:sz w:val="17"/>
        </w:rPr>
        <w:t>down_cash</w:t>
      </w:r>
      <w:r>
        <w:rPr>
          <w:b w:val="0"/>
          <w:i w:val="0"/>
        </w:rPr>
        <w:t xml:space="preserve"> for thermal, biomass and hydro assets; nuclear, wind, solar and storage amounts enter </w:t>
      </w:r>
      <w:r>
        <w:rPr>
          <w:rFonts w:ascii="DejaVu Sans Mono" w:hAnsi="DejaVu Sans Mono"/>
          <w:b w:val="0"/>
          <w:i w:val="0"/>
          <w:sz w:val="17"/>
        </w:rPr>
        <w:t>legacy_down</w:t>
      </w:r>
      <w:r>
        <w:rPr>
          <w:b w:val="0"/>
          <w:i w:val="0"/>
        </w:rPr>
        <w:t xml:space="preserve"> as diagnostic values. Each asset's </w:t>
      </w:r>
      <w:r>
        <w:rPr>
          <w:rFonts w:ascii="DejaVu Sans Mono" w:hAnsi="DejaVu Sans Mono"/>
          <w:b w:val="0"/>
          <w:i w:val="0"/>
          <w:sz w:val="17"/>
        </w:rPr>
        <w:t>income_balance</w:t>
      </w:r>
      <w:r>
        <w:rPr>
          <w:b w:val="0"/>
          <w:i w:val="0"/>
        </w:rPr>
        <w:t xml:space="preserve"> is its </w:t>
      </w:r>
      <w:r>
        <w:rPr>
          <w:rFonts w:ascii="DejaVu Sans Mono" w:hAnsi="DejaVu Sans Mono"/>
          <w:b w:val="0"/>
          <w:i w:val="0"/>
          <w:sz w:val="17"/>
        </w:rPr>
        <w:t>income_up</w:t>
      </w:r>
      <w:r>
        <w:rPr>
          <w:b w:val="0"/>
          <w:i w:val="0"/>
        </w:rPr>
        <w:t xml:space="preserve"> plus </w:t>
      </w:r>
      <w:r>
        <w:rPr>
          <w:rFonts w:ascii="DejaVu Sans Mono" w:hAnsi="DejaVu Sans Mono"/>
          <w:b w:val="0"/>
          <w:i w:val="0"/>
          <w:sz w:val="17"/>
        </w:rPr>
        <w:t>down_cash</w:t>
      </w:r>
      <w:r>
        <w:rPr>
          <w:b w:val="0"/>
          <w:i w:val="0"/>
        </w:rPr>
        <w:t xml:space="preserve">, while </w:t>
      </w:r>
      <w:r>
        <w:rPr>
          <w:rFonts w:ascii="DejaVu Sans Mono" w:hAnsi="DejaVu Sans Mono"/>
          <w:b w:val="0"/>
          <w:i w:val="0"/>
          <w:sz w:val="17"/>
        </w:rPr>
        <w:t>income_ahead</w:t>
      </w:r>
      <w:r>
        <w:rPr>
          <w:b w:val="0"/>
          <w:i w:val="0"/>
        </w:rPr>
        <w:t xml:space="preserve"> remains separate.</w:t>
      </w:r>
    </w:p>
    <w:p>
      <w:r>
        <w:rPr>
          <w:b w:val="0"/>
          <w:i w:val="0"/>
        </w:rPr>
        <w:t xml:space="preserve">Variable operating expenditure values final generation at </w:t>
      </w:r>
      <w:r>
        <w:rPr>
          <w:rFonts w:ascii="DejaVu Sans Mono" w:hAnsi="DejaVu Sans Mono"/>
          <w:b w:val="0"/>
          <w:i w:val="0"/>
          <w:sz w:val="17"/>
        </w:rPr>
        <w:t>gen_cost</w:t>
      </w:r>
      <w:r>
        <w:rPr>
          <w:b w:val="0"/>
          <w:i w:val="0"/>
        </w:rPr>
        <w:t xml:space="preserve"> and imports at </w:t>
      </w:r>
      <w:r>
        <w:rPr>
          <w:rFonts w:ascii="DejaVu Sans Mono" w:hAnsi="DejaVu Sans Mono"/>
          <w:b w:val="0"/>
          <w:i w:val="0"/>
          <w:sz w:val="17"/>
        </w:rPr>
        <w:t>external_price</w:t>
      </w:r>
      <w:r>
        <w:rPr>
          <w:b w:val="0"/>
          <w:i w:val="0"/>
        </w:rPr>
        <w:t>; storage variable operating expenditure is zero. Fuel, carbon and other costs divide this total into components. Export receipts and import procurement retain their separate cash directions.</w:t>
      </w:r>
    </w:p>
    <w:p>
      <w:pPr>
        <w:keepNext/>
      </w:pPr>
      <w:r>
        <w:rPr>
          <w:b w:val="0"/>
          <w:i w:val="0"/>
        </w:rPr>
        <w:t xml:space="preserve">Annual system expenditure adds variable expenditure, explicit fixed costs, annualised capital and shortage valuation. </w:t>
      </w:r>
      <w:r>
        <w:rPr>
          <w:rFonts w:ascii="DejaVu Sans Mono" w:hAnsi="DejaVu Sans Mono"/>
          <w:b w:val="0"/>
          <w:i w:val="0"/>
          <w:sz w:val="17"/>
        </w:rPr>
        <w:t>DoctoralNationalPSM</w:t>
      </w:r>
      <w:r>
        <w:rPr>
          <w:b w:val="0"/>
          <w:i w:val="0"/>
        </w:rPr>
        <w:t xml:space="preserve"> uses the variables </w:t>
      </w:r>
      <w:r>
        <w:rPr>
          <w:rFonts w:ascii="DejaVu Sans Mono" w:hAnsi="DejaVu Sans Mono"/>
          <w:b w:val="0"/>
          <w:i w:val="0"/>
          <w:sz w:val="17"/>
        </w:rPr>
        <w:t>variable</w:t>
      </w:r>
      <w:r>
        <w:rPr>
          <w:b w:val="0"/>
          <w:i w:val="0"/>
        </w:rPr>
        <w:t xml:space="preserve">, </w:t>
      </w:r>
      <w:r>
        <w:rPr>
          <w:rFonts w:ascii="DejaVu Sans Mono" w:hAnsi="DejaVu Sans Mono"/>
          <w:b w:val="0"/>
          <w:i w:val="0"/>
          <w:sz w:val="17"/>
        </w:rPr>
        <w:t>fixed</w:t>
      </w:r>
      <w:r>
        <w:rPr>
          <w:b w:val="0"/>
          <w:i w:val="0"/>
        </w:rPr>
        <w:t xml:space="preserve"> and </w:t>
      </w:r>
      <w:r>
        <w:rPr>
          <w:rFonts w:ascii="DejaVu Sans Mono" w:hAnsi="DejaVu Sans Mono"/>
          <w:b w:val="0"/>
          <w:i w:val="0"/>
          <w:sz w:val="17"/>
        </w:rPr>
        <w:t>capital</w:t>
      </w:r>
      <w:r>
        <w:rPr>
          <w:b w:val="0"/>
          <w:i w:val="0"/>
        </w:rPr>
        <w:t xml:space="preserve"> from asset records and period totals:</w:t>
      </w:r>
    </w:p>
    <w:p>
      <w:pPr>
        <w:spacing w:after="160"/>
        <w:jc w:val="center"/>
      </w:pPr>
      <w:r>
        <w:drawing>
          <wp:inline xmlns:a="http://schemas.openxmlformats.org/drawingml/2006/main" xmlns:pic="http://schemas.openxmlformats.org/drawingml/2006/picture">
            <wp:extent cx="6217920" cy="145980"/>
            <wp:docPr id="126" name="Picture 126"/>
            <wp:cNvGraphicFramePr>
              <a:graphicFrameLocks noChangeAspect="1"/>
            </wp:cNvGraphicFramePr>
            <a:graphic>
              <a:graphicData uri="http://schemas.openxmlformats.org/drawingml/2006/picture">
                <pic:pic>
                  <pic:nvPicPr>
                    <pic:cNvPr id="0" name="eq-126.png"/>
                    <pic:cNvPicPr/>
                  </pic:nvPicPr>
                  <pic:blipFill>
                    <a:blip r:embed="rId128"/>
                    <a:stretch>
                      <a:fillRect/>
                    </a:stretch>
                  </pic:blipFill>
                  <pic:spPr>
                    <a:xfrm>
                      <a:off x="0" y="0"/>
                      <a:ext cx="6217920" cy="145980"/>
                    </a:xfrm>
                    <a:prstGeom prst="rect"/>
                  </pic:spPr>
                </pic:pic>
              </a:graphicData>
            </a:graphic>
          </wp:inline>
        </w:drawing>
      </w:r>
    </w:p>
    <w:p>
      <w:r>
        <w:rPr>
          <w:b w:val="0"/>
          <w:i w:val="0"/>
        </w:rPr>
        <w:t xml:space="preserve">Fixed and capital expenditure enter complete 17,520-period annual summaries; both are zero in shorter diagnostic runs. Annual generation includes storage discharge and boundary supply. The displayed “Ahead settlement price” uses the ahead generator price. The reliability coefficient reads </w:t>
      </w:r>
      <w:r>
        <w:rPr>
          <w:rFonts w:ascii="DejaVu Sans Mono" w:hAnsi="DejaVu Sans Mono"/>
          <w:b w:val="0"/>
          <w:i w:val="0"/>
          <w:sz w:val="17"/>
        </w:rPr>
        <w:t>market.voll_gbp_per_mwh</w:t>
      </w:r>
      <w:r>
        <w:rPr>
          <w:b w:val="0"/>
          <w:i w:val="0"/>
        </w:rPr>
        <w:t>, default £17,000/MWh. Chapter 6 describes the annual account and investment helpers that can use these complete experimental cash records.</w:t>
      </w:r>
    </w:p>
    <w:p>
      <w:pPr>
        <w:pStyle w:val="Heading1"/>
      </w:pPr>
      <w:r>
        <w:rPr>
          <w:b w:val="0"/>
          <w:i w:val="0"/>
        </w:rPr>
        <w:t>6 Experimental annual accounts and investment</w:t>
      </w:r>
    </w:p>
    <w:p>
      <w:r>
        <w:rPr>
          <w:b w:val="0"/>
          <w:i w:val="0"/>
        </w:rPr>
        <w:t xml:space="preserve">The experimental national pathway supplies period cash and physical states to separate annual-account and investment functions. The </w:t>
      </w:r>
      <w:r>
        <w:rPr>
          <w:rFonts w:ascii="DejaVu Sans Mono" w:hAnsi="DejaVu Sans Mono"/>
          <w:b w:val="0"/>
          <w:i w:val="0"/>
          <w:sz w:val="17"/>
        </w:rPr>
        <w:t>doctoral.investment_​basis=thesis_​final9.6</w:t>
      </w:r>
      <w:r>
        <w:rPr>
          <w:b w:val="0"/>
          <w:i w:val="0"/>
        </w:rPr>
        <w:t xml:space="preserve"> selection uses </w:t>
      </w:r>
      <w:r>
        <w:rPr>
          <w:rFonts w:ascii="DejaVu Sans Mono" w:hAnsi="DejaVu Sans Mono"/>
          <w:b w:val="0"/>
          <w:i w:val="0"/>
          <w:sz w:val="17"/>
        </w:rPr>
        <w:t>build_​thesis96_​asset_​accounts</w:t>
      </w:r>
      <w:r>
        <w:rPr>
          <w:b w:val="0"/>
          <w:i w:val="0"/>
        </w:rPr>
        <w:t xml:space="preserve"> and </w:t>
      </w:r>
      <w:r>
        <w:rPr>
          <w:rFonts w:ascii="DejaVu Sans Mono" w:hAnsi="DejaVu Sans Mono"/>
          <w:b w:val="0"/>
          <w:i w:val="0"/>
          <w:sz w:val="17"/>
        </w:rPr>
        <w:t>evaluate_​thesis96_​investment_​accounts</w:t>
      </w:r>
      <w:r>
        <w:rPr>
          <w:b w:val="0"/>
          <w:i w:val="0"/>
        </w:rPr>
        <w:t xml:space="preserve"> with the policy and planning rules below. Chapter 4 defines the default investment rule. The experimental PSM supports fixed-year dispatch, and its results retain </w:t>
      </w:r>
      <w:r>
        <w:rPr>
          <w:rFonts w:ascii="DejaVu Sans Mono" w:hAnsi="DejaVu Sans Mono"/>
          <w:b w:val="0"/>
          <w:i w:val="0"/>
          <w:sz w:val="17"/>
        </w:rPr>
        <w:t>scientific_​release_​eligible=false</w:t>
      </w:r>
      <w:r>
        <w:rPr>
          <w:b w:val="0"/>
          <w:i w:val="0"/>
        </w:rPr>
        <w:t xml:space="preserve"> and </w:t>
      </w:r>
      <w:r>
        <w:rPr>
          <w:rFonts w:ascii="DejaVu Sans Mono" w:hAnsi="DejaVu Sans Mono"/>
          <w:b w:val="0"/>
          <w:i w:val="0"/>
          <w:sz w:val="17"/>
        </w:rPr>
        <w:t>doctoral_​annual_​cem_​ready=false</w:t>
      </w:r>
      <w:r>
        <w:rPr>
          <w:b w:val="0"/>
          <w:i w:val="0"/>
        </w:rPr>
        <w:t>.</w:t>
      </w:r>
    </w:p>
    <w:p>
      <w:r>
        <w:rPr>
          <w:b w:val="0"/>
          <w:i w:val="0"/>
        </w:rPr>
        <w:t xml:space="preserve">R029 names the national study and its input family. Public1 contains 8,761 hourly solar values and lacks the required interval declaration; its eligibility excludes the corrected reader and doctoral reproduction whitelist. The public2 revision removes the value at 2023-01-01 00:00 UTC and declares all three VRE curves hourly. Public2 is supplied with the VALUE 0.7.0-alpha.1 release through the </w:t>
      </w:r>
      <w:r>
        <w:rPr>
          <w:b w:val="0"/>
          <w:i w:val="0"/>
        </w:rPr>
        <w:t>website data page</w:t>
      </w:r>
      <w:r>
        <w:rPr>
          <w:b w:val="0"/>
          <w:i w:val="0"/>
        </w:rPr>
        <w:t xml:space="preserve"> and has been used with corrected Native dispatch. The experimental calculations here take explicitly supplied annual accounts, traces and parameters.</w:t>
      </w:r>
    </w:p>
    <w:p>
      <w:pPr>
        <w:pStyle w:val="Heading2"/>
      </w:pPr>
      <w:r>
        <w:rPr>
          <w:b w:val="0"/>
          <w:i w:val="0"/>
        </w:rPr>
        <w:t>Annual accounts and decision groups</w:t>
      </w:r>
    </w:p>
    <w:p>
      <w:r>
        <w:rPr>
          <w:b w:val="0"/>
          <w:i w:val="0"/>
        </w:rPr>
        <w:t xml:space="preserve">An asset’s operating surplus combines ahead, balancing and policy receipts, then deducts variable and fixed OPEX. </w:t>
      </w:r>
      <w:r>
        <w:rPr>
          <w:rFonts w:ascii="DejaVu Sans Mono" w:hAnsi="DejaVu Sans Mono"/>
          <w:b w:val="0"/>
          <w:i w:val="0"/>
          <w:sz w:val="17"/>
        </w:rPr>
        <w:t>build_​thesis96_​asset_​accounts</w:t>
      </w:r>
      <w:r>
        <w:rPr>
          <w:b w:val="0"/>
          <w:i w:val="0"/>
        </w:rPr>
        <w:t xml:space="preserve"> requires a complete year of 17,520 half-hours. Each asset supplies </w:t>
      </w:r>
      <w:r>
        <w:rPr>
          <w:rFonts w:ascii="DejaVu Sans Mono" w:hAnsi="DejaVu Sans Mono"/>
          <w:b w:val="0"/>
          <w:i w:val="0"/>
          <w:sz w:val="17"/>
        </w:rPr>
        <w:t>annual_fixed_opex_gbp</w:t>
      </w:r>
      <w:r>
        <w:rPr>
          <w:b w:val="0"/>
          <w:i w:val="0"/>
        </w:rPr>
        <w:t xml:space="preserve"> and </w:t>
      </w:r>
      <w:r>
        <w:rPr>
          <w:rFonts w:ascii="DejaVu Sans Mono" w:hAnsi="DejaVu Sans Mono"/>
          <w:b w:val="0"/>
          <w:i w:val="0"/>
          <w:sz w:val="17"/>
        </w:rPr>
        <w:t>annualized_​capital_​cost_​gbp</w:t>
      </w:r>
      <w:r>
        <w:rPr>
          <w:b w:val="0"/>
          <w:i w:val="0"/>
        </w:rPr>
        <w:t>; the period ledger supplies market income and operating cost. All amounts in the following account are GBP for that year:</w:t>
      </w:r>
    </w:p>
    <w:p>
      <w:pPr>
        <w:keepLines/>
        <w:spacing w:line="276" w:lineRule="auto" w:after="160"/>
      </w:pPr>
      <w:r>
        <w:rPr>
          <w:rFonts w:ascii="DejaVu Sans Mono" w:hAnsi="DejaVu Sans Mono"/>
          <w:b w:val="0"/>
          <w:i w:val="0"/>
          <w:sz w:val="17"/>
        </w:rPr>
        <w:t>operating_surplus_gbp = (</w:t>
        <w:br/>
        <w:t xml:space="preserve">    market_income_gbp + balancing_income_gbp</w:t>
        <w:br/>
        <w:t xml:space="preserve">    + cm_income_gbp + decarb_income_gbp + ancillary_income_gbp</w:t>
        <w:br/>
        <w:t xml:space="preserve">    - variable_​operating_​cost_​gbp - annual_fixed_opex_gbp)</w:t>
        <w:br/>
        <w:t>annual_profit_gbp = operating_surplus_gbp - annualized_​capital_​cost_​gbp</w:t>
        <w:br/>
      </w:r>
    </w:p>
    <w:p>
      <w:r>
        <w:rPr>
          <w:b w:val="0"/>
          <w:i w:val="0"/>
        </w:rPr>
        <w:t xml:space="preserve">The account stores operating surplus in </w:t>
      </w:r>
      <w:r>
        <w:rPr>
          <w:rFonts w:ascii="DejaVu Sans Mono" w:hAnsi="DejaVu Sans Mono"/>
          <w:b w:val="0"/>
          <w:i w:val="0"/>
          <w:sz w:val="17"/>
        </w:rPr>
        <w:t>net_revenue_gbp</w:t>
      </w:r>
      <w:r>
        <w:rPr>
          <w:b w:val="0"/>
          <w:i w:val="0"/>
        </w:rPr>
        <w:t xml:space="preserve"> and post-capital profit in </w:t>
      </w:r>
      <w:r>
        <w:rPr>
          <w:rFonts w:ascii="DejaVu Sans Mono" w:hAnsi="DejaVu Sans Mono"/>
          <w:b w:val="0"/>
          <w:i w:val="0"/>
          <w:sz w:val="17"/>
        </w:rPr>
        <w:t>net_profit_gbp</w:t>
      </w:r>
      <w:r>
        <w:rPr>
          <w:b w:val="0"/>
          <w:i w:val="0"/>
        </w:rPr>
        <w:t>. Here the explicitly supplied fixed expenditure is deducted once. Chapter 4 gives the default wind, solar and storage treatment, where fixed OPEX is included in levelised CAPEX.</w:t>
      </w:r>
    </w:p>
    <w:p>
      <w:r>
        <w:rPr>
          <w:rFonts w:ascii="DejaVu Sans Mono" w:hAnsi="DejaVu Sans Mono"/>
          <w:b w:val="0"/>
          <w:i w:val="0"/>
          <w:sz w:val="17"/>
        </w:rPr>
        <w:t>decide_​doctoral_​investment</w:t>
      </w:r>
      <w:r>
        <w:rPr>
          <w:b w:val="0"/>
          <w:i w:val="0"/>
        </w:rPr>
        <w:t xml:space="preserve"> pools active positive-capacity assets by investment owner and technology. It sums annual surplus and capital, calculates capacity-weighted CAPEX per MW, takes the largest preferred rate and shortest retirement target, then allocates additions across regions by operating MW shares. Nuclear and direct electrolysis follow exogenous treatment; new natural hydro and pumped hydro require site inputs.</w:t>
      </w:r>
    </w:p>
    <w:p>
      <w:pPr>
        <w:keepNext/>
      </w:pPr>
      <w:r>
        <w:rPr>
          <w:b w:val="0"/>
          <w:i w:val="0"/>
        </w:rPr>
        <w:t xml:space="preserve">The evaluator reads </w:t>
      </w:r>
      <w:r>
        <w:rPr>
          <w:rFonts w:ascii="DejaVu Sans Mono" w:hAnsi="DejaVu Sans Mono"/>
          <w:b w:val="0"/>
          <w:i w:val="0"/>
          <w:sz w:val="17"/>
        </w:rPr>
        <w:t>surplus</w:t>
      </w:r>
      <w:r>
        <w:rPr>
          <w:b w:val="0"/>
          <w:i w:val="0"/>
        </w:rPr>
        <w:t xml:space="preserve"> from </w:t>
      </w:r>
      <w:r>
        <w:rPr>
          <w:rFonts w:ascii="DejaVu Sans Mono" w:hAnsi="DejaVu Sans Mono"/>
          <w:b w:val="0"/>
          <w:i w:val="0"/>
          <w:sz w:val="17"/>
        </w:rPr>
        <w:t>operating_surplus_gbp</w:t>
      </w:r>
      <w:r>
        <w:rPr>
          <w:b w:val="0"/>
          <w:i w:val="0"/>
        </w:rPr>
        <w:t xml:space="preserve">, </w:t>
      </w:r>
      <w:r>
        <w:rPr>
          <w:rFonts w:ascii="DejaVu Sans Mono" w:hAnsi="DejaVu Sans Mono"/>
          <w:b w:val="0"/>
          <w:i w:val="0"/>
          <w:sz w:val="17"/>
        </w:rPr>
        <w:t>annual_capital</w:t>
      </w:r>
      <w:r>
        <w:rPr>
          <w:b w:val="0"/>
          <w:i w:val="0"/>
        </w:rPr>
        <w:t xml:space="preserve"> from </w:t>
      </w:r>
      <w:r>
        <w:rPr>
          <w:rFonts w:ascii="DejaVu Sans Mono" w:hAnsi="DejaVu Sans Mono"/>
          <w:b w:val="0"/>
          <w:i w:val="0"/>
          <w:sz w:val="17"/>
        </w:rPr>
        <w:t>annualized_​capital_​cost_​gbp</w:t>
      </w:r>
      <w:r>
        <w:rPr>
          <w:b w:val="0"/>
          <w:i w:val="0"/>
        </w:rPr>
        <w:t xml:space="preserve">, </w:t>
      </w:r>
      <w:r>
        <w:rPr>
          <w:rFonts w:ascii="DejaVu Sans Mono" w:hAnsi="DejaVu Sans Mono"/>
          <w:b w:val="0"/>
          <w:i w:val="0"/>
          <w:sz w:val="17"/>
        </w:rPr>
        <w:t>capex</w:t>
      </w:r>
      <w:r>
        <w:rPr>
          <w:b w:val="0"/>
          <w:i w:val="0"/>
        </w:rPr>
        <w:t xml:space="preserve"> from </w:t>
      </w:r>
      <w:r>
        <w:rPr>
          <w:rFonts w:ascii="DejaVu Sans Mono" w:hAnsi="DejaVu Sans Mono"/>
          <w:b w:val="0"/>
          <w:i w:val="0"/>
          <w:sz w:val="17"/>
        </w:rPr>
        <w:t>capital_cost_per_mw_gbp</w:t>
      </w:r>
      <w:r>
        <w:rPr>
          <w:b w:val="0"/>
          <w:i w:val="0"/>
        </w:rPr>
        <w:t xml:space="preserve">, and </w:t>
      </w:r>
      <w:r>
        <w:rPr>
          <w:rFonts w:ascii="DejaVu Sans Mono" w:hAnsi="DejaVu Sans Mono"/>
          <w:b w:val="0"/>
          <w:i w:val="0"/>
          <w:sz w:val="17"/>
        </w:rPr>
        <w:t>preferred</w:t>
      </w:r>
      <w:r>
        <w:rPr>
          <w:b w:val="0"/>
          <w:i w:val="0"/>
        </w:rPr>
        <w:t xml:space="preserve"> from </w:t>
      </w:r>
      <w:r>
        <w:rPr>
          <w:rFonts w:ascii="DejaVu Sans Mono" w:hAnsi="DejaVu Sans Mono"/>
          <w:b w:val="0"/>
          <w:i w:val="0"/>
          <w:sz w:val="17"/>
        </w:rPr>
        <w:t>preferred_rate</w:t>
      </w:r>
      <w:r>
        <w:rPr>
          <w:b w:val="0"/>
          <w:i w:val="0"/>
        </w:rPr>
        <w:t xml:space="preserve">. Positive annual capital and unit CAPEX are required. Its </w:t>
      </w:r>
      <w:r>
        <w:rPr>
          <w:rFonts w:ascii="DejaVu Sans Mono" w:hAnsi="DejaVu Sans Mono"/>
          <w:b w:val="0"/>
          <w:i w:val="0"/>
          <w:sz w:val="17"/>
        </w:rPr>
        <w:t>profit</w:t>
      </w:r>
      <w:r>
        <w:rPr>
          <w:b w:val="0"/>
          <w:i w:val="0"/>
        </w:rPr>
        <w:t xml:space="preserve">, annual profit rate </w:t>
      </w:r>
      <w:r>
        <w:rPr>
          <w:rFonts w:ascii="DejaVu Sans Mono" w:hAnsi="DejaVu Sans Mono"/>
          <w:b w:val="0"/>
          <w:i w:val="0"/>
          <w:sz w:val="17"/>
        </w:rPr>
        <w:t>rate</w:t>
      </w:r>
      <w:r>
        <w:rPr>
          <w:b w:val="0"/>
          <w:i w:val="0"/>
        </w:rPr>
        <w:t xml:space="preserve"> and recommendation are:</w:t>
      </w:r>
    </w:p>
    <w:p>
      <w:pPr>
        <w:spacing w:after="160"/>
        <w:jc w:val="center"/>
      </w:pPr>
      <w:r>
        <w:drawing>
          <wp:inline xmlns:a="http://schemas.openxmlformats.org/drawingml/2006/main" xmlns:pic="http://schemas.openxmlformats.org/drawingml/2006/picture">
            <wp:extent cx="5288661" cy="379558"/>
            <wp:docPr id="127" name="Picture 127"/>
            <wp:cNvGraphicFramePr>
              <a:graphicFrameLocks noChangeAspect="1"/>
            </wp:cNvGraphicFramePr>
            <a:graphic>
              <a:graphicData uri="http://schemas.openxmlformats.org/drawingml/2006/picture">
                <pic:pic>
                  <pic:nvPicPr>
                    <pic:cNvPr id="0" name="eq-127.png"/>
                    <pic:cNvPicPr/>
                  </pic:nvPicPr>
                  <pic:blipFill>
                    <a:blip r:embed="rId129"/>
                    <a:stretch>
                      <a:fillRect/>
                    </a:stretch>
                  </pic:blipFill>
                  <pic:spPr>
                    <a:xfrm>
                      <a:off x="0" y="0"/>
                      <a:ext cx="5288661" cy="379558"/>
                    </a:xfrm>
                    <a:prstGeom prst="rect"/>
                  </pic:spPr>
                </pic:pic>
              </a:graphicData>
            </a:graphic>
          </wp:inline>
        </w:drawing>
      </w:r>
    </w:p>
    <w:p>
      <w:pPr>
        <w:keepLines/>
        <w:spacing w:line="276" w:lineRule="auto" w:after="160"/>
      </w:pPr>
      <w:r>
        <w:rPr>
          <w:rFonts w:ascii="DejaVu Sans Mono" w:hAnsi="DejaVu Sans Mono"/>
          <w:b w:val="0"/>
          <w:i w:val="0"/>
          <w:sz w:val="17"/>
        </w:rPr>
        <w:t>if surplus &gt; annual_capital * (1 + preferred):</w:t>
        <w:br/>
        <w:t xml:space="preserve">    recommendation = "Invest_High"</w:t>
        <w:br/>
        <w:t>elif profit &gt; 0:</w:t>
        <w:br/>
        <w:t xml:space="preserve">    recommendation = "Invest_Profit"</w:t>
        <w:br/>
        <w:t>elif surplus &lt; 0:</w:t>
        <w:br/>
        <w:t xml:space="preserve">    recommendation = "Deplete"</w:t>
        <w:br/>
        <w:t>else:</w:t>
        <w:br/>
        <w:t xml:space="preserve">    recommendation = "Do_Nothing"</w:t>
        <w:br/>
      </w:r>
    </w:p>
    <w:p>
      <w:r>
        <w:rPr>
          <w:b w:val="0"/>
          <w:i w:val="0"/>
        </w:rPr>
        <w:t xml:space="preserve">Equality at the high-return threshold enters </w:t>
      </w:r>
      <w:r>
        <w:rPr>
          <w:rFonts w:ascii="DejaVu Sans Mono" w:hAnsi="DejaVu Sans Mono"/>
          <w:b w:val="0"/>
          <w:i w:val="0"/>
          <w:sz w:val="17"/>
        </w:rPr>
        <w:t>Invest_Profit</w:t>
      </w:r>
      <w:r>
        <w:rPr>
          <w:b w:val="0"/>
          <w:i w:val="0"/>
        </w:rPr>
        <w:t xml:space="preserve"> when profit is positive. Nonnegative surplus with nonpositive post-capital profit retains capacity. </w:t>
      </w:r>
      <w:r>
        <w:rPr>
          <w:rFonts w:ascii="DejaVu Sans Mono" w:hAnsi="DejaVu Sans Mono"/>
          <w:b w:val="0"/>
          <w:i w:val="0"/>
          <w:sz w:val="17"/>
        </w:rPr>
        <w:t>thesis_​final96_​contract.json</w:t>
      </w:r>
      <w:r>
        <w:rPr>
          <w:b w:val="0"/>
          <w:i w:val="0"/>
        </w:rPr>
        <w:t xml:space="preserve"> specifies preferred rates of 0.076 for solar and onshore wind, 0.089 for offshore wind and 0.12 for storage. The evaluator uses the rate supplied in each account.</w:t>
      </w:r>
    </w:p>
    <w:p>
      <w:r>
        <w:rPr>
          <w:b w:val="0"/>
          <w:i w:val="0"/>
        </w:rPr>
        <w:t xml:space="preserve">Loss-based retirement uses the explicit </w:t>
      </w:r>
      <w:r>
        <w:rPr>
          <w:rFonts w:ascii="DejaVu Sans Mono" w:hAnsi="DejaVu Sans Mono"/>
          <w:b w:val="0"/>
          <w:i w:val="0"/>
          <w:sz w:val="17"/>
        </w:rPr>
        <w:t>target_payback_years</w:t>
      </w:r>
      <w:r>
        <w:rPr>
          <w:b w:val="0"/>
          <w:i w:val="0"/>
        </w:rPr>
        <w:t xml:space="preserve">. The default targets are 25 years for solar, CCGT, OCGT and hydrogen storage; 30 for onshore and offshore wind; 20 for biomass; and 10 for the three battery types. The literal technology </w:t>
      </w:r>
      <w:r>
        <w:rPr>
          <w:rFonts w:ascii="DejaVu Sans Mono" w:hAnsi="DejaVu Sans Mono"/>
          <w:b w:val="0"/>
          <w:i w:val="0"/>
          <w:sz w:val="17"/>
        </w:rPr>
        <w:t>gas</w:t>
      </w:r>
      <w:r>
        <w:rPr>
          <w:b w:val="0"/>
          <w:i w:val="0"/>
        </w:rPr>
        <w:t xml:space="preserve"> uses 20 years.</w:t>
      </w:r>
    </w:p>
    <w:p>
      <w:pPr>
        <w:pStyle w:val="Heading2"/>
      </w:pPr>
      <w:r>
        <w:rPr>
          <w:b w:val="0"/>
          <w:i w:val="0"/>
        </w:rPr>
        <w:t>Expansion limits and investment quantities</w:t>
      </w:r>
    </w:p>
    <w:p>
      <w:pPr>
        <w:keepNext/>
      </w:pPr>
      <w:r>
        <w:rPr>
          <w:b w:val="0"/>
          <w:i w:val="0"/>
        </w:rPr>
        <w:t xml:space="preserve">Experimental VRE expansion limits the number of periods in which operational VRE plus a candidate addition exceeds demand. </w:t>
      </w:r>
      <w:r>
        <w:rPr>
          <w:rFonts w:ascii="DejaVu Sans Mono" w:hAnsi="DejaVu Sans Mono"/>
          <w:b w:val="0"/>
          <w:i w:val="0"/>
          <w:sz w:val="17"/>
        </w:rPr>
        <w:t>thesis96_​vre_​annual_​expansion_​cap</w:t>
      </w:r>
      <w:r>
        <w:rPr>
          <w:b w:val="0"/>
          <w:i w:val="0"/>
        </w:rPr>
        <w:t xml:space="preserve"> reads </w:t>
      </w:r>
      <w:r>
        <w:rPr>
          <w:rFonts w:ascii="DejaVu Sans Mono" w:hAnsi="DejaVu Sans Mono"/>
          <w:b w:val="0"/>
          <w:i w:val="0"/>
          <w:sz w:val="17"/>
        </w:rPr>
        <w:t>demand_mwh</w:t>
      </w:r>
      <w:r>
        <w:rPr>
          <w:b w:val="0"/>
          <w:i w:val="0"/>
        </w:rPr>
        <w:t xml:space="preserve">, </w:t>
      </w:r>
      <w:r>
        <w:rPr>
          <w:rFonts w:ascii="DejaVu Sans Mono" w:hAnsi="DejaVu Sans Mono"/>
          <w:b w:val="0"/>
          <w:i w:val="0"/>
          <w:sz w:val="17"/>
        </w:rPr>
        <w:t>operational_​vre_​available_​mwh</w:t>
      </w:r>
      <w:r>
        <w:rPr>
          <w:b w:val="0"/>
          <w:i w:val="0"/>
        </w:rPr>
        <w:t xml:space="preserve"> and </w:t>
      </w:r>
      <w:r>
        <w:rPr>
          <w:rFonts w:ascii="DejaVu Sans Mono" w:hAnsi="DejaVu Sans Mono"/>
          <w:b w:val="0"/>
          <w:i w:val="0"/>
          <w:sz w:val="17"/>
        </w:rPr>
        <w:t>generation_per_mw_mwh</w:t>
      </w:r>
      <w:r>
        <w:rPr>
          <w:b w:val="0"/>
          <w:i w:val="0"/>
        </w:rPr>
        <w:t xml:space="preserve"> into </w:t>
      </w:r>
      <w:r>
        <w:rPr>
          <w:rFonts w:ascii="DejaVu Sans Mono" w:hAnsi="DejaVu Sans Mono"/>
          <w:b w:val="0"/>
          <w:i w:val="0"/>
          <w:sz w:val="17"/>
        </w:rPr>
        <w:t>demand</w:t>
      </w:r>
      <w:r>
        <w:rPr>
          <w:b w:val="0"/>
          <w:i w:val="0"/>
        </w:rPr>
        <w:t xml:space="preserve">, </w:t>
      </w:r>
      <w:r>
        <w:rPr>
          <w:rFonts w:ascii="DejaVu Sans Mono" w:hAnsi="DejaVu Sans Mono"/>
          <w:b w:val="0"/>
          <w:i w:val="0"/>
          <w:sz w:val="17"/>
        </w:rPr>
        <w:t>available</w:t>
      </w:r>
      <w:r>
        <w:rPr>
          <w:b w:val="0"/>
          <w:i w:val="0"/>
        </w:rPr>
        <w:t xml:space="preserve"> and </w:t>
      </w:r>
      <w:r>
        <w:rPr>
          <w:rFonts w:ascii="DejaVu Sans Mono" w:hAnsi="DejaVu Sans Mono"/>
          <w:b w:val="0"/>
          <w:i w:val="0"/>
          <w:sz w:val="17"/>
        </w:rPr>
        <w:t>profile</w:t>
      </w:r>
      <w:r>
        <w:rPr>
          <w:b w:val="0"/>
          <w:i w:val="0"/>
        </w:rPr>
        <w:t xml:space="preserve">. The first two arrays are period MWh; </w:t>
      </w:r>
      <w:r>
        <w:rPr>
          <w:rFonts w:ascii="DejaVu Sans Mono" w:hAnsi="DejaVu Sans Mono"/>
          <w:b w:val="0"/>
          <w:i w:val="0"/>
          <w:sz w:val="17"/>
        </w:rPr>
        <w:t>profile</w:t>
      </w:r>
      <w:r>
        <w:rPr>
          <w:b w:val="0"/>
          <w:i w:val="0"/>
        </w:rPr>
        <w:t xml:space="preserve"> is period MWh per MW of candidate capacity. It calculates:</w:t>
      </w:r>
    </w:p>
    <w:p>
      <w:pPr>
        <w:spacing w:after="160"/>
        <w:jc w:val="center"/>
      </w:pPr>
      <w:r>
        <w:drawing>
          <wp:inline xmlns:a="http://schemas.openxmlformats.org/drawingml/2006/main" xmlns:pic="http://schemas.openxmlformats.org/drawingml/2006/picture">
            <wp:extent cx="5120868" cy="171458"/>
            <wp:docPr id="128" name="Picture 128"/>
            <wp:cNvGraphicFramePr>
              <a:graphicFrameLocks noChangeAspect="1"/>
            </wp:cNvGraphicFramePr>
            <a:graphic>
              <a:graphicData uri="http://schemas.openxmlformats.org/drawingml/2006/picture">
                <pic:pic>
                  <pic:nvPicPr>
                    <pic:cNvPr id="0" name="eq-128.png"/>
                    <pic:cNvPicPr/>
                  </pic:nvPicPr>
                  <pic:blipFill>
                    <a:blip r:embed="rId130"/>
                    <a:stretch>
                      <a:fillRect/>
                    </a:stretch>
                  </pic:blipFill>
                  <pic:spPr>
                    <a:xfrm>
                      <a:off x="0" y="0"/>
                      <a:ext cx="5120868" cy="171458"/>
                    </a:xfrm>
                    <a:prstGeom prst="rect"/>
                  </pic:spPr>
                </pic:pic>
              </a:graphicData>
            </a:graphic>
          </wp:inline>
        </w:drawing>
      </w:r>
    </w:p>
    <w:p>
      <w:r>
        <w:rPr>
          <w:rFonts w:ascii="DejaVu Sans Mono" w:hAnsi="DejaVu Sans Mono"/>
          <w:b w:val="0"/>
          <w:i w:val="0"/>
          <w:sz w:val="17"/>
        </w:rPr>
        <w:t>negative_threshold</w:t>
      </w:r>
      <w:r>
        <w:rPr>
          <w:b w:val="0"/>
          <w:i w:val="0"/>
        </w:rPr>
        <w:t xml:space="preserve"> defaults to 200 periods and </w:t>
      </w:r>
      <w:r>
        <w:rPr>
          <w:rFonts w:ascii="DejaVu Sans Mono" w:hAnsi="DejaVu Sans Mono"/>
          <w:b w:val="0"/>
          <w:i w:val="0"/>
          <w:sz w:val="17"/>
        </w:rPr>
        <w:t>cap_fraction</w:t>
      </w:r>
      <w:r>
        <w:rPr>
          <w:b w:val="0"/>
          <w:i w:val="0"/>
        </w:rPr>
        <w:t xml:space="preserve"> to 0.20. When </w:t>
      </w:r>
      <w:r>
        <w:rPr>
          <w:rFonts w:ascii="DejaVu Sans Mono" w:hAnsi="DejaVu Sans Mono"/>
          <w:b w:val="0"/>
          <w:i w:val="0"/>
          <w:sz w:val="17"/>
        </w:rPr>
        <w:t>already_negative</w:t>
      </w:r>
      <w:r>
        <w:rPr>
          <w:b w:val="0"/>
          <w:i w:val="0"/>
        </w:rPr>
        <w:t xml:space="preserve"> reaches 200, the addition limit is zero. Otherwise, positive-profile periods with nonnegative net demand provide </w:t>
      </w:r>
      <w:r>
        <w:rPr>
          <w:rFonts w:ascii="DejaVu Sans Mono" w:hAnsi="DejaVu Sans Mono"/>
          <w:b w:val="0"/>
          <w:i w:val="0"/>
          <w:sz w:val="17"/>
        </w:rPr>
        <w:t>transitions=net/profile</w:t>
      </w:r>
      <w:r>
        <w:rPr>
          <w:b w:val="0"/>
          <w:i w:val="0"/>
        </w:rPr>
        <w:t xml:space="preserve">. The </w:t>
      </w:r>
      <w:r>
        <w:rPr>
          <w:rFonts w:ascii="DejaVu Sans Mono" w:hAnsi="DejaVu Sans Mono"/>
          <w:b w:val="0"/>
          <w:i w:val="0"/>
          <w:sz w:val="17"/>
        </w:rPr>
        <w:t>needed=negative_​threshold−already_​negative</w:t>
      </w:r>
      <w:r>
        <w:rPr>
          <w:b w:val="0"/>
          <w:i w:val="0"/>
        </w:rPr>
        <w:t xml:space="preserve"> smallest-order position gives </w:t>
      </w:r>
      <w:r>
        <w:rPr>
          <w:rFonts w:ascii="DejaVu Sans Mono" w:hAnsi="DejaVu Sans Mono"/>
          <w:b w:val="0"/>
          <w:i w:val="0"/>
          <w:sz w:val="17"/>
        </w:rPr>
        <w:t>critical</w:t>
      </w:r>
      <w:r>
        <w:rPr>
          <w:b w:val="0"/>
          <w:i w:val="0"/>
        </w:rPr>
        <w:t xml:space="preserve"> MW, and the limit is </w:t>
      </w:r>
      <w:r>
        <w:rPr>
          <w:rFonts w:ascii="DejaVu Sans Mono" w:hAnsi="DejaVu Sans Mono"/>
          <w:b w:val="0"/>
          <w:i w:val="0"/>
          <w:sz w:val="17"/>
        </w:rPr>
        <w:t>cap_fraction×critical</w:t>
      </w:r>
      <w:r>
        <w:rPr>
          <w:b w:val="0"/>
          <w:i w:val="0"/>
        </w:rPr>
        <w:t xml:space="preserve">. Fewer than </w:t>
      </w:r>
      <w:r>
        <w:rPr>
          <w:rFonts w:ascii="DejaVu Sans Mono" w:hAnsi="DejaVu Sans Mono"/>
          <w:b w:val="0"/>
          <w:i w:val="0"/>
          <w:sz w:val="17"/>
        </w:rPr>
        <w:t>needed</w:t>
      </w:r>
      <w:r>
        <w:rPr>
          <w:b w:val="0"/>
          <w:i w:val="0"/>
        </w:rPr>
        <w:t xml:space="preserve"> transitions gives zero.</w:t>
      </w:r>
    </w:p>
    <w:p>
      <w:r>
        <w:rPr>
          <w:b w:val="0"/>
          <w:i w:val="0"/>
        </w:rPr>
        <w:t xml:space="preserve">Storage uses an explicit annual technology allowance in </w:t>
      </w:r>
      <w:r>
        <w:rPr>
          <w:rFonts w:ascii="DejaVu Sans Mono" w:hAnsi="DejaVu Sans Mono"/>
          <w:b w:val="0"/>
          <w:i w:val="0"/>
          <w:sz w:val="17"/>
        </w:rPr>
        <w:t>annual_caps</w:t>
      </w:r>
      <w:r>
        <w:rPr>
          <w:b w:val="0"/>
          <w:i w:val="0"/>
        </w:rPr>
        <w:t xml:space="preserve">. </w:t>
      </w:r>
      <w:r>
        <w:rPr>
          <w:rFonts w:ascii="DejaVu Sans Mono" w:hAnsi="DejaVu Sans Mono"/>
          <w:b w:val="0"/>
          <w:i w:val="0"/>
          <w:sz w:val="17"/>
        </w:rPr>
        <w:t>storage_​expansion_​from_​traces</w:t>
      </w:r>
      <w:r>
        <w:rPr>
          <w:b w:val="0"/>
          <w:i w:val="0"/>
        </w:rPr>
        <w:t xml:space="preserve"> reads accepted VRE, actual demand, charging, post-charge surplus and discharge, then applies Chapter 4’s utilisation calculation. In the standard corrected lifecycle, the experimental PSM receives zero storage headroom with </w:t>
      </w:r>
      <w:r>
        <w:rPr>
          <w:rFonts w:ascii="DejaVu Sans Mono" w:hAnsi="DejaVu Sans Mono"/>
          <w:b w:val="0"/>
          <w:i w:val="0"/>
          <w:sz w:val="17"/>
        </w:rPr>
        <w:t>leftover_​trace_​unavailable</w:t>
      </w:r>
      <w:r>
        <w:rPr>
          <w:b w:val="0"/>
          <w:i w:val="0"/>
        </w:rPr>
        <w:t>; its standalone account analysis therefore requires the selected allowance and complete traces as inputs. The account threshold for storage is 12%, and annual storage price-and-profit-cap integration remains pending in the experimental PSM’s result record.</w:t>
      </w:r>
    </w:p>
    <w:p>
      <w:r>
        <w:rPr>
          <w:b w:val="0"/>
          <w:i w:val="0"/>
        </w:rPr>
        <w:t xml:space="preserve">Retained profit defines </w:t>
      </w:r>
      <w:r>
        <w:rPr>
          <w:rFonts w:ascii="DejaVu Sans Mono" w:hAnsi="DejaVu Sans Mono"/>
          <w:b w:val="0"/>
          <w:i w:val="0"/>
          <w:sz w:val="17"/>
        </w:rPr>
        <w:t>profit_​floor_​mw=max(profit,0)/​capex</w:t>
      </w:r>
      <w:r>
        <w:rPr>
          <w:b w:val="0"/>
          <w:i w:val="0"/>
        </w:rPr>
        <w:t xml:space="preserve">. Here </w:t>
      </w:r>
      <w:r>
        <w:rPr>
          <w:rFonts w:ascii="DejaVu Sans Mono" w:hAnsi="DejaVu Sans Mono"/>
          <w:b w:val="0"/>
          <w:i w:val="0"/>
          <w:sz w:val="17"/>
        </w:rPr>
        <w:t>capacity</w:t>
      </w:r>
      <w:r>
        <w:rPr>
          <w:b w:val="0"/>
          <w:i w:val="0"/>
        </w:rPr>
        <w:t xml:space="preserve"> is the group’s </w:t>
      </w:r>
      <w:r>
        <w:rPr>
          <w:rFonts w:ascii="DejaVu Sans Mono" w:hAnsi="DejaVu Sans Mono"/>
          <w:b w:val="0"/>
          <w:i w:val="0"/>
          <w:sz w:val="17"/>
        </w:rPr>
        <w:t>current_capacity_mw</w:t>
      </w:r>
      <w:r>
        <w:rPr>
          <w:b w:val="0"/>
          <w:i w:val="0"/>
        </w:rPr>
        <w:t xml:space="preserve">, </w:t>
      </w:r>
      <w:r>
        <w:rPr>
          <w:rFonts w:ascii="DejaVu Sans Mono" w:hAnsi="DejaVu Sans Mono"/>
          <w:b w:val="0"/>
          <w:i w:val="0"/>
          <w:sz w:val="17"/>
        </w:rPr>
        <w:t>capacity_by_tech[tech]</w:t>
      </w:r>
      <w:r>
        <w:rPr>
          <w:b w:val="0"/>
          <w:i w:val="0"/>
        </w:rPr>
        <w:t xml:space="preserve"> is the summed MW of parsed accounts for that technology, and </w:t>
      </w:r>
      <w:r>
        <w:rPr>
          <w:rFonts w:ascii="DejaVu Sans Mono" w:hAnsi="DejaVu Sans Mono"/>
          <w:b w:val="0"/>
          <w:i w:val="0"/>
          <w:sz w:val="17"/>
        </w:rPr>
        <w:t>caps</w:t>
      </w:r>
      <w:r>
        <w:rPr>
          <w:b w:val="0"/>
          <w:i w:val="0"/>
        </w:rPr>
        <w:t xml:space="preserve"> contains the </w:t>
      </w:r>
      <w:r>
        <w:rPr>
          <w:rFonts w:ascii="DejaVu Sans Mono" w:hAnsi="DejaVu Sans Mono"/>
          <w:b w:val="0"/>
          <w:i w:val="0"/>
          <w:sz w:val="17"/>
        </w:rPr>
        <w:t>annual_caps</w:t>
      </w:r>
      <w:r>
        <w:rPr>
          <w:b w:val="0"/>
          <w:i w:val="0"/>
        </w:rPr>
        <w:t xml:space="preserve"> input in MW. VRE groups receive a share of their technology allowance proportional to operating capacity: </w:t>
      </w:r>
      <w:r>
        <w:rPr>
          <w:rFonts w:ascii="DejaVu Sans Mono" w:hAnsi="DejaVu Sans Mono"/>
          <w:b w:val="0"/>
          <w:i w:val="0"/>
          <w:sz w:val="17"/>
        </w:rPr>
        <w:t>share=capacity/​capacity_​by_​tech[tech]</w:t>
      </w:r>
      <w:r>
        <w:rPr>
          <w:b w:val="0"/>
          <w:i w:val="0"/>
        </w:rPr>
        <w:t xml:space="preserve"> and </w:t>
      </w:r>
      <w:r>
        <w:rPr>
          <w:rFonts w:ascii="DejaVu Sans Mono" w:hAnsi="DejaVu Sans Mono"/>
          <w:b w:val="0"/>
          <w:i w:val="0"/>
          <w:sz w:val="17"/>
        </w:rPr>
        <w:t>cap_​share=caps[tech]×share</w:t>
      </w:r>
      <w:r>
        <w:rPr>
          <w:b w:val="0"/>
          <w:i w:val="0"/>
        </w:rPr>
        <w:t xml:space="preserve">. </w:t>
      </w:r>
      <w:r>
        <w:rPr>
          <w:rFonts w:ascii="DejaVu Sans Mono" w:hAnsi="DejaVu Sans Mono"/>
          <w:b w:val="0"/>
          <w:i w:val="0"/>
          <w:sz w:val="17"/>
        </w:rPr>
        <w:t>evaluate_​thesis96_​investment_​accounts</w:t>
      </w:r>
      <w:r>
        <w:rPr>
          <w:b w:val="0"/>
          <w:i w:val="0"/>
        </w:rPr>
        <w:t xml:space="preserve"> sets </w:t>
      </w:r>
      <w:r>
        <w:rPr>
          <w:rFonts w:ascii="DejaVu Sans Mono" w:hAnsi="DejaVu Sans Mono"/>
          <w:b w:val="0"/>
          <w:i w:val="0"/>
          <w:sz w:val="17"/>
        </w:rPr>
        <w:t>requested_addition_mw</w:t>
      </w:r>
      <w:r>
        <w:rPr>
          <w:b w:val="0"/>
          <w:i w:val="0"/>
        </w:rPr>
        <w:t xml:space="preserve"> as follows: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52"/>
        <w:gridCol w:w="4540"/>
      </w:tblGrid>
      <w:tr>
        <w:trPr>
          <w:cantSplit/>
          <w:tblHeader w:val="true"/>
        </w:trPr>
        <w:tc>
          <w:tcPr>
            <w:tcW w:type="dxa" w:w="5252"/>
            <w:vAlign w:val="center"/>
            <w:tcMar>
              <w:top w:w="90" w:type="dxa"/>
              <w:left w:w="90" w:type="dxa"/>
              <w:bottom w:w="90" w:type="dxa"/>
              <w:right w:w="90" w:type="dxa"/>
            </w:tcMar>
            <w:shd w:fill="EEEEEE"/>
          </w:tcPr>
          <w:p>
            <w:pPr>
              <w:spacing w:after="40" w:line="276" w:lineRule="auto"/>
            </w:pPr>
            <w:r>
              <w:rPr>
                <w:b/>
                <w:i w:val="0"/>
                <w:sz w:val="18"/>
              </w:rPr>
              <w:t>Recommendation and technology</w:t>
            </w:r>
          </w:p>
        </w:tc>
        <w:tc>
          <w:tcPr>
            <w:tcW w:type="dxa" w:w="4540"/>
            <w:vAlign w:val="center"/>
            <w:tcMar>
              <w:top w:w="90" w:type="dxa"/>
              <w:left w:w="90" w:type="dxa"/>
              <w:bottom w:w="90" w:type="dxa"/>
              <w:right w:w="90" w:type="dxa"/>
            </w:tcMar>
            <w:shd w:fill="EEEEEE"/>
          </w:tcPr>
          <w:p>
            <w:pPr>
              <w:spacing w:after="40" w:line="276" w:lineRule="auto"/>
            </w:pPr>
            <w:r>
              <w:rPr>
                <w:b/>
                <w:i w:val="0"/>
                <w:sz w:val="18"/>
              </w:rPr>
              <w:t>Requested MW</w:t>
            </w:r>
          </w:p>
        </w:tc>
      </w:tr>
      <w:tr>
        <w:trPr>
          <w:cantSplit/>
        </w:trPr>
        <w:tc>
          <w:tcPr>
            <w:tcW w:type="dxa" w:w="5252"/>
            <w:vAlign w:val="center"/>
            <w:tcMar>
              <w:top w:w="90" w:type="dxa"/>
              <w:left w:w="90" w:type="dxa"/>
              <w:bottom w:w="90" w:type="dxa"/>
              <w:right w:w="90" w:type="dxa"/>
            </w:tcMar>
          </w:tcPr>
          <w:p>
            <w:pPr>
              <w:spacing w:after="40" w:line="276" w:lineRule="auto"/>
            </w:pPr>
            <w:r>
              <w:rPr>
                <w:rFonts w:ascii="DejaVu Sans Mono" w:hAnsi="DejaVu Sans Mono"/>
                <w:b w:val="0"/>
                <w:i w:val="0"/>
                <w:sz w:val="18"/>
              </w:rPr>
              <w:t>Invest_High</w:t>
            </w:r>
            <w:r>
              <w:rPr>
                <w:b w:val="0"/>
                <w:i w:val="0"/>
                <w:sz w:val="18"/>
              </w:rPr>
              <w:t>, VRE</w:t>
            </w:r>
          </w:p>
        </w:tc>
        <w:tc>
          <w:tcPr>
            <w:tcW w:type="dxa" w:w="4540"/>
            <w:vAlign w:val="center"/>
            <w:tcMar>
              <w:top w:w="90" w:type="dxa"/>
              <w:left w:w="90" w:type="dxa"/>
              <w:bottom w:w="90" w:type="dxa"/>
              <w:right w:w="90" w:type="dxa"/>
            </w:tcMar>
          </w:tcPr>
          <w:p>
            <w:pPr>
              <w:spacing w:after="40" w:line="276" w:lineRule="auto"/>
            </w:pPr>
            <w:r>
              <w:rPr>
                <w:rFonts w:ascii="DejaVu Sans Mono" w:hAnsi="DejaVu Sans Mono"/>
                <w:b w:val="0"/>
                <w:i w:val="0"/>
                <w:sz w:val="18"/>
              </w:rPr>
              <w:t>cap_share</w:t>
            </w:r>
          </w:p>
        </w:tc>
      </w:tr>
      <w:tr>
        <w:trPr>
          <w:cantSplit/>
        </w:trPr>
        <w:tc>
          <w:tcPr>
            <w:tcW w:type="dxa" w:w="5252"/>
            <w:vAlign w:val="center"/>
            <w:tcMar>
              <w:top w:w="90" w:type="dxa"/>
              <w:left w:w="90" w:type="dxa"/>
              <w:bottom w:w="90" w:type="dxa"/>
              <w:right w:w="90" w:type="dxa"/>
            </w:tcMar>
          </w:tcPr>
          <w:p>
            <w:pPr>
              <w:spacing w:after="40" w:line="276" w:lineRule="auto"/>
            </w:pPr>
            <w:r>
              <w:rPr>
                <w:rFonts w:ascii="DejaVu Sans Mono" w:hAnsi="DejaVu Sans Mono"/>
                <w:b w:val="0"/>
                <w:i w:val="0"/>
                <w:sz w:val="18"/>
              </w:rPr>
              <w:t>Invest_Profit</w:t>
            </w:r>
            <w:r>
              <w:rPr>
                <w:b w:val="0"/>
                <w:i w:val="0"/>
                <w:sz w:val="18"/>
              </w:rPr>
              <w:t>, VRE</w:t>
            </w:r>
          </w:p>
        </w:tc>
        <w:tc>
          <w:tcPr>
            <w:tcW w:type="dxa" w:w="4540"/>
            <w:vAlign w:val="center"/>
            <w:tcMar>
              <w:top w:w="90" w:type="dxa"/>
              <w:left w:w="90" w:type="dxa"/>
              <w:bottom w:w="90" w:type="dxa"/>
              <w:right w:w="90" w:type="dxa"/>
            </w:tcMar>
          </w:tcPr>
          <w:p>
            <w:pPr>
              <w:spacing w:after="40" w:line="276" w:lineRule="auto"/>
            </w:pPr>
            <w:r>
              <w:rPr>
                <w:rFonts w:ascii="DejaVu Sans Mono" w:hAnsi="DejaVu Sans Mono"/>
                <w:b w:val="0"/>
                <w:i w:val="0"/>
                <w:sz w:val="18"/>
              </w:rPr>
              <w:t>min(cap_​share,profit_​floor_​mw)</w:t>
            </w:r>
          </w:p>
        </w:tc>
      </w:tr>
      <w:tr>
        <w:trPr>
          <w:cantSplit/>
        </w:trPr>
        <w:tc>
          <w:tcPr>
            <w:tcW w:type="dxa" w:w="5252"/>
            <w:vAlign w:val="center"/>
            <w:tcMar>
              <w:top w:w="90" w:type="dxa"/>
              <w:left w:w="90" w:type="dxa"/>
              <w:bottom w:w="90" w:type="dxa"/>
              <w:right w:w="90" w:type="dxa"/>
            </w:tcMar>
          </w:tcPr>
          <w:p>
            <w:pPr>
              <w:spacing w:after="40" w:line="276" w:lineRule="auto"/>
            </w:pPr>
            <w:r>
              <w:rPr>
                <w:rFonts w:ascii="DejaVu Sans Mono" w:hAnsi="DejaVu Sans Mono"/>
                <w:b w:val="0"/>
                <w:i w:val="0"/>
                <w:sz w:val="18"/>
              </w:rPr>
              <w:t>Invest_High</w:t>
            </w:r>
            <w:r>
              <w:rPr>
                <w:b w:val="0"/>
                <w:i w:val="0"/>
                <w:sz w:val="18"/>
              </w:rPr>
              <w:t>, CCGT, OCGT or biomass</w:t>
            </w:r>
          </w:p>
        </w:tc>
        <w:tc>
          <w:tcPr>
            <w:tcW w:type="dxa" w:w="4540"/>
            <w:vAlign w:val="center"/>
            <w:tcMar>
              <w:top w:w="90" w:type="dxa"/>
              <w:left w:w="90" w:type="dxa"/>
              <w:bottom w:w="90" w:type="dxa"/>
              <w:right w:w="90" w:type="dxa"/>
            </w:tcMar>
          </w:tcPr>
          <w:p>
            <w:pPr>
              <w:spacing w:after="40" w:line="276" w:lineRule="auto"/>
            </w:pPr>
            <w:r>
              <w:rPr>
                <w:rFonts w:ascii="DejaVu Sans Mono" w:hAnsi="DejaVu Sans Mono"/>
                <w:b w:val="0"/>
                <w:i w:val="0"/>
                <w:sz w:val="18"/>
              </w:rPr>
              <w:t>0.01×capacity</w:t>
            </w:r>
          </w:p>
        </w:tc>
      </w:tr>
      <w:tr>
        <w:trPr>
          <w:cantSplit/>
        </w:trPr>
        <w:tc>
          <w:tcPr>
            <w:tcW w:type="dxa" w:w="5252"/>
            <w:vAlign w:val="center"/>
            <w:tcMar>
              <w:top w:w="90" w:type="dxa"/>
              <w:left w:w="90" w:type="dxa"/>
              <w:bottom w:w="90" w:type="dxa"/>
              <w:right w:w="90" w:type="dxa"/>
            </w:tcMar>
          </w:tcPr>
          <w:p>
            <w:pPr>
              <w:spacing w:after="40" w:line="276" w:lineRule="auto"/>
            </w:pPr>
            <w:r>
              <w:rPr>
                <w:rFonts w:ascii="DejaVu Sans Mono" w:hAnsi="DejaVu Sans Mono"/>
                <w:b w:val="0"/>
                <w:i w:val="0"/>
                <w:sz w:val="18"/>
              </w:rPr>
              <w:t>Invest_High</w:t>
            </w:r>
            <w:r>
              <w:rPr>
                <w:b w:val="0"/>
                <w:i w:val="0"/>
                <w:sz w:val="18"/>
              </w:rPr>
              <w:t>, storage</w:t>
            </w:r>
          </w:p>
        </w:tc>
        <w:tc>
          <w:tcPr>
            <w:tcW w:type="dxa" w:w="4540"/>
            <w:vAlign w:val="center"/>
            <w:tcMar>
              <w:top w:w="90" w:type="dxa"/>
              <w:left w:w="90" w:type="dxa"/>
              <w:bottom w:w="90" w:type="dxa"/>
              <w:right w:w="90" w:type="dxa"/>
            </w:tcMar>
          </w:tcPr>
          <w:p>
            <w:pPr>
              <w:spacing w:after="40" w:line="276" w:lineRule="auto"/>
            </w:pPr>
            <w:r>
              <w:rPr>
                <w:rFonts w:ascii="DejaVu Sans Mono" w:hAnsi="DejaVu Sans Mono"/>
                <w:b w:val="0"/>
                <w:i w:val="0"/>
                <w:sz w:val="18"/>
              </w:rPr>
              <w:t>max(caps[tech],profit_​floor_​mw)</w:t>
            </w:r>
          </w:p>
        </w:tc>
      </w:tr>
      <w:tr>
        <w:trPr>
          <w:cantSplit/>
        </w:trPr>
        <w:tc>
          <w:tcPr>
            <w:tcW w:type="dxa" w:w="5252"/>
            <w:vAlign w:val="center"/>
            <w:tcMar>
              <w:top w:w="90" w:type="dxa"/>
              <w:left w:w="90" w:type="dxa"/>
              <w:bottom w:w="90" w:type="dxa"/>
              <w:right w:w="90" w:type="dxa"/>
            </w:tcMar>
          </w:tcPr>
          <w:p>
            <w:pPr>
              <w:spacing w:after="40" w:line="276" w:lineRule="auto"/>
            </w:pPr>
            <w:r>
              <w:rPr>
                <w:rFonts w:ascii="DejaVu Sans Mono" w:hAnsi="DejaVu Sans Mono"/>
                <w:b w:val="0"/>
                <w:i w:val="0"/>
                <w:sz w:val="18"/>
              </w:rPr>
              <w:t>Invest_Profit</w:t>
            </w:r>
            <w:r>
              <w:rPr>
                <w:b w:val="0"/>
                <w:i w:val="0"/>
                <w:sz w:val="18"/>
              </w:rPr>
              <w:t>, other eligible technology</w:t>
            </w:r>
          </w:p>
        </w:tc>
        <w:tc>
          <w:tcPr>
            <w:tcW w:type="dxa" w:w="4540"/>
            <w:vAlign w:val="center"/>
            <w:tcMar>
              <w:top w:w="90" w:type="dxa"/>
              <w:left w:w="90" w:type="dxa"/>
              <w:bottom w:w="90" w:type="dxa"/>
              <w:right w:w="90" w:type="dxa"/>
            </w:tcMar>
          </w:tcPr>
          <w:p>
            <w:pPr>
              <w:spacing w:after="40" w:line="276" w:lineRule="auto"/>
            </w:pPr>
            <w:r>
              <w:rPr>
                <w:rFonts w:ascii="DejaVu Sans Mono" w:hAnsi="DejaVu Sans Mono"/>
                <w:b w:val="0"/>
                <w:i w:val="0"/>
                <w:sz w:val="18"/>
              </w:rPr>
              <w:t>profit_floor_mw</w:t>
            </w:r>
          </w:p>
        </w:tc>
      </w:tr>
      <w:tr>
        <w:trPr>
          <w:cantSplit/>
        </w:trPr>
        <w:tc>
          <w:tcPr>
            <w:tcW w:type="dxa" w:w="5252"/>
            <w:vAlign w:val="center"/>
            <w:tcMar>
              <w:top w:w="90" w:type="dxa"/>
              <w:left w:w="90" w:type="dxa"/>
              <w:bottom w:w="90" w:type="dxa"/>
              <w:right w:w="90" w:type="dxa"/>
            </w:tcMar>
          </w:tcPr>
          <w:p>
            <w:pPr>
              <w:spacing w:after="40" w:line="276" w:lineRule="auto"/>
            </w:pPr>
            <w:r>
              <w:rPr>
                <w:rFonts w:ascii="DejaVu Sans Mono" w:hAnsi="DejaVu Sans Mono"/>
                <w:b w:val="0"/>
                <w:i w:val="0"/>
                <w:sz w:val="18"/>
              </w:rPr>
              <w:t>Deplete</w:t>
            </w:r>
            <w:r>
              <w:rPr>
                <w:b w:val="0"/>
                <w:i w:val="0"/>
                <w:sz w:val="18"/>
              </w:rPr>
              <w:t xml:space="preserve"> or </w:t>
            </w:r>
            <w:r>
              <w:rPr>
                <w:rFonts w:ascii="DejaVu Sans Mono" w:hAnsi="DejaVu Sans Mono"/>
                <w:b w:val="0"/>
                <w:i w:val="0"/>
                <w:sz w:val="18"/>
              </w:rPr>
              <w:t>Do_Nothing</w:t>
            </w:r>
          </w:p>
        </w:tc>
        <w:tc>
          <w:tcPr>
            <w:tcW w:type="dxa" w:w="4540"/>
            <w:vAlign w:val="center"/>
            <w:tcMar>
              <w:top w:w="90" w:type="dxa"/>
              <w:left w:w="90" w:type="dxa"/>
              <w:bottom w:w="90" w:type="dxa"/>
              <w:right w:w="90" w:type="dxa"/>
            </w:tcMar>
          </w:tcPr>
          <w:p>
            <w:pPr>
              <w:spacing w:after="40" w:line="276" w:lineRule="auto"/>
            </w:pPr>
            <w:r>
              <w:rPr>
                <w:b w:val="0"/>
                <w:i w:val="0"/>
                <w:sz w:val="18"/>
              </w:rPr>
              <w:t>0</w:t>
            </w:r>
          </w:p>
        </w:tc>
      </w:tr>
    </w:tbl>
    <w:p>
      <w:pPr>
        <w:spacing w:after="20"/>
      </w:pPr>
    </w:p>
    <w:p>
      <w:r>
        <w:rPr>
          <w:b w:val="0"/>
          <w:i w:val="0"/>
        </w:rPr>
        <w:t xml:space="preserve">High-return storage accounts share the same technology allowance subject to their retained-profit floors. Here </w:t>
      </w:r>
      <w:r>
        <w:rPr>
          <w:rFonts w:ascii="DejaVu Sans Mono" w:hAnsi="DejaVu Sans Mono"/>
          <w:b w:val="0"/>
          <w:i w:val="0"/>
          <w:sz w:val="17"/>
        </w:rPr>
        <w:t>high</w:t>
      </w:r>
      <w:r>
        <w:rPr>
          <w:b w:val="0"/>
          <w:i w:val="0"/>
        </w:rPr>
        <w:t xml:space="preserve"> is the set of eligible </w:t>
      </w:r>
      <w:r>
        <w:rPr>
          <w:rFonts w:ascii="DejaVu Sans Mono" w:hAnsi="DejaVu Sans Mono"/>
          <w:b w:val="0"/>
          <w:i w:val="0"/>
          <w:sz w:val="17"/>
        </w:rPr>
        <w:t>Invest_High</w:t>
      </w:r>
      <w:r>
        <w:rPr>
          <w:b w:val="0"/>
          <w:i w:val="0"/>
        </w:rPr>
        <w:t xml:space="preserve"> accounts for one technology, and </w:t>
      </w:r>
      <w:r>
        <w:rPr>
          <w:rFonts w:ascii="DejaVu Sans Mono" w:hAnsi="DejaVu Sans Mono"/>
          <w:b w:val="0"/>
          <w:i w:val="0"/>
          <w:sz w:val="17"/>
        </w:rPr>
        <w:t>total</w:t>
      </w:r>
      <w:r>
        <w:rPr>
          <w:b w:val="0"/>
          <w:i w:val="0"/>
        </w:rPr>
        <w:t xml:space="preserve"> sums their requested MW. The allocator first calculates:</w:t>
      </w:r>
    </w:p>
    <w:p>
      <w:pPr>
        <w:keepLines/>
        <w:spacing w:line="276" w:lineRule="auto" w:after="160"/>
      </w:pPr>
      <w:r>
        <w:rPr>
          <w:rFonts w:ascii="DejaVu Sans Mono" w:hAnsi="DejaVu Sans Mono"/>
          <w:b w:val="0"/>
          <w:i w:val="0"/>
          <w:sz w:val="17"/>
        </w:rPr>
        <w:t>allowed = max(</w:t>
        <w:br/>
        <w:t xml:space="preserve">    sum(row["profit_​floor_​mw"] for row in high),</w:t>
        <w:br/>
        <w:t xml:space="preserve">    min(total, caps.get(tech, 0)))</w:t>
        <w:br/>
      </w:r>
    </w:p>
    <w:p>
      <w:r>
        <w:rPr>
          <w:b w:val="0"/>
          <w:i w:val="0"/>
        </w:rPr>
        <w:t xml:space="preserve">The allocator distributes </w:t>
      </w:r>
      <w:r>
        <w:rPr>
          <w:rFonts w:ascii="DejaVu Sans Mono" w:hAnsi="DejaVu Sans Mono"/>
          <w:b w:val="0"/>
          <w:i w:val="0"/>
          <w:sz w:val="17"/>
        </w:rPr>
        <w:t>allowed</w:t>
      </w:r>
      <w:r>
        <w:rPr>
          <w:b w:val="0"/>
          <w:i w:val="0"/>
        </w:rPr>
        <w:t xml:space="preserve"> in proportion to requested MW. Accounts whose proportional allocation falls below </w:t>
      </w:r>
      <w:r>
        <w:rPr>
          <w:rFonts w:ascii="DejaVu Sans Mono" w:hAnsi="DejaVu Sans Mono"/>
          <w:b w:val="0"/>
          <w:i w:val="0"/>
          <w:sz w:val="17"/>
        </w:rPr>
        <w:t>profit_floor_mw</w:t>
      </w:r>
      <w:r>
        <w:rPr>
          <w:b w:val="0"/>
          <w:i w:val="0"/>
        </w:rPr>
        <w:t xml:space="preserve"> receive that floor; the remaining budget is redistributed over the other requests until every bound is met. Profit-class storage directly receives its retained-profit quantity. A loss-making account sets </w:t>
      </w:r>
      <w:r>
        <w:rPr>
          <w:rFonts w:ascii="DejaVu Sans Mono" w:hAnsi="DejaVu Sans Mono"/>
          <w:b w:val="0"/>
          <w:i w:val="0"/>
          <w:sz w:val="17"/>
        </w:rPr>
        <w:t>retirement_​mw=min(capacity,−operating_​surplus_​gbp×target_​payback_​years/​capital_​cost_​per_​mw_​gbp)</w:t>
      </w:r>
      <w:r>
        <w:rPr>
          <w:b w:val="0"/>
          <w:i w:val="0"/>
        </w:rPr>
        <w:t>.</w:t>
      </w:r>
    </w:p>
    <w:p>
      <w:r>
        <w:rPr>
          <w:b w:val="0"/>
          <w:i w:val="0"/>
        </w:rPr>
        <w:t xml:space="preserve">Accepted additions determine planned retained-profit and external funding. </w:t>
      </w:r>
      <w:r>
        <w:rPr>
          <w:rFonts w:ascii="DejaVu Sans Mono" w:hAnsi="DejaVu Sans Mono"/>
          <w:b w:val="0"/>
          <w:i w:val="0"/>
          <w:sz w:val="17"/>
        </w:rPr>
        <w:t>spent</w:t>
      </w:r>
      <w:r>
        <w:rPr>
          <w:b w:val="0"/>
          <w:i w:val="0"/>
        </w:rPr>
        <w:t xml:space="preserve"> is the capital required for </w:t>
      </w:r>
      <w:r>
        <w:rPr>
          <w:rFonts w:ascii="DejaVu Sans Mono" w:hAnsi="DejaVu Sans Mono"/>
          <w:b w:val="0"/>
          <w:i w:val="0"/>
          <w:sz w:val="17"/>
        </w:rPr>
        <w:t>accepted_addition_mw</w:t>
      </w:r>
      <w:r>
        <w:rPr>
          <w:b w:val="0"/>
          <w:i w:val="0"/>
        </w:rPr>
        <w:t xml:space="preserve">; </w:t>
      </w:r>
      <w:r>
        <w:rPr>
          <w:rFonts w:ascii="DejaVu Sans Mono" w:hAnsi="DejaVu Sans Mono"/>
          <w:b w:val="0"/>
          <w:i w:val="0"/>
          <w:sz w:val="17"/>
        </w:rPr>
        <w:t>retained</w:t>
      </w:r>
      <w:r>
        <w:rPr>
          <w:b w:val="0"/>
          <w:i w:val="0"/>
        </w:rPr>
        <w:t xml:space="preserve"> is the smaller of positive annual profit and that expenditure. The remainder becomes </w:t>
      </w:r>
      <w:r>
        <w:rPr>
          <w:rFonts w:ascii="DejaVu Sans Mono" w:hAnsi="DejaVu Sans Mono"/>
          <w:b w:val="0"/>
          <w:i w:val="0"/>
          <w:sz w:val="17"/>
        </w:rPr>
        <w:t>externally_​funded_​capital_​gbp</w:t>
      </w:r>
      <w:r>
        <w:rPr>
          <w:b w:val="0"/>
          <w:i w:val="0"/>
        </w:rPr>
        <w:t>:</w:t>
      </w:r>
    </w:p>
    <w:p>
      <w:pPr>
        <w:keepLines/>
        <w:spacing w:line="276" w:lineRule="auto" w:after="160"/>
      </w:pPr>
      <w:r>
        <w:rPr>
          <w:rFonts w:ascii="DejaVu Sans Mono" w:hAnsi="DejaVu Sans Mono"/>
          <w:b w:val="0"/>
          <w:i w:val="0"/>
          <w:sz w:val="17"/>
        </w:rPr>
        <w:t>spent = accepted_addition_mw * capital_cost_per_mw_gbp</w:t>
        <w:br/>
        <w:t>retained = min(max(annual_​profit_​gbp, 0), spent)</w:t>
        <w:br/>
        <w:t>profit_​funded_​addition_​mw = retained / capital_cost_per_mw_gbp</w:t>
        <w:br/>
        <w:t>externally_​funded_​capital_​gbp = spent - retained</w:t>
        <w:br/>
      </w:r>
    </w:p>
    <w:p>
      <w:r>
        <w:rPr>
          <w:b w:val="0"/>
          <w:i w:val="0"/>
        </w:rPr>
        <w:t xml:space="preserve">The adapter allocates </w:t>
      </w:r>
      <w:r>
        <w:rPr>
          <w:rFonts w:ascii="DejaVu Sans Mono" w:hAnsi="DejaVu Sans Mono"/>
          <w:b w:val="0"/>
          <w:i w:val="0"/>
          <w:sz w:val="17"/>
        </w:rPr>
        <w:t>addition</w:t>
      </w:r>
      <w:r>
        <w:rPr>
          <w:b w:val="0"/>
          <w:i w:val="0"/>
        </w:rPr>
        <w:t xml:space="preserve"> to each region as </w:t>
      </w:r>
      <w:r>
        <w:rPr>
          <w:rFonts w:ascii="DejaVu Sans Mono" w:hAnsi="DejaVu Sans Mono"/>
          <w:b w:val="0"/>
          <w:i w:val="0"/>
          <w:sz w:val="17"/>
        </w:rPr>
        <w:t>region_​addition=addition×region_​capacity/​capacity</w:t>
      </w:r>
      <w:r>
        <w:rPr>
          <w:b w:val="0"/>
          <w:i w:val="0"/>
        </w:rPr>
        <w:t xml:space="preserve">. Storage energy follows that region’s aggregate energy-to-power ratio, and </w:t>
      </w:r>
      <w:r>
        <w:rPr>
          <w:rFonts w:ascii="DejaVu Sans Mono" w:hAnsi="DejaVu Sans Mono"/>
          <w:b w:val="0"/>
          <w:i w:val="0"/>
          <w:sz w:val="17"/>
        </w:rPr>
        <w:t>life</w:t>
      </w:r>
      <w:r>
        <w:rPr>
          <w:b w:val="0"/>
          <w:i w:val="0"/>
        </w:rPr>
        <w:t xml:space="preserve"> takes the minimum member economic lifetime. The resulting funding record uses a 0.05 loan rate and a tenor equal to </w:t>
      </w:r>
      <w:r>
        <w:rPr>
          <w:rFonts w:ascii="DejaVu Sans Mono" w:hAnsi="DejaVu Sans Mono"/>
          <w:b w:val="0"/>
          <w:i w:val="0"/>
          <w:sz w:val="17"/>
        </w:rPr>
        <w:t>life</w:t>
      </w:r>
      <w:r>
        <w:rPr>
          <w:b w:val="0"/>
          <w:i w:val="0"/>
        </w:rPr>
        <w:t>; separate equity recovery and loan-draw schedules are the remaining funding-interface work.</w:t>
      </w:r>
    </w:p>
    <w:p>
      <w:r>
        <w:rPr>
          <w:b w:val="0"/>
          <w:i w:val="0"/>
        </w:rPr>
        <w:t xml:space="preserve">Endogenous timing and success use the same frozen tables as Chapter 4. </w:t>
      </w:r>
      <w:r>
        <w:rPr>
          <w:rFonts w:ascii="DejaVu Sans Mono" w:hAnsi="DejaVu Sans Mono"/>
          <w:b w:val="0"/>
          <w:i w:val="0"/>
          <w:sz w:val="17"/>
        </w:rPr>
        <w:t>decide_​doctoral_​investment</w:t>
      </w:r>
      <w:r>
        <w:rPr>
          <w:b w:val="0"/>
          <w:i w:val="0"/>
        </w:rPr>
        <w:t xml:space="preserve"> calls </w:t>
      </w:r>
      <w:r>
        <w:rPr>
          <w:rFonts w:ascii="DejaVu Sans Mono" w:hAnsi="DejaVu Sans Mono"/>
          <w:b w:val="0"/>
          <w:i w:val="0"/>
          <w:sz w:val="17"/>
        </w:rPr>
        <w:t>endogenous_​planning_​terms(state.extensions["planning_​parameters"],technology,owner,decision_​year)</w:t>
      </w:r>
      <w:r>
        <w:rPr>
          <w:b w:val="0"/>
          <w:i w:val="0"/>
        </w:rPr>
        <w:t xml:space="preserve"> for each regional proposal, then records </w:t>
      </w:r>
      <w:r>
        <w:rPr>
          <w:rFonts w:ascii="DejaVu Sans Mono" w:hAnsi="DejaVu Sans Mono"/>
          <w:b w:val="0"/>
          <w:i w:val="0"/>
          <w:sz w:val="17"/>
        </w:rPr>
        <w:t>expected_​completion_​year</w:t>
      </w:r>
      <w:r>
        <w:rPr>
          <w:b w:val="0"/>
          <w:i w:val="0"/>
        </w:rPr>
        <w:t xml:space="preserve">, </w:t>
      </w:r>
      <w:r>
        <w:rPr>
          <w:rFonts w:ascii="DejaVu Sans Mono" w:hAnsi="DejaVu Sans Mono"/>
          <w:b w:val="0"/>
          <w:i w:val="0"/>
          <w:sz w:val="17"/>
        </w:rPr>
        <w:t>success_probability</w:t>
      </w:r>
      <w:r>
        <w:rPr>
          <w:b w:val="0"/>
          <w:i w:val="0"/>
        </w:rPr>
        <w:t xml:space="preserve">, </w:t>
      </w:r>
      <w:r>
        <w:rPr>
          <w:rFonts w:ascii="DejaVu Sans Mono" w:hAnsi="DejaVu Sans Mono"/>
          <w:b w:val="0"/>
          <w:i w:val="0"/>
          <w:sz w:val="17"/>
        </w:rPr>
        <w:t>timeline_months</w:t>
      </w:r>
      <w:r>
        <w:rPr>
          <w:b w:val="0"/>
          <w:i w:val="0"/>
        </w:rPr>
        <w:t xml:space="preserve"> and </w:t>
      </w:r>
      <w:r>
        <w:rPr>
          <w:rFonts w:ascii="DejaVu Sans Mono" w:hAnsi="DejaVu Sans Mono"/>
          <w:b w:val="0"/>
          <w:i w:val="0"/>
          <w:sz w:val="17"/>
        </w:rPr>
        <w:t>success_rate_source</w:t>
      </w:r>
      <w:r>
        <w:rPr>
          <w:b w:val="0"/>
          <w:i w:val="0"/>
        </w:rPr>
        <w:t>. Gas, CCGT, OCGT and biomass use onshore-wind planning parameters; hydrogen storage uses solar parameters. Ordinary batteries use Battery parameters.</w:t>
      </w:r>
    </w:p>
    <w:p>
      <w:pPr>
        <w:keepLines/>
        <w:spacing w:line="276" w:lineRule="auto" w:after="160"/>
      </w:pPr>
      <w:r>
        <w:rPr>
          <w:rFonts w:ascii="DejaVu Sans Mono" w:hAnsi="DejaVu Sans Mono"/>
          <w:b w:val="0"/>
          <w:i w:val="0"/>
          <w:sz w:val="17"/>
        </w:rPr>
        <w:t>terms = endogenous_​planning_​terms(</w:t>
        <w:br/>
        <w:t xml:space="preserve">    state.extensions["planning_​parameters"],</w:t>
        <w:br/>
        <w:t xml:space="preserve">    technology=technology, owner=owner, decision_​year=market.year)</w:t>
        <w:br/>
        <w:t>expected_​completion_​year = terms["completion_​year"]</w:t>
        <w:br/>
        <w:t>success_probability = terms["success_rate"]</w:t>
        <w:br/>
      </w:r>
    </w:p>
    <w:p>
      <w:r>
        <w:rPr>
          <w:b w:val="0"/>
          <w:i w:val="0"/>
        </w:rPr>
        <w:t xml:space="preserve">For example, a 100 MW VRE group in a 1,000 MW technology fleet has a 0.10 capacity share. At a 200 MW technology allowance, £1m/MW unit CAPEX, £10m annual capital, £11m operating surplus and 7.6% preferred rate, annual profit is £1m and the rate is 10%. The group enters </w:t>
      </w:r>
      <w:r>
        <w:rPr>
          <w:rFonts w:ascii="DejaVu Sans Mono" w:hAnsi="DejaVu Sans Mono"/>
          <w:b w:val="0"/>
          <w:i w:val="0"/>
          <w:sz w:val="17"/>
        </w:rPr>
        <w:t>Invest_High</w:t>
      </w:r>
      <w:r>
        <w:rPr>
          <w:b w:val="0"/>
          <w:i w:val="0"/>
        </w:rPr>
        <w:t>, requests 20 MW and records £1m retained-profit funding plus £19m external funding.</w:t>
      </w:r>
    </w:p>
    <w:p>
      <w:pPr>
        <w:pStyle w:val="Heading2"/>
      </w:pPr>
      <w:r>
        <w:rPr>
          <w:b w:val="0"/>
          <w:i w:val="0"/>
        </w:rPr>
        <w:t>Policy transfers and expenditure</w:t>
      </w:r>
    </w:p>
    <w:p>
      <w:r>
        <w:rPr>
          <w:b w:val="0"/>
          <w:i w:val="0"/>
        </w:rPr>
        <w:t xml:space="preserve">Policy scenarios distribute declared annual budgets across eligible assets. </w:t>
      </w:r>
      <w:r>
        <w:rPr>
          <w:rFonts w:ascii="DejaVu Sans Mono" w:hAnsi="DejaVu Sans Mono"/>
          <w:b w:val="0"/>
          <w:i w:val="0"/>
          <w:sz w:val="17"/>
        </w:rPr>
        <w:t>basic</w:t>
      </w:r>
      <w:r>
        <w:rPr>
          <w:b w:val="0"/>
          <w:i w:val="0"/>
        </w:rPr>
        <w:t xml:space="preserve"> sets transfers to zero. </w:t>
      </w:r>
      <w:r>
        <w:rPr>
          <w:rFonts w:ascii="DejaVu Sans Mono" w:hAnsi="DejaVu Sans Mono"/>
          <w:b w:val="0"/>
          <w:i w:val="0"/>
          <w:sz w:val="17"/>
        </w:rPr>
        <w:t>with_cm</w:t>
      </w:r>
      <w:r>
        <w:rPr>
          <w:b w:val="0"/>
          <w:i w:val="0"/>
        </w:rPr>
        <w:t xml:space="preserve">, </w:t>
      </w:r>
      <w:r>
        <w:rPr>
          <w:rFonts w:ascii="DejaVu Sans Mono" w:hAnsi="DejaVu Sans Mono"/>
          <w:b w:val="0"/>
          <w:i w:val="0"/>
          <w:sz w:val="17"/>
        </w:rPr>
        <w:t>decarbonisation_base</w:t>
      </w:r>
      <w:r>
        <w:rPr>
          <w:b w:val="0"/>
          <w:i w:val="0"/>
        </w:rPr>
        <w:t xml:space="preserve">, </w:t>
      </w:r>
      <w:r>
        <w:rPr>
          <w:rFonts w:ascii="DejaVu Sans Mono" w:hAnsi="DejaVu Sans Mono"/>
          <w:b w:val="0"/>
          <w:i w:val="0"/>
          <w:sz w:val="17"/>
        </w:rPr>
        <w:t>subsidy_as_usual</w:t>
      </w:r>
      <w:r>
        <w:rPr>
          <w:b w:val="0"/>
          <w:i w:val="0"/>
        </w:rPr>
        <w:t xml:space="preserve"> and </w:t>
      </w:r>
      <w:r>
        <w:rPr>
          <w:rFonts w:ascii="DejaVu Sans Mono" w:hAnsi="DejaVu Sans Mono"/>
          <w:b w:val="0"/>
          <w:i w:val="0"/>
          <w:sz w:val="17"/>
        </w:rPr>
        <w:t>governmental_target</w:t>
      </w:r>
      <w:r>
        <w:rPr>
          <w:b w:val="0"/>
          <w:i w:val="0"/>
        </w:rPr>
        <w:t xml:space="preserve"> activate capacity-market and ancillary-service transfers; the latter three include existing decarbonisation support in policy expenditure. Budgets are explicit inputs in 2025 GBP.</w:t>
      </w:r>
    </w:p>
    <w:p>
      <w:r>
        <w:rPr>
          <w:rFonts w:ascii="DejaVu Sans Mono" w:hAnsi="DejaVu Sans Mono"/>
          <w:b w:val="0"/>
          <w:i w:val="0"/>
          <w:sz w:val="17"/>
        </w:rPr>
        <w:t>allocate_​thesis96_​policy</w:t>
      </w:r>
      <w:r>
        <w:rPr>
          <w:b w:val="0"/>
          <w:i w:val="0"/>
        </w:rPr>
        <w:t xml:space="preserve"> weights capacity-market receipts by de-rated capacity. For asset </w:t>
      </w:r>
      <w:r>
        <w:rPr>
          <w:rFonts w:ascii="DejaVu Sans Mono" w:hAnsi="DejaVu Sans Mono"/>
          <w:b w:val="0"/>
          <w:i w:val="0"/>
          <w:sz w:val="17"/>
        </w:rPr>
        <w:t>name</w:t>
      </w:r>
      <w:r>
        <w:rPr>
          <w:b w:val="0"/>
          <w:i w:val="0"/>
        </w:rPr>
        <w:t xml:space="preserve">, </w:t>
      </w:r>
      <w:r>
        <w:rPr>
          <w:rFonts w:ascii="DejaVu Sans Mono" w:hAnsi="DejaVu Sans Mono"/>
          <w:b w:val="0"/>
          <w:i w:val="0"/>
          <w:sz w:val="17"/>
        </w:rPr>
        <w:t>cm_​weights[name]=power×factor</w:t>
      </w:r>
      <w:r>
        <w:rPr>
          <w:b w:val="0"/>
          <w:i w:val="0"/>
        </w:rPr>
        <w:t xml:space="preserve">, where </w:t>
      </w:r>
      <w:r>
        <w:rPr>
          <w:rFonts w:ascii="DejaVu Sans Mono" w:hAnsi="DejaVu Sans Mono"/>
          <w:b w:val="0"/>
          <w:i w:val="0"/>
          <w:sz w:val="17"/>
        </w:rPr>
        <w:t>power</w:t>
      </w:r>
      <w:r>
        <w:rPr>
          <w:b w:val="0"/>
          <w:i w:val="0"/>
        </w:rPr>
        <w:t xml:space="preserve"> is operating MW and </w:t>
      </w:r>
      <w:r>
        <w:rPr>
          <w:rFonts w:ascii="DejaVu Sans Mono" w:hAnsi="DejaVu Sans Mono"/>
          <w:b w:val="0"/>
          <w:i w:val="0"/>
          <w:sz w:val="17"/>
        </w:rPr>
        <w:t>factor</w:t>
      </w:r>
      <w:r>
        <w:rPr>
          <w:b w:val="0"/>
          <w:i w:val="0"/>
        </w:rPr>
        <w:t xml:space="preserve"> is the technology de-rating factor. The annual capacity-market budget is £5.44bn and is divided in proportion to these weights.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36"/>
        <w:gridCol w:w="4656"/>
      </w:tblGrid>
      <w:tr>
        <w:trPr>
          <w:cantSplit/>
          <w:tblHeader w:val="true"/>
        </w:trPr>
        <w:tc>
          <w:tcPr>
            <w:tcW w:type="dxa" w:w="5136"/>
            <w:vAlign w:val="center"/>
            <w:tcMar>
              <w:top w:w="90" w:type="dxa"/>
              <w:left w:w="90" w:type="dxa"/>
              <w:bottom w:w="90" w:type="dxa"/>
              <w:right w:w="90" w:type="dxa"/>
            </w:tcMar>
            <w:shd w:fill="EEEEEE"/>
          </w:tcPr>
          <w:p>
            <w:pPr>
              <w:spacing w:after="40" w:line="276" w:lineRule="auto"/>
            </w:pPr>
            <w:r>
              <w:rPr>
                <w:b/>
                <w:i w:val="0"/>
                <w:sz w:val="18"/>
              </w:rPr>
              <w:t>Technology</w:t>
            </w:r>
          </w:p>
        </w:tc>
        <w:tc>
          <w:tcPr>
            <w:tcW w:type="dxa" w:w="4656"/>
            <w:vAlign w:val="center"/>
            <w:tcMar>
              <w:top w:w="90" w:type="dxa"/>
              <w:left w:w="90" w:type="dxa"/>
              <w:bottom w:w="90" w:type="dxa"/>
              <w:right w:w="90" w:type="dxa"/>
            </w:tcMar>
            <w:shd w:fill="EEEEEE"/>
          </w:tcPr>
          <w:p>
            <w:pPr>
              <w:spacing w:after="40" w:line="276" w:lineRule="auto"/>
            </w:pPr>
            <w:r>
              <w:rPr>
                <w:b/>
                <w:i w:val="0"/>
                <w:sz w:val="18"/>
              </w:rPr>
              <w:t>De-rating factor</w:t>
            </w:r>
          </w:p>
        </w:tc>
      </w:tr>
      <w:tr>
        <w:trPr>
          <w:cantSplit/>
        </w:trPr>
        <w:tc>
          <w:tcPr>
            <w:tcW w:type="dxa" w:w="5136"/>
            <w:vAlign w:val="center"/>
            <w:tcMar>
              <w:top w:w="90" w:type="dxa"/>
              <w:left w:w="90" w:type="dxa"/>
              <w:bottom w:w="90" w:type="dxa"/>
              <w:right w:w="90" w:type="dxa"/>
            </w:tcMar>
          </w:tcPr>
          <w:p>
            <w:pPr>
              <w:spacing w:after="40" w:line="276" w:lineRule="auto"/>
            </w:pPr>
            <w:r>
              <w:rPr>
                <w:b w:val="0"/>
                <w:i w:val="0"/>
                <w:sz w:val="18"/>
              </w:rPr>
              <w:t>CCGT, OCGT, biomass</w:t>
            </w:r>
          </w:p>
        </w:tc>
        <w:tc>
          <w:tcPr>
            <w:tcW w:type="dxa" w:w="4656"/>
            <w:vAlign w:val="center"/>
            <w:tcMar>
              <w:top w:w="90" w:type="dxa"/>
              <w:left w:w="90" w:type="dxa"/>
              <w:bottom w:w="90" w:type="dxa"/>
              <w:right w:w="90" w:type="dxa"/>
            </w:tcMar>
          </w:tcPr>
          <w:p>
            <w:pPr>
              <w:spacing w:after="40" w:line="276" w:lineRule="auto"/>
            </w:pPr>
            <w:r>
              <w:rPr>
                <w:b w:val="0"/>
                <w:i w:val="0"/>
                <w:sz w:val="18"/>
              </w:rPr>
              <w:t>0.95</w:t>
            </w:r>
          </w:p>
        </w:tc>
      </w:tr>
      <w:tr>
        <w:trPr>
          <w:cantSplit/>
        </w:trPr>
        <w:tc>
          <w:tcPr>
            <w:tcW w:type="dxa" w:w="5136"/>
            <w:vAlign w:val="center"/>
            <w:tcMar>
              <w:top w:w="90" w:type="dxa"/>
              <w:left w:w="90" w:type="dxa"/>
              <w:bottom w:w="90" w:type="dxa"/>
              <w:right w:w="90" w:type="dxa"/>
            </w:tcMar>
          </w:tcPr>
          <w:p>
            <w:pPr>
              <w:spacing w:after="40" w:line="276" w:lineRule="auto"/>
            </w:pPr>
            <w:r>
              <w:rPr>
                <w:b w:val="0"/>
                <w:i w:val="0"/>
                <w:sz w:val="18"/>
              </w:rPr>
              <w:t>Nuclear</w:t>
            </w:r>
          </w:p>
        </w:tc>
        <w:tc>
          <w:tcPr>
            <w:tcW w:type="dxa" w:w="4656"/>
            <w:vAlign w:val="center"/>
            <w:tcMar>
              <w:top w:w="90" w:type="dxa"/>
              <w:left w:w="90" w:type="dxa"/>
              <w:bottom w:w="90" w:type="dxa"/>
              <w:right w:w="90" w:type="dxa"/>
            </w:tcMar>
          </w:tcPr>
          <w:p>
            <w:pPr>
              <w:spacing w:after="40" w:line="276" w:lineRule="auto"/>
            </w:pPr>
            <w:r>
              <w:rPr>
                <w:b w:val="0"/>
                <w:i w:val="0"/>
                <w:sz w:val="18"/>
              </w:rPr>
              <w:t>0.85</w:t>
            </w:r>
          </w:p>
        </w:tc>
      </w:tr>
      <w:tr>
        <w:trPr>
          <w:cantSplit/>
        </w:trPr>
        <w:tc>
          <w:tcPr>
            <w:tcW w:type="dxa" w:w="5136"/>
            <w:vAlign w:val="center"/>
            <w:tcMar>
              <w:top w:w="90" w:type="dxa"/>
              <w:left w:w="90" w:type="dxa"/>
              <w:bottom w:w="90" w:type="dxa"/>
              <w:right w:w="90" w:type="dxa"/>
            </w:tcMar>
          </w:tcPr>
          <w:p>
            <w:pPr>
              <w:spacing w:after="40" w:line="276" w:lineRule="auto"/>
            </w:pPr>
            <w:r>
              <w:rPr>
                <w:b w:val="0"/>
                <w:i w:val="0"/>
                <w:sz w:val="18"/>
              </w:rPr>
              <w:t>Pumped hydro</w:t>
            </w:r>
          </w:p>
        </w:tc>
        <w:tc>
          <w:tcPr>
            <w:tcW w:type="dxa" w:w="4656"/>
            <w:vAlign w:val="center"/>
            <w:tcMar>
              <w:top w:w="90" w:type="dxa"/>
              <w:left w:w="90" w:type="dxa"/>
              <w:bottom w:w="90" w:type="dxa"/>
              <w:right w:w="90" w:type="dxa"/>
            </w:tcMar>
          </w:tcPr>
          <w:p>
            <w:pPr>
              <w:spacing w:after="40" w:line="276" w:lineRule="auto"/>
            </w:pPr>
            <w:r>
              <w:rPr>
                <w:b w:val="0"/>
                <w:i w:val="0"/>
                <w:sz w:val="18"/>
              </w:rPr>
              <w:t>0.95</w:t>
            </w:r>
          </w:p>
        </w:tc>
      </w:tr>
      <w:tr>
        <w:trPr>
          <w:cantSplit/>
        </w:trPr>
        <w:tc>
          <w:tcPr>
            <w:tcW w:type="dxa" w:w="5136"/>
            <w:vAlign w:val="center"/>
            <w:tcMar>
              <w:top w:w="90" w:type="dxa"/>
              <w:left w:w="90" w:type="dxa"/>
              <w:bottom w:w="90" w:type="dxa"/>
              <w:right w:w="90" w:type="dxa"/>
            </w:tcMar>
          </w:tcPr>
          <w:p>
            <w:pPr>
              <w:spacing w:after="40" w:line="276" w:lineRule="auto"/>
            </w:pPr>
            <w:r>
              <w:rPr>
                <w:b w:val="0"/>
                <w:i w:val="0"/>
                <w:sz w:val="18"/>
              </w:rPr>
              <w:t>1C battery</w:t>
            </w:r>
          </w:p>
        </w:tc>
        <w:tc>
          <w:tcPr>
            <w:tcW w:type="dxa" w:w="4656"/>
            <w:vAlign w:val="center"/>
            <w:tcMar>
              <w:top w:w="90" w:type="dxa"/>
              <w:left w:w="90" w:type="dxa"/>
              <w:bottom w:w="90" w:type="dxa"/>
              <w:right w:w="90" w:type="dxa"/>
            </w:tcMar>
          </w:tcPr>
          <w:p>
            <w:pPr>
              <w:spacing w:after="40" w:line="276" w:lineRule="auto"/>
            </w:pPr>
            <w:r>
              <w:rPr>
                <w:b w:val="0"/>
                <w:i w:val="0"/>
                <w:sz w:val="18"/>
              </w:rPr>
              <w:t>0.05</w:t>
            </w:r>
          </w:p>
        </w:tc>
      </w:tr>
      <w:tr>
        <w:trPr>
          <w:cantSplit/>
        </w:trPr>
        <w:tc>
          <w:tcPr>
            <w:tcW w:type="dxa" w:w="5136"/>
            <w:vAlign w:val="center"/>
            <w:tcMar>
              <w:top w:w="90" w:type="dxa"/>
              <w:left w:w="90" w:type="dxa"/>
              <w:bottom w:w="90" w:type="dxa"/>
              <w:right w:w="90" w:type="dxa"/>
            </w:tcMar>
          </w:tcPr>
          <w:p>
            <w:pPr>
              <w:spacing w:after="40" w:line="276" w:lineRule="auto"/>
            </w:pPr>
            <w:r>
              <w:rPr>
                <w:b w:val="0"/>
                <w:i w:val="0"/>
                <w:sz w:val="18"/>
              </w:rPr>
              <w:t>0.5C battery</w:t>
            </w:r>
          </w:p>
        </w:tc>
        <w:tc>
          <w:tcPr>
            <w:tcW w:type="dxa" w:w="4656"/>
            <w:vAlign w:val="center"/>
            <w:tcMar>
              <w:top w:w="90" w:type="dxa"/>
              <w:left w:w="90" w:type="dxa"/>
              <w:bottom w:w="90" w:type="dxa"/>
              <w:right w:w="90" w:type="dxa"/>
            </w:tcMar>
          </w:tcPr>
          <w:p>
            <w:pPr>
              <w:spacing w:after="40" w:line="276" w:lineRule="auto"/>
            </w:pPr>
            <w:r>
              <w:rPr>
                <w:b w:val="0"/>
                <w:i w:val="0"/>
                <w:sz w:val="18"/>
              </w:rPr>
              <w:t>0.15</w:t>
            </w:r>
          </w:p>
        </w:tc>
      </w:tr>
      <w:tr>
        <w:trPr>
          <w:cantSplit/>
        </w:trPr>
        <w:tc>
          <w:tcPr>
            <w:tcW w:type="dxa" w:w="5136"/>
            <w:vAlign w:val="center"/>
            <w:tcMar>
              <w:top w:w="90" w:type="dxa"/>
              <w:left w:w="90" w:type="dxa"/>
              <w:bottom w:w="90" w:type="dxa"/>
              <w:right w:w="90" w:type="dxa"/>
            </w:tcMar>
          </w:tcPr>
          <w:p>
            <w:pPr>
              <w:spacing w:after="40" w:line="276" w:lineRule="auto"/>
            </w:pPr>
            <w:r>
              <w:rPr>
                <w:b w:val="0"/>
                <w:i w:val="0"/>
                <w:sz w:val="18"/>
              </w:rPr>
              <w:t>0.25C battery</w:t>
            </w:r>
          </w:p>
        </w:tc>
        <w:tc>
          <w:tcPr>
            <w:tcW w:type="dxa" w:w="4656"/>
            <w:vAlign w:val="center"/>
            <w:tcMar>
              <w:top w:w="90" w:type="dxa"/>
              <w:left w:w="90" w:type="dxa"/>
              <w:bottom w:w="90" w:type="dxa"/>
              <w:right w:w="90" w:type="dxa"/>
            </w:tcMar>
          </w:tcPr>
          <w:p>
            <w:pPr>
              <w:spacing w:after="40" w:line="276" w:lineRule="auto"/>
            </w:pPr>
            <w:r>
              <w:rPr>
                <w:b w:val="0"/>
                <w:i w:val="0"/>
                <w:sz w:val="18"/>
              </w:rPr>
              <w:t>0.60</w:t>
            </w:r>
          </w:p>
        </w:tc>
      </w:tr>
    </w:tbl>
    <w:p>
      <w:pPr>
        <w:spacing w:after="20"/>
      </w:pPr>
    </w:p>
    <w:p>
      <w:r>
        <w:rPr>
          <w:b w:val="0"/>
          <w:i w:val="0"/>
        </w:rPr>
        <w:t xml:space="preserve">Hydrogen storage supplies a scenario-specific de-rating factor. Ancillary payments follow operating MW among thermal, nuclear and storage assets. </w:t>
      </w:r>
      <w:r>
        <w:rPr>
          <w:rFonts w:ascii="DejaVu Sans Mono" w:hAnsi="DejaVu Sans Mono"/>
          <w:b w:val="0"/>
          <w:i w:val="0"/>
          <w:sz w:val="17"/>
        </w:rPr>
        <w:t>subsidy_as_usual</w:t>
      </w:r>
      <w:r>
        <w:rPr>
          <w:b w:val="0"/>
          <w:i w:val="0"/>
        </w:rPr>
        <w:t xml:space="preserve"> and </w:t>
      </w:r>
      <w:r>
        <w:rPr>
          <w:rFonts w:ascii="DejaVu Sans Mono" w:hAnsi="DejaVu Sans Mono"/>
          <w:b w:val="0"/>
          <w:i w:val="0"/>
          <w:sz w:val="17"/>
        </w:rPr>
        <w:t>governmental_target</w:t>
      </w:r>
      <w:r>
        <w:rPr>
          <w:b w:val="0"/>
          <w:i w:val="0"/>
        </w:rPr>
        <w:t xml:space="preserve"> allocate additional decarbonisation support by eligible VRE MW; under the latter, reaching a declared technology target ends eligibility. Existing support enters policy expenditure, and additional support enters eligible investment income. A zero eligible-capacity total leaves the budget unallocated.</w:t>
      </w:r>
    </w:p>
    <w:p>
      <w:r>
        <w:rPr>
          <w:rFonts w:ascii="DejaVu Sans Mono" w:hAnsi="DejaVu Sans Mono"/>
          <w:b w:val="0"/>
          <w:i w:val="0"/>
          <w:sz w:val="17"/>
        </w:rPr>
        <w:t>build_system_cost_views</w:t>
      </w:r>
      <w:r>
        <w:rPr>
          <w:b w:val="0"/>
          <w:i w:val="0"/>
        </w:rPr>
        <w:t xml:space="preserve"> keeps resource and historical expenditure views. The resource view adds supplied capital, operation and reliability expenditure and divides by served energy. The historical view adds capital, operation, policy levies and deficit at £17,000/MWh, then divides by non-battery generation, including eligible imports. The resource reliability input follows the run’s VoLL, default £17,000/MWh.</w:t>
      </w:r>
    </w:p>
    <w:p>
      <w:r>
        <w:rPr>
          <w:rFonts w:ascii="DejaVu Sans Mono" w:hAnsi="DejaVu Sans Mono"/>
          <w:b w:val="0"/>
          <w:i w:val="0"/>
          <w:sz w:val="17"/>
        </w:rPr>
        <w:t>legacy_carbon_metric</w:t>
      </w:r>
      <w:r>
        <w:rPr>
          <w:b w:val="0"/>
          <w:i w:val="0"/>
        </w:rPr>
        <w:t xml:space="preserve"> retains supplied historical carbon scalars under </w:t>
      </w:r>
      <w:r>
        <w:rPr>
          <w:rFonts w:ascii="DejaVu Sans Mono" w:hAnsi="DejaVu Sans Mono"/>
          <w:b w:val="0"/>
          <w:i w:val="0"/>
          <w:sz w:val="17"/>
        </w:rPr>
        <w:t>unknown_source_scalar</w:t>
      </w:r>
      <w:r>
        <w:rPr>
          <w:b w:val="0"/>
          <w:i w:val="0"/>
        </w:rPr>
        <w:t xml:space="preserve">. </w:t>
      </w:r>
      <w:r>
        <w:rPr>
          <w:rFonts w:ascii="DejaVu Sans Mono" w:hAnsi="DejaVu Sans Mono"/>
          <w:b w:val="0"/>
          <w:i w:val="0"/>
          <w:sz w:val="17"/>
        </w:rPr>
        <w:t>physical_carbon_view</w:t>
      </w:r>
      <w:r>
        <w:rPr>
          <w:b w:val="0"/>
          <w:i w:val="0"/>
        </w:rPr>
        <w:t xml:space="preserve"> multiplies generation MWh by explicitly supplied kgCO₂e/MWh factors and divides by 1,000 to report operational tCO₂e. Storage-carbon inventories require their own charging, discharge and source-intensity inputs. Chapter 9 gives the current factor catalogue and gas labels.</w:t>
      </w:r>
    </w:p>
    <w:p>
      <w:pPr>
        <w:pStyle w:val="Heading2"/>
      </w:pPr>
      <w:r>
        <w:rPr>
          <w:b w:val="0"/>
          <w:i w:val="0"/>
        </w:rPr>
        <w:t>REPD projects and exogenous schedules</w:t>
      </w:r>
    </w:p>
    <w:p>
      <w:r>
        <w:rPr>
          <w:b w:val="0"/>
          <w:i w:val="0"/>
        </w:rPr>
        <w:t xml:space="preserve">REPD preprocessing builds a construction pipeline from project status, capacity, region and milestone dates. </w:t>
      </w:r>
      <w:r>
        <w:rPr>
          <w:rFonts w:ascii="DejaVu Sans Mono" w:hAnsi="DejaVu Sans Mono"/>
          <w:b w:val="0"/>
          <w:i w:val="0"/>
          <w:sz w:val="17"/>
        </w:rPr>
        <w:t>lookup_​regional_​success_​rate</w:t>
      </w:r>
      <w:r>
        <w:rPr>
          <w:b w:val="0"/>
          <w:i w:val="0"/>
        </w:rPr>
        <w:t xml:space="preserve"> first reads the technology-region entry, then its technology’s regional mean, then 0.75. The status table determines whether success probability applies. Expected-capacity mode scales project MW once; seeded-stochastic mode draws a project-specific outcome from name, region and technology. The planner retains this preprocessing outcome.</w:t>
      </w:r>
    </w:p>
    <w:p>
      <w:r>
        <w:rPr>
          <w:b w:val="0"/>
          <w:i w:val="0"/>
        </w:rPr>
        <w:t xml:space="preserve">For REPD projects, </w:t>
      </w:r>
      <w:r>
        <w:rPr>
          <w:rFonts w:ascii="DejaVu Sans Mono" w:hAnsi="DejaVu Sans Mono"/>
          <w:b w:val="0"/>
          <w:i w:val="0"/>
          <w:sz w:val="17"/>
        </w:rPr>
        <w:t>resolve_repd_success</w:t>
      </w:r>
      <w:r>
        <w:rPr>
          <w:b w:val="0"/>
          <w:i w:val="0"/>
        </w:rPr>
        <w:t xml:space="preserve"> determines the stochastic outcome from </w:t>
      </w:r>
      <w:r>
        <w:rPr>
          <w:rFonts w:ascii="DejaVu Sans Mono" w:hAnsi="DejaVu Sans Mono"/>
          <w:b w:val="0"/>
          <w:i w:val="0"/>
          <w:sz w:val="17"/>
        </w:rPr>
        <w:t>project_name</w:t>
      </w:r>
      <w:r>
        <w:rPr>
          <w:b w:val="0"/>
          <w:i w:val="0"/>
        </w:rPr>
        <w:t xml:space="preserve">, </w:t>
      </w:r>
      <w:r>
        <w:rPr>
          <w:rFonts w:ascii="DejaVu Sans Mono" w:hAnsi="DejaVu Sans Mono"/>
          <w:b w:val="0"/>
          <w:i w:val="0"/>
          <w:sz w:val="17"/>
        </w:rPr>
        <w:t>region</w:t>
      </w:r>
      <w:r>
        <w:rPr>
          <w:b w:val="0"/>
          <w:i w:val="0"/>
        </w:rPr>
        <w:t xml:space="preserve"> and the success-technology </w:t>
      </w:r>
      <w:r>
        <w:rPr>
          <w:rFonts w:ascii="DejaVu Sans Mono" w:hAnsi="DejaVu Sans Mono"/>
          <w:b w:val="0"/>
          <w:i w:val="0"/>
          <w:sz w:val="17"/>
        </w:rPr>
        <w:t>label</w:t>
      </w:r>
      <w:r>
        <w:rPr>
          <w:b w:val="0"/>
          <w:i w:val="0"/>
        </w:rPr>
        <w:t>. The comparison includes equality. The configured seed is retained as metadata; the draw is fixed by those three project fields:</w:t>
      </w:r>
    </w:p>
    <w:p>
      <w:pPr>
        <w:keepLines/>
        <w:spacing w:line="276" w:lineRule="auto" w:after="160"/>
      </w:pPr>
      <w:r>
        <w:rPr>
          <w:rFonts w:ascii="DejaVu Sans Mono" w:hAnsi="DejaVu Sans Mono"/>
          <w:b w:val="0"/>
          <w:i w:val="0"/>
          <w:sz w:val="17"/>
        </w:rPr>
        <w:t>draw = (stable_​int_​hash(f"{project_​name}|{region}|{label}") % 1_000_000) / 1_000_000</w:t>
        <w:br/>
        <w:t>succeeds = draw &lt;= rate</w:t>
        <w:br/>
      </w:r>
    </w:p>
    <w:p>
      <w:pPr>
        <w:keepNext/>
      </w:pPr>
      <w:r>
        <w:rPr>
          <w:rFonts w:ascii="DejaVu Sans Mono" w:hAnsi="DejaVu Sans Mono"/>
          <w:b w:val="0"/>
          <w:i w:val="0"/>
          <w:sz w:val="17"/>
        </w:rPr>
        <w:t>completion_​year_​from_​months</w:t>
      </w:r>
      <w:r>
        <w:rPr>
          <w:b w:val="0"/>
          <w:i w:val="0"/>
        </w:rPr>
        <w:t xml:space="preserve"> uses </w:t>
      </w:r>
      <w:r>
        <w:rPr>
          <w:rFonts w:ascii="DejaVu Sans Mono" w:hAnsi="DejaVu Sans Mono"/>
          <w:b w:val="0"/>
          <w:i w:val="0"/>
          <w:sz w:val="17"/>
        </w:rPr>
        <w:t>base_year</w:t>
      </w:r>
      <w:r>
        <w:rPr>
          <w:b w:val="0"/>
          <w:i w:val="0"/>
        </w:rPr>
        <w:t xml:space="preserve">, development duration </w:t>
      </w:r>
      <w:r>
        <w:rPr>
          <w:rFonts w:ascii="DejaVu Sans Mono" w:hAnsi="DejaVu Sans Mono"/>
          <w:b w:val="0"/>
          <w:i w:val="0"/>
          <w:sz w:val="17"/>
        </w:rPr>
        <w:t>months</w:t>
      </w:r>
      <w:r>
        <w:rPr>
          <w:b w:val="0"/>
          <w:i w:val="0"/>
        </w:rPr>
        <w:t xml:space="preserve"> and </w:t>
      </w:r>
      <w:r>
        <w:rPr>
          <w:rFonts w:ascii="DejaVu Sans Mono" w:hAnsi="DejaVu Sans Mono"/>
          <w:b w:val="0"/>
          <w:i w:val="0"/>
          <w:sz w:val="17"/>
        </w:rPr>
        <w:t>project_key</w:t>
      </w:r>
      <w:r>
        <w:rPr>
          <w:b w:val="0"/>
          <w:i w:val="0"/>
        </w:rPr>
        <w:t xml:space="preserve">. A project-specific </w:t>
      </w:r>
      <w:r>
        <w:rPr>
          <w:rFonts w:ascii="DejaVu Sans Mono" w:hAnsi="DejaVu Sans Mono"/>
          <w:b w:val="0"/>
          <w:i w:val="0"/>
          <w:sz w:val="17"/>
        </w:rPr>
        <w:t>jitter</w:t>
      </w:r>
      <w:r>
        <w:rPr>
          <w:b w:val="0"/>
          <w:i w:val="0"/>
        </w:rPr>
        <w:t xml:space="preserve"> is the remainder of </w:t>
      </w:r>
      <w:r>
        <w:rPr>
          <w:rFonts w:ascii="DejaVu Sans Mono" w:hAnsi="DejaVu Sans Mono"/>
          <w:b w:val="0"/>
          <w:i w:val="0"/>
          <w:sz w:val="17"/>
        </w:rPr>
        <w:t>stable_​int_​hash(project_​key)</w:t>
      </w:r>
      <w:r>
        <w:rPr>
          <w:b w:val="0"/>
          <w:i w:val="0"/>
        </w:rPr>
        <w:t xml:space="preserve"> modulo 13, minus 6 months; an empty key gives zero displacement. The returned year is:</w:t>
      </w:r>
    </w:p>
    <w:p>
      <w:pPr>
        <w:spacing w:after="160"/>
        <w:jc w:val="center"/>
      </w:pPr>
      <w:r>
        <w:drawing>
          <wp:inline xmlns:a="http://schemas.openxmlformats.org/drawingml/2006/main" xmlns:pic="http://schemas.openxmlformats.org/drawingml/2006/picture">
            <wp:extent cx="5292775" cy="637877"/>
            <wp:docPr id="129" name="Picture 129"/>
            <wp:cNvGraphicFramePr>
              <a:graphicFrameLocks noChangeAspect="1"/>
            </wp:cNvGraphicFramePr>
            <a:graphic>
              <a:graphicData uri="http://schemas.openxmlformats.org/drawingml/2006/picture">
                <pic:pic>
                  <pic:nvPicPr>
                    <pic:cNvPr id="0" name="eq-129.png"/>
                    <pic:cNvPicPr/>
                  </pic:nvPicPr>
                  <pic:blipFill>
                    <a:blip r:embed="rId131"/>
                    <a:stretch>
                      <a:fillRect/>
                    </a:stretch>
                  </pic:blipFill>
                  <pic:spPr>
                    <a:xfrm>
                      <a:off x="0" y="0"/>
                      <a:ext cx="5292775" cy="637877"/>
                    </a:xfrm>
                    <a:prstGeom prst="rect"/>
                  </pic:spPr>
                </pic:pic>
              </a:graphicData>
            </a:graphic>
          </wp:inline>
        </w:drawing>
      </w:r>
    </w:p>
    <w:p>
      <w:r>
        <w:rPr>
          <w:b w:val="0"/>
          <w:i w:val="0"/>
        </w:rPr>
        <w:t>Granted projects combine pre-construction and construction durations; dates use day-first parsing. The forward schedule also respects full development time from application, the model start year and the initial snapshot’s start-year-plus-one floor. External projects that complete exactly in the start year can receive a deterministic one-to-three-year deferral. Endogenous proposals use the decision-year-plus-one floor specified in Chapter 4.</w:t>
      </w:r>
    </w:p>
    <w:p>
      <w:r>
        <w:rPr>
          <w:rFonts w:ascii="DejaVu Sans Mono" w:hAnsi="DejaVu Sans Mono"/>
          <w:b w:val="0"/>
          <w:i w:val="0"/>
          <w:sz w:val="17"/>
        </w:rPr>
        <w:t>preprocess_​doctoral_​project_​records</w:t>
      </w:r>
      <w:r>
        <w:rPr>
          <w:b w:val="0"/>
          <w:i w:val="0"/>
        </w:rPr>
        <w:t xml:space="preserve"> retains eligible projects of at least 1 MW with completion by 2040. Its filters cover terminal, already-operational, past-completion and stagnant records. The default stale-status year is 2015, and construction has a two-year grace period. The output provides each retained project’s timing, probability and effective capacity.</w:t>
      </w:r>
    </w:p>
    <w:p>
      <w:r>
        <w:rPr>
          <w:b w:val="0"/>
          <w:i w:val="0"/>
        </w:rPr>
        <w:t xml:space="preserve">The experimental pumped-hydro schedule specifies aggregate power, energy and already-annual expenditure. </w:t>
      </w:r>
      <w:r>
        <w:rPr>
          <w:rFonts w:ascii="DejaVu Sans Mono" w:hAnsi="DejaVu Sans Mono"/>
          <w:b w:val="0"/>
          <w:i w:val="0"/>
          <w:sz w:val="17"/>
        </w:rPr>
        <w:t>apply_​thesis96_​pumped_​schedule</w:t>
      </w:r>
      <w:r>
        <w:rPr>
          <w:b w:val="0"/>
          <w:i w:val="0"/>
        </w:rPr>
        <w:t xml:space="preserve"> reads the following rows from </w:t>
      </w:r>
      <w:r>
        <w:rPr>
          <w:rFonts w:ascii="DejaVu Sans Mono" w:hAnsi="DejaVu Sans Mono"/>
          <w:b w:val="0"/>
          <w:i w:val="0"/>
          <w:sz w:val="17"/>
        </w:rPr>
        <w:t>thesis_​final96_​contract.json</w:t>
      </w:r>
      <w:r>
        <w:rPr>
          <w:b w:val="0"/>
          <w:i w:val="0"/>
        </w:rPr>
        <w:t xml:space="preserve"> for the named pumped-hydro asset. The annual capital amount and the selected capital-recovery factor define an equivalent total capital solely for the asset's economic fields.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14"/>
        <w:gridCol w:w="1596"/>
        <w:gridCol w:w="1533"/>
        <w:gridCol w:w="2409"/>
        <w:gridCol w:w="2540"/>
      </w:tblGrid>
      <w:tr>
        <w:trPr>
          <w:cantSplit/>
          <w:tblHeader w:val="true"/>
        </w:trPr>
        <w:tc>
          <w:tcPr>
            <w:tcW w:type="dxa" w:w="1714"/>
            <w:vAlign w:val="center"/>
            <w:tcMar>
              <w:top w:w="90" w:type="dxa"/>
              <w:left w:w="90" w:type="dxa"/>
              <w:bottom w:w="90" w:type="dxa"/>
              <w:right w:w="90" w:type="dxa"/>
            </w:tcMar>
            <w:shd w:fill="EEEEEE"/>
          </w:tcPr>
          <w:p>
            <w:pPr>
              <w:spacing w:after="40" w:line="276" w:lineRule="auto"/>
            </w:pPr>
            <w:r>
              <w:rPr>
                <w:b/>
                <w:i w:val="0"/>
                <w:sz w:val="18"/>
              </w:rPr>
              <w:t>Model year</w:t>
            </w:r>
          </w:p>
        </w:tc>
        <w:tc>
          <w:tcPr>
            <w:tcW w:type="dxa" w:w="1596"/>
            <w:vAlign w:val="center"/>
            <w:tcMar>
              <w:top w:w="90" w:type="dxa"/>
              <w:left w:w="90" w:type="dxa"/>
              <w:bottom w:w="90" w:type="dxa"/>
              <w:right w:w="90" w:type="dxa"/>
            </w:tcMar>
            <w:shd w:fill="EEEEEE"/>
          </w:tcPr>
          <w:p>
            <w:pPr>
              <w:spacing w:after="40" w:line="276" w:lineRule="auto"/>
            </w:pPr>
            <w:r>
              <w:rPr>
                <w:b/>
                <w:i w:val="0"/>
                <w:sz w:val="18"/>
              </w:rPr>
              <w:t>MW</w:t>
            </w:r>
          </w:p>
        </w:tc>
        <w:tc>
          <w:tcPr>
            <w:tcW w:type="dxa" w:w="1533"/>
            <w:vAlign w:val="center"/>
            <w:tcMar>
              <w:top w:w="90" w:type="dxa"/>
              <w:left w:w="90" w:type="dxa"/>
              <w:bottom w:w="90" w:type="dxa"/>
              <w:right w:w="90" w:type="dxa"/>
            </w:tcMar>
            <w:shd w:fill="EEEEEE"/>
          </w:tcPr>
          <w:p>
            <w:pPr>
              <w:spacing w:after="40" w:line="276" w:lineRule="auto"/>
            </w:pPr>
            <w:r>
              <w:rPr>
                <w:b/>
                <w:i w:val="0"/>
                <w:sz w:val="18"/>
              </w:rPr>
              <w:t>MWh</w:t>
            </w:r>
          </w:p>
        </w:tc>
        <w:tc>
          <w:tcPr>
            <w:tcW w:type="dxa" w:w="2409"/>
            <w:vAlign w:val="center"/>
            <w:tcMar>
              <w:top w:w="90" w:type="dxa"/>
              <w:left w:w="90" w:type="dxa"/>
              <w:bottom w:w="90" w:type="dxa"/>
              <w:right w:w="90" w:type="dxa"/>
            </w:tcMar>
            <w:shd w:fill="EEEEEE"/>
          </w:tcPr>
          <w:p>
            <w:pPr>
              <w:spacing w:after="40" w:line="276" w:lineRule="auto"/>
            </w:pPr>
            <w:r>
              <w:rPr>
                <w:b/>
                <w:i w:val="0"/>
                <w:sz w:val="18"/>
              </w:rPr>
              <w:t>Annual OPEX, million GBP</w:t>
            </w:r>
          </w:p>
        </w:tc>
        <w:tc>
          <w:tcPr>
            <w:tcW w:type="dxa" w:w="2540"/>
            <w:vAlign w:val="center"/>
            <w:tcMar>
              <w:top w:w="90" w:type="dxa"/>
              <w:left w:w="90" w:type="dxa"/>
              <w:bottom w:w="90" w:type="dxa"/>
              <w:right w:w="90" w:type="dxa"/>
            </w:tcMar>
            <w:shd w:fill="EEEEEE"/>
          </w:tcPr>
          <w:p>
            <w:pPr>
              <w:spacing w:after="40" w:line="276" w:lineRule="auto"/>
            </w:pPr>
            <w:r>
              <w:rPr>
                <w:b/>
                <w:i w:val="0"/>
                <w:sz w:val="18"/>
              </w:rPr>
              <w:t>Annual capital, million GBP</w:t>
            </w:r>
          </w:p>
        </w:tc>
      </w:tr>
      <w:tr>
        <w:trPr>
          <w:cantSplit/>
        </w:trPr>
        <w:tc>
          <w:tcPr>
            <w:tcW w:type="dxa" w:w="1714"/>
            <w:vAlign w:val="center"/>
            <w:tcMar>
              <w:top w:w="90" w:type="dxa"/>
              <w:left w:w="90" w:type="dxa"/>
              <w:bottom w:w="90" w:type="dxa"/>
              <w:right w:w="90" w:type="dxa"/>
            </w:tcMar>
          </w:tcPr>
          <w:p>
            <w:pPr>
              <w:spacing w:after="40" w:line="276" w:lineRule="auto"/>
            </w:pPr>
            <w:r>
              <w:rPr>
                <w:b w:val="0"/>
                <w:i w:val="0"/>
                <w:sz w:val="18"/>
              </w:rPr>
              <w:t>2025</w:t>
            </w:r>
          </w:p>
        </w:tc>
        <w:tc>
          <w:tcPr>
            <w:tcW w:type="dxa" w:w="1596"/>
            <w:vAlign w:val="center"/>
            <w:tcMar>
              <w:top w:w="90" w:type="dxa"/>
              <w:left w:w="90" w:type="dxa"/>
              <w:bottom w:w="90" w:type="dxa"/>
              <w:right w:w="90" w:type="dxa"/>
            </w:tcMar>
          </w:tcPr>
          <w:p>
            <w:pPr>
              <w:spacing w:after="40" w:line="276" w:lineRule="auto"/>
            </w:pPr>
            <w:r>
              <w:rPr>
                <w:b w:val="0"/>
                <w:i w:val="0"/>
                <w:sz w:val="18"/>
              </w:rPr>
              <w:t>2,828</w:t>
            </w:r>
          </w:p>
        </w:tc>
        <w:tc>
          <w:tcPr>
            <w:tcW w:type="dxa" w:w="1533"/>
            <w:vAlign w:val="center"/>
            <w:tcMar>
              <w:top w:w="90" w:type="dxa"/>
              <w:left w:w="90" w:type="dxa"/>
              <w:bottom w:w="90" w:type="dxa"/>
              <w:right w:w="90" w:type="dxa"/>
            </w:tcMar>
          </w:tcPr>
          <w:p>
            <w:pPr>
              <w:spacing w:after="40" w:line="276" w:lineRule="auto"/>
            </w:pPr>
            <w:r>
              <w:rPr>
                <w:b w:val="0"/>
                <w:i w:val="0"/>
                <w:sz w:val="18"/>
              </w:rPr>
              <w:t>26,700</w:t>
            </w:r>
          </w:p>
        </w:tc>
        <w:tc>
          <w:tcPr>
            <w:tcW w:type="dxa" w:w="2409"/>
            <w:vAlign w:val="center"/>
            <w:tcMar>
              <w:top w:w="90" w:type="dxa"/>
              <w:left w:w="90" w:type="dxa"/>
              <w:bottom w:w="90" w:type="dxa"/>
              <w:right w:w="90" w:type="dxa"/>
            </w:tcMar>
          </w:tcPr>
          <w:p>
            <w:pPr>
              <w:spacing w:after="40" w:line="276" w:lineRule="auto"/>
            </w:pPr>
            <w:r>
              <w:rPr>
                <w:b w:val="0"/>
                <w:i w:val="0"/>
                <w:sz w:val="18"/>
              </w:rPr>
              <w:t>85.4</w:t>
            </w:r>
          </w:p>
        </w:tc>
        <w:tc>
          <w:tcPr>
            <w:tcW w:type="dxa" w:w="2540"/>
            <w:vAlign w:val="center"/>
            <w:tcMar>
              <w:top w:w="90" w:type="dxa"/>
              <w:left w:w="90" w:type="dxa"/>
              <w:bottom w:w="90" w:type="dxa"/>
              <w:right w:w="90" w:type="dxa"/>
            </w:tcMar>
          </w:tcPr>
          <w:p>
            <w:pPr>
              <w:spacing w:after="40" w:line="276" w:lineRule="auto"/>
            </w:pPr>
            <w:r>
              <w:rPr>
                <w:b w:val="0"/>
                <w:i w:val="0"/>
                <w:sz w:val="18"/>
              </w:rPr>
              <w:t>377.9</w:t>
            </w:r>
          </w:p>
        </w:tc>
      </w:tr>
      <w:tr>
        <w:trPr>
          <w:cantSplit/>
        </w:trPr>
        <w:tc>
          <w:tcPr>
            <w:tcW w:type="dxa" w:w="1714"/>
            <w:vAlign w:val="center"/>
            <w:tcMar>
              <w:top w:w="90" w:type="dxa"/>
              <w:left w:w="90" w:type="dxa"/>
              <w:bottom w:w="90" w:type="dxa"/>
              <w:right w:w="90" w:type="dxa"/>
            </w:tcMar>
          </w:tcPr>
          <w:p>
            <w:pPr>
              <w:spacing w:after="40" w:line="276" w:lineRule="auto"/>
            </w:pPr>
            <w:r>
              <w:rPr>
                <w:b w:val="0"/>
                <w:i w:val="0"/>
                <w:sz w:val="18"/>
              </w:rPr>
              <w:t>2026–2027</w:t>
            </w:r>
          </w:p>
        </w:tc>
        <w:tc>
          <w:tcPr>
            <w:tcW w:type="dxa" w:w="1596"/>
            <w:vAlign w:val="center"/>
            <w:tcMar>
              <w:top w:w="90" w:type="dxa"/>
              <w:left w:w="90" w:type="dxa"/>
              <w:bottom w:w="90" w:type="dxa"/>
              <w:right w:w="90" w:type="dxa"/>
            </w:tcMar>
          </w:tcPr>
          <w:p>
            <w:pPr>
              <w:spacing w:after="40" w:line="276" w:lineRule="auto"/>
            </w:pPr>
            <w:r>
              <w:rPr>
                <w:b w:val="0"/>
                <w:i w:val="0"/>
                <w:sz w:val="18"/>
              </w:rPr>
              <w:t>2,927.9</w:t>
            </w:r>
          </w:p>
        </w:tc>
        <w:tc>
          <w:tcPr>
            <w:tcW w:type="dxa" w:w="1533"/>
            <w:vAlign w:val="center"/>
            <w:tcMar>
              <w:top w:w="90" w:type="dxa"/>
              <w:left w:w="90" w:type="dxa"/>
              <w:bottom w:w="90" w:type="dxa"/>
              <w:right w:w="90" w:type="dxa"/>
            </w:tcMar>
          </w:tcPr>
          <w:p>
            <w:pPr>
              <w:spacing w:after="40" w:line="276" w:lineRule="auto"/>
            </w:pPr>
            <w:r>
              <w:rPr>
                <w:b w:val="0"/>
                <w:i w:val="0"/>
                <w:sz w:val="18"/>
              </w:rPr>
              <w:t>27,400</w:t>
            </w:r>
          </w:p>
        </w:tc>
        <w:tc>
          <w:tcPr>
            <w:tcW w:type="dxa" w:w="2409"/>
            <w:vAlign w:val="center"/>
            <w:tcMar>
              <w:top w:w="90" w:type="dxa"/>
              <w:left w:w="90" w:type="dxa"/>
              <w:bottom w:w="90" w:type="dxa"/>
              <w:right w:w="90" w:type="dxa"/>
            </w:tcMar>
          </w:tcPr>
          <w:p>
            <w:pPr>
              <w:spacing w:after="40" w:line="276" w:lineRule="auto"/>
            </w:pPr>
            <w:r>
              <w:rPr>
                <w:b w:val="0"/>
                <w:i w:val="0"/>
                <w:sz w:val="18"/>
              </w:rPr>
              <w:t>87.8</w:t>
            </w:r>
          </w:p>
        </w:tc>
        <w:tc>
          <w:tcPr>
            <w:tcW w:type="dxa" w:w="2540"/>
            <w:vAlign w:val="center"/>
            <w:tcMar>
              <w:top w:w="90" w:type="dxa"/>
              <w:left w:w="90" w:type="dxa"/>
              <w:bottom w:w="90" w:type="dxa"/>
              <w:right w:w="90" w:type="dxa"/>
            </w:tcMar>
          </w:tcPr>
          <w:p>
            <w:pPr>
              <w:spacing w:after="40" w:line="276" w:lineRule="auto"/>
            </w:pPr>
            <w:r>
              <w:rPr>
                <w:b w:val="0"/>
                <w:i w:val="0"/>
                <w:sz w:val="18"/>
              </w:rPr>
              <w:t>388.5</w:t>
            </w:r>
          </w:p>
        </w:tc>
      </w:tr>
      <w:tr>
        <w:trPr>
          <w:cantSplit/>
        </w:trPr>
        <w:tc>
          <w:tcPr>
            <w:tcW w:type="dxa" w:w="1714"/>
            <w:vAlign w:val="center"/>
            <w:tcMar>
              <w:top w:w="90" w:type="dxa"/>
              <w:left w:w="90" w:type="dxa"/>
              <w:bottom w:w="90" w:type="dxa"/>
              <w:right w:w="90" w:type="dxa"/>
            </w:tcMar>
          </w:tcPr>
          <w:p>
            <w:pPr>
              <w:spacing w:after="40" w:line="276" w:lineRule="auto"/>
            </w:pPr>
            <w:r>
              <w:rPr>
                <w:b w:val="0"/>
                <w:i w:val="0"/>
                <w:sz w:val="18"/>
              </w:rPr>
              <w:t>2028</w:t>
            </w:r>
          </w:p>
        </w:tc>
        <w:tc>
          <w:tcPr>
            <w:tcW w:type="dxa" w:w="1596"/>
            <w:vAlign w:val="center"/>
            <w:tcMar>
              <w:top w:w="90" w:type="dxa"/>
              <w:left w:w="90" w:type="dxa"/>
              <w:bottom w:w="90" w:type="dxa"/>
              <w:right w:w="90" w:type="dxa"/>
            </w:tcMar>
          </w:tcPr>
          <w:p>
            <w:pPr>
              <w:spacing w:after="40" w:line="276" w:lineRule="auto"/>
            </w:pPr>
            <w:r>
              <w:rPr>
                <w:b w:val="0"/>
                <w:i w:val="0"/>
                <w:sz w:val="18"/>
              </w:rPr>
              <w:t>3,377.9</w:t>
            </w:r>
          </w:p>
        </w:tc>
        <w:tc>
          <w:tcPr>
            <w:tcW w:type="dxa" w:w="1533"/>
            <w:vAlign w:val="center"/>
            <w:tcMar>
              <w:top w:w="90" w:type="dxa"/>
              <w:left w:w="90" w:type="dxa"/>
              <w:bottom w:w="90" w:type="dxa"/>
              <w:right w:w="90" w:type="dxa"/>
            </w:tcMar>
          </w:tcPr>
          <w:p>
            <w:pPr>
              <w:spacing w:after="40" w:line="276" w:lineRule="auto"/>
            </w:pPr>
            <w:r>
              <w:rPr>
                <w:b w:val="0"/>
                <w:i w:val="0"/>
                <w:sz w:val="18"/>
              </w:rPr>
              <w:t>30,200</w:t>
            </w:r>
          </w:p>
        </w:tc>
        <w:tc>
          <w:tcPr>
            <w:tcW w:type="dxa" w:w="2409"/>
            <w:vAlign w:val="center"/>
            <w:tcMar>
              <w:top w:w="90" w:type="dxa"/>
              <w:left w:w="90" w:type="dxa"/>
              <w:bottom w:w="90" w:type="dxa"/>
              <w:right w:w="90" w:type="dxa"/>
            </w:tcMar>
          </w:tcPr>
          <w:p>
            <w:pPr>
              <w:spacing w:after="40" w:line="276" w:lineRule="auto"/>
            </w:pPr>
            <w:r>
              <w:rPr>
                <w:b w:val="0"/>
                <w:i w:val="0"/>
                <w:sz w:val="18"/>
              </w:rPr>
              <w:t>96.1</w:t>
            </w:r>
          </w:p>
        </w:tc>
        <w:tc>
          <w:tcPr>
            <w:tcW w:type="dxa" w:w="2540"/>
            <w:vAlign w:val="center"/>
            <w:tcMar>
              <w:top w:w="90" w:type="dxa"/>
              <w:left w:w="90" w:type="dxa"/>
              <w:bottom w:w="90" w:type="dxa"/>
              <w:right w:w="90" w:type="dxa"/>
            </w:tcMar>
          </w:tcPr>
          <w:p>
            <w:pPr>
              <w:spacing w:after="40" w:line="276" w:lineRule="auto"/>
            </w:pPr>
            <w:r>
              <w:rPr>
                <w:b w:val="0"/>
                <w:i w:val="0"/>
                <w:sz w:val="18"/>
              </w:rPr>
              <w:t>425.1</w:t>
            </w:r>
          </w:p>
        </w:tc>
      </w:tr>
      <w:tr>
        <w:trPr>
          <w:cantSplit/>
        </w:trPr>
        <w:tc>
          <w:tcPr>
            <w:tcW w:type="dxa" w:w="1714"/>
            <w:vAlign w:val="center"/>
            <w:tcMar>
              <w:top w:w="90" w:type="dxa"/>
              <w:left w:w="90" w:type="dxa"/>
              <w:bottom w:w="90" w:type="dxa"/>
              <w:right w:w="90" w:type="dxa"/>
            </w:tcMar>
          </w:tcPr>
          <w:p>
            <w:pPr>
              <w:spacing w:after="40" w:line="276" w:lineRule="auto"/>
            </w:pPr>
            <w:r>
              <w:rPr>
                <w:b w:val="0"/>
                <w:i w:val="0"/>
                <w:sz w:val="18"/>
              </w:rPr>
              <w:t>2029</w:t>
            </w:r>
          </w:p>
        </w:tc>
        <w:tc>
          <w:tcPr>
            <w:tcW w:type="dxa" w:w="1596"/>
            <w:vAlign w:val="center"/>
            <w:tcMar>
              <w:top w:w="90" w:type="dxa"/>
              <w:left w:w="90" w:type="dxa"/>
              <w:bottom w:w="90" w:type="dxa"/>
              <w:right w:w="90" w:type="dxa"/>
            </w:tcMar>
          </w:tcPr>
          <w:p>
            <w:pPr>
              <w:spacing w:after="40" w:line="276" w:lineRule="auto"/>
            </w:pPr>
            <w:r>
              <w:rPr>
                <w:b w:val="0"/>
                <w:i w:val="0"/>
                <w:sz w:val="18"/>
              </w:rPr>
              <w:t>3,587.9</w:t>
            </w:r>
          </w:p>
        </w:tc>
        <w:tc>
          <w:tcPr>
            <w:tcW w:type="dxa" w:w="1533"/>
            <w:vAlign w:val="center"/>
            <w:tcMar>
              <w:top w:w="90" w:type="dxa"/>
              <w:left w:w="90" w:type="dxa"/>
              <w:bottom w:w="90" w:type="dxa"/>
              <w:right w:w="90" w:type="dxa"/>
            </w:tcMar>
          </w:tcPr>
          <w:p>
            <w:pPr>
              <w:spacing w:after="40" w:line="276" w:lineRule="auto"/>
            </w:pPr>
            <w:r>
              <w:rPr>
                <w:b w:val="0"/>
                <w:i w:val="0"/>
                <w:sz w:val="18"/>
              </w:rPr>
              <w:t>31,800</w:t>
            </w:r>
          </w:p>
        </w:tc>
        <w:tc>
          <w:tcPr>
            <w:tcW w:type="dxa" w:w="2409"/>
            <w:vAlign w:val="center"/>
            <w:tcMar>
              <w:top w:w="90" w:type="dxa"/>
              <w:left w:w="90" w:type="dxa"/>
              <w:bottom w:w="90" w:type="dxa"/>
              <w:right w:w="90" w:type="dxa"/>
            </w:tcMar>
          </w:tcPr>
          <w:p>
            <w:pPr>
              <w:spacing w:after="40" w:line="276" w:lineRule="auto"/>
            </w:pPr>
            <w:r>
              <w:rPr>
                <w:b w:val="0"/>
                <w:i w:val="0"/>
                <w:sz w:val="18"/>
              </w:rPr>
              <w:t>99.9</w:t>
            </w:r>
          </w:p>
        </w:tc>
        <w:tc>
          <w:tcPr>
            <w:tcW w:type="dxa" w:w="2540"/>
            <w:vAlign w:val="center"/>
            <w:tcMar>
              <w:top w:w="90" w:type="dxa"/>
              <w:left w:w="90" w:type="dxa"/>
              <w:bottom w:w="90" w:type="dxa"/>
              <w:right w:w="90" w:type="dxa"/>
            </w:tcMar>
          </w:tcPr>
          <w:p>
            <w:pPr>
              <w:spacing w:after="40" w:line="276" w:lineRule="auto"/>
            </w:pPr>
            <w:r>
              <w:rPr>
                <w:b w:val="0"/>
                <w:i w:val="0"/>
                <w:sz w:val="18"/>
              </w:rPr>
              <w:t>441.5</w:t>
            </w:r>
          </w:p>
        </w:tc>
      </w:tr>
      <w:tr>
        <w:trPr>
          <w:cantSplit/>
        </w:trPr>
        <w:tc>
          <w:tcPr>
            <w:tcW w:type="dxa" w:w="1714"/>
            <w:vAlign w:val="center"/>
            <w:tcMar>
              <w:top w:w="90" w:type="dxa"/>
              <w:left w:w="90" w:type="dxa"/>
              <w:bottom w:w="90" w:type="dxa"/>
              <w:right w:w="90" w:type="dxa"/>
            </w:tcMar>
          </w:tcPr>
          <w:p>
            <w:pPr>
              <w:spacing w:after="40" w:line="276" w:lineRule="auto"/>
            </w:pPr>
            <w:r>
              <w:rPr>
                <w:b w:val="0"/>
                <w:i w:val="0"/>
                <w:sz w:val="18"/>
              </w:rPr>
              <w:t>2030</w:t>
            </w:r>
          </w:p>
        </w:tc>
        <w:tc>
          <w:tcPr>
            <w:tcW w:type="dxa" w:w="1596"/>
            <w:vAlign w:val="center"/>
            <w:tcMar>
              <w:top w:w="90" w:type="dxa"/>
              <w:left w:w="90" w:type="dxa"/>
              <w:bottom w:w="90" w:type="dxa"/>
              <w:right w:w="90" w:type="dxa"/>
            </w:tcMar>
          </w:tcPr>
          <w:p>
            <w:pPr>
              <w:spacing w:after="40" w:line="276" w:lineRule="auto"/>
            </w:pPr>
            <w:r>
              <w:rPr>
                <w:b w:val="0"/>
                <w:i w:val="0"/>
                <w:sz w:val="18"/>
              </w:rPr>
              <w:t>4,187.9</w:t>
            </w:r>
          </w:p>
        </w:tc>
        <w:tc>
          <w:tcPr>
            <w:tcW w:type="dxa" w:w="1533"/>
            <w:vAlign w:val="center"/>
            <w:tcMar>
              <w:top w:w="90" w:type="dxa"/>
              <w:left w:w="90" w:type="dxa"/>
              <w:bottom w:w="90" w:type="dxa"/>
              <w:right w:w="90" w:type="dxa"/>
            </w:tcMar>
          </w:tcPr>
          <w:p>
            <w:pPr>
              <w:spacing w:after="40" w:line="276" w:lineRule="auto"/>
            </w:pPr>
            <w:r>
              <w:rPr>
                <w:b w:val="0"/>
                <w:i w:val="0"/>
                <w:sz w:val="18"/>
              </w:rPr>
              <w:t>40,800</w:t>
            </w:r>
          </w:p>
        </w:tc>
        <w:tc>
          <w:tcPr>
            <w:tcW w:type="dxa" w:w="2409"/>
            <w:vAlign w:val="center"/>
            <w:tcMar>
              <w:top w:w="90" w:type="dxa"/>
              <w:left w:w="90" w:type="dxa"/>
              <w:bottom w:w="90" w:type="dxa"/>
              <w:right w:w="90" w:type="dxa"/>
            </w:tcMar>
          </w:tcPr>
          <w:p>
            <w:pPr>
              <w:spacing w:after="40" w:line="276" w:lineRule="auto"/>
            </w:pPr>
            <w:r>
              <w:rPr>
                <w:b w:val="0"/>
                <w:i w:val="0"/>
                <w:sz w:val="18"/>
              </w:rPr>
              <w:t>112.4</w:t>
            </w:r>
          </w:p>
        </w:tc>
        <w:tc>
          <w:tcPr>
            <w:tcW w:type="dxa" w:w="2540"/>
            <w:vAlign w:val="center"/>
            <w:tcMar>
              <w:top w:w="90" w:type="dxa"/>
              <w:left w:w="90" w:type="dxa"/>
              <w:bottom w:w="90" w:type="dxa"/>
              <w:right w:w="90" w:type="dxa"/>
            </w:tcMar>
          </w:tcPr>
          <w:p>
            <w:pPr>
              <w:spacing w:after="40" w:line="276" w:lineRule="auto"/>
            </w:pPr>
            <w:r>
              <w:rPr>
                <w:b w:val="0"/>
                <w:i w:val="0"/>
                <w:sz w:val="18"/>
              </w:rPr>
              <w:t>496.8</w:t>
            </w:r>
          </w:p>
        </w:tc>
      </w:tr>
      <w:tr>
        <w:trPr>
          <w:cantSplit/>
        </w:trPr>
        <w:tc>
          <w:tcPr>
            <w:tcW w:type="dxa" w:w="1714"/>
            <w:vAlign w:val="center"/>
            <w:tcMar>
              <w:top w:w="90" w:type="dxa"/>
              <w:left w:w="90" w:type="dxa"/>
              <w:bottom w:w="90" w:type="dxa"/>
              <w:right w:w="90" w:type="dxa"/>
            </w:tcMar>
          </w:tcPr>
          <w:p>
            <w:pPr>
              <w:spacing w:after="40" w:line="276" w:lineRule="auto"/>
            </w:pPr>
            <w:r>
              <w:rPr>
                <w:b w:val="0"/>
                <w:i w:val="0"/>
                <w:sz w:val="18"/>
              </w:rPr>
              <w:t>2031–2034</w:t>
            </w:r>
          </w:p>
        </w:tc>
        <w:tc>
          <w:tcPr>
            <w:tcW w:type="dxa" w:w="1596"/>
            <w:vAlign w:val="center"/>
            <w:tcMar>
              <w:top w:w="90" w:type="dxa"/>
              <w:left w:w="90" w:type="dxa"/>
              <w:bottom w:w="90" w:type="dxa"/>
              <w:right w:w="90" w:type="dxa"/>
            </w:tcMar>
          </w:tcPr>
          <w:p>
            <w:pPr>
              <w:spacing w:after="40" w:line="276" w:lineRule="auto"/>
            </w:pPr>
            <w:r>
              <w:rPr>
                <w:b w:val="0"/>
                <w:i w:val="0"/>
                <w:sz w:val="18"/>
              </w:rPr>
              <w:t>5,687.9</w:t>
            </w:r>
          </w:p>
        </w:tc>
        <w:tc>
          <w:tcPr>
            <w:tcW w:type="dxa" w:w="1533"/>
            <w:vAlign w:val="center"/>
            <w:tcMar>
              <w:top w:w="90" w:type="dxa"/>
              <w:left w:w="90" w:type="dxa"/>
              <w:bottom w:w="90" w:type="dxa"/>
              <w:right w:w="90" w:type="dxa"/>
            </w:tcMar>
          </w:tcPr>
          <w:p>
            <w:pPr>
              <w:spacing w:after="40" w:line="276" w:lineRule="auto"/>
            </w:pPr>
            <w:r>
              <w:rPr>
                <w:b w:val="0"/>
                <w:i w:val="0"/>
                <w:sz w:val="18"/>
              </w:rPr>
              <w:t>70,800</w:t>
            </w:r>
          </w:p>
        </w:tc>
        <w:tc>
          <w:tcPr>
            <w:tcW w:type="dxa" w:w="2409"/>
            <w:vAlign w:val="center"/>
            <w:tcMar>
              <w:top w:w="90" w:type="dxa"/>
              <w:left w:w="90" w:type="dxa"/>
              <w:bottom w:w="90" w:type="dxa"/>
              <w:right w:w="90" w:type="dxa"/>
            </w:tcMar>
          </w:tcPr>
          <w:p>
            <w:pPr>
              <w:spacing w:after="40" w:line="276" w:lineRule="auto"/>
            </w:pPr>
            <w:r>
              <w:rPr>
                <w:b w:val="0"/>
                <w:i w:val="0"/>
                <w:sz w:val="18"/>
              </w:rPr>
              <w:t>134.9</w:t>
            </w:r>
          </w:p>
        </w:tc>
        <w:tc>
          <w:tcPr>
            <w:tcW w:type="dxa" w:w="2540"/>
            <w:vAlign w:val="center"/>
            <w:tcMar>
              <w:top w:w="90" w:type="dxa"/>
              <w:left w:w="90" w:type="dxa"/>
              <w:bottom w:w="90" w:type="dxa"/>
              <w:right w:w="90" w:type="dxa"/>
            </w:tcMar>
          </w:tcPr>
          <w:p>
            <w:pPr>
              <w:spacing w:after="40" w:line="276" w:lineRule="auto"/>
            </w:pPr>
            <w:r>
              <w:rPr>
                <w:b w:val="0"/>
                <w:i w:val="0"/>
                <w:sz w:val="18"/>
              </w:rPr>
              <w:t>596.4</w:t>
            </w:r>
          </w:p>
        </w:tc>
      </w:tr>
      <w:tr>
        <w:trPr>
          <w:cantSplit/>
        </w:trPr>
        <w:tc>
          <w:tcPr>
            <w:tcW w:type="dxa" w:w="1714"/>
            <w:vAlign w:val="center"/>
            <w:tcMar>
              <w:top w:w="90" w:type="dxa"/>
              <w:left w:w="90" w:type="dxa"/>
              <w:bottom w:w="90" w:type="dxa"/>
              <w:right w:w="90" w:type="dxa"/>
            </w:tcMar>
          </w:tcPr>
          <w:p>
            <w:pPr>
              <w:spacing w:after="40" w:line="276" w:lineRule="auto"/>
            </w:pPr>
            <w:r>
              <w:rPr>
                <w:b w:val="0"/>
                <w:i w:val="0"/>
                <w:sz w:val="18"/>
              </w:rPr>
              <w:t>2035</w:t>
            </w:r>
          </w:p>
        </w:tc>
        <w:tc>
          <w:tcPr>
            <w:tcW w:type="dxa" w:w="1596"/>
            <w:vAlign w:val="center"/>
            <w:tcMar>
              <w:top w:w="90" w:type="dxa"/>
              <w:left w:w="90" w:type="dxa"/>
              <w:bottom w:w="90" w:type="dxa"/>
              <w:right w:w="90" w:type="dxa"/>
            </w:tcMar>
          </w:tcPr>
          <w:p>
            <w:pPr>
              <w:spacing w:after="40" w:line="276" w:lineRule="auto"/>
            </w:pPr>
            <w:r>
              <w:rPr>
                <w:b w:val="0"/>
                <w:i w:val="0"/>
                <w:sz w:val="18"/>
              </w:rPr>
              <w:t>11,387.9</w:t>
            </w:r>
          </w:p>
        </w:tc>
        <w:tc>
          <w:tcPr>
            <w:tcW w:type="dxa" w:w="1533"/>
            <w:vAlign w:val="center"/>
            <w:tcMar>
              <w:top w:w="90" w:type="dxa"/>
              <w:left w:w="90" w:type="dxa"/>
              <w:bottom w:w="90" w:type="dxa"/>
              <w:right w:w="90" w:type="dxa"/>
            </w:tcMar>
          </w:tcPr>
          <w:p>
            <w:pPr>
              <w:spacing w:after="40" w:line="276" w:lineRule="auto"/>
            </w:pPr>
            <w:r>
              <w:rPr>
                <w:b w:val="0"/>
                <w:i w:val="0"/>
                <w:sz w:val="18"/>
              </w:rPr>
              <w:t>195,800</w:t>
            </w:r>
          </w:p>
        </w:tc>
        <w:tc>
          <w:tcPr>
            <w:tcW w:type="dxa" w:w="2409"/>
            <w:vAlign w:val="center"/>
            <w:tcMar>
              <w:top w:w="90" w:type="dxa"/>
              <w:left w:w="90" w:type="dxa"/>
              <w:bottom w:w="90" w:type="dxa"/>
              <w:right w:w="90" w:type="dxa"/>
            </w:tcMar>
          </w:tcPr>
          <w:p>
            <w:pPr>
              <w:spacing w:after="40" w:line="276" w:lineRule="auto"/>
            </w:pPr>
            <w:r>
              <w:rPr>
                <w:b w:val="0"/>
                <w:i w:val="0"/>
                <w:sz w:val="18"/>
              </w:rPr>
              <w:t>241.9</w:t>
            </w:r>
          </w:p>
        </w:tc>
        <w:tc>
          <w:tcPr>
            <w:tcW w:type="dxa" w:w="2540"/>
            <w:vAlign w:val="center"/>
            <w:tcMar>
              <w:top w:w="90" w:type="dxa"/>
              <w:left w:w="90" w:type="dxa"/>
              <w:bottom w:w="90" w:type="dxa"/>
              <w:right w:w="90" w:type="dxa"/>
            </w:tcMar>
          </w:tcPr>
          <w:p>
            <w:pPr>
              <w:spacing w:after="40" w:line="276" w:lineRule="auto"/>
            </w:pPr>
            <w:r>
              <w:rPr>
                <w:b w:val="0"/>
                <w:i w:val="0"/>
                <w:sz w:val="18"/>
              </w:rPr>
              <w:t>1,070.8</w:t>
            </w:r>
          </w:p>
        </w:tc>
      </w:tr>
    </w:tbl>
    <w:p>
      <w:pPr>
        <w:spacing w:after="20"/>
      </w:pPr>
    </w:p>
    <w:p>
      <w:r>
        <w:rPr>
          <w:b w:val="0"/>
          <w:i w:val="0"/>
        </w:rPr>
        <w:t xml:space="preserve">Nuclear follows the frozen </w:t>
      </w:r>
      <w:r>
        <w:rPr>
          <w:rFonts w:ascii="DejaVu Sans Mono" w:hAnsi="DejaVu Sans Mono"/>
          <w:b w:val="0"/>
          <w:i w:val="0"/>
          <w:sz w:val="17"/>
        </w:rPr>
        <w:t>value_​uk_​nuclear_​policy_​v1.json</w:t>
      </w:r>
      <w:r>
        <w:rPr>
          <w:b w:val="0"/>
          <w:i w:val="0"/>
        </w:rPr>
        <w:t xml:space="preserve"> schedule. Heysham 1, Hartlepool, Heysham 2 and Torness have 1,155, 1,185, 1,230 and 1,190 MW and leave the annual asset schedule from 2031. Sizewell B has 1,198 MW and leaves from 2056. Hinkley C's two 1,630 MW units enter full model-year operation in 2031 and 2032, while Sizewell C's 3,200 MW is retained in the 2035 pipeline. In default corrected Native dispatch, a station-policy data pack additionally applies the Chapter 5 load factors and the AGR cutoff at period 4,320 of 2030.</w:t>
      </w:r>
    </w:p>
    <w:p>
      <w:pPr>
        <w:pStyle w:val="Heading2"/>
      </w:pPr>
      <w:r>
        <w:rPr>
          <w:b w:val="0"/>
          <w:i w:val="0"/>
        </w:rPr>
        <w:t>Physical state between experimental years</w:t>
      </w:r>
    </w:p>
    <w:p>
      <w:r>
        <w:rPr>
          <w:b w:val="0"/>
          <w:i w:val="0"/>
        </w:rPr>
        <w:t>The experimental period engine carries batch ages and generator memory across a completed year. Its absolute period index continues through the year boundary, retaining each surviving batch's charging index. Existing generator memory, including cumulative natural-resource budgets, is transferred; newly introduced generators use their supplied initial states. New storage begins with empty batches.</w:t>
      </w:r>
    </w:p>
    <w:p>
      <w:r>
        <w:rPr>
          <w:rFonts w:ascii="DejaVu Sans Mono" w:hAnsi="DejaVu Sans Mono"/>
          <w:b w:val="0"/>
          <w:i w:val="0"/>
          <w:sz w:val="17"/>
        </w:rPr>
        <w:t>DoctoralPeriodEngine.advance_​year</w:t>
      </w:r>
      <w:r>
        <w:rPr>
          <w:b w:val="0"/>
          <w:i w:val="0"/>
        </w:rPr>
        <w:t xml:space="preserve"> requires consecutive complete model years and storage capacities sufficient for retained inventory. Retirement of a nonempty store or a reduction below its inventory requires an explicit disposition rule supplied through a further integration step. The implemented transition therefore preserves the inventory of continuing stores without an automatic retirement write-off. Annual account preparation, physical-state continuation and investment proposals remain separate interfaces with the input requirements described above.</w:t>
      </w:r>
    </w:p>
    <w:p>
      <w:pPr>
        <w:pStyle w:val="Heading1"/>
      </w:pPr>
      <w:r>
        <w:rPr>
          <w:b w:val="0"/>
          <w:i w:val="0"/>
        </w:rPr>
        <w:t>7 Transmission and network constraints</w:t>
      </w:r>
    </w:p>
    <w:p>
      <w:pPr>
        <w:pStyle w:val="Heading2"/>
      </w:pPr>
      <w:r>
        <w:rPr>
          <w:b w:val="0"/>
          <w:i w:val="0"/>
        </w:rPr>
        <w:t>Spatial representation of zonal redispatch</w:t>
      </w:r>
    </w:p>
    <w:p>
      <w:r>
        <w:rPr>
          <w:b w:val="0"/>
          <w:i w:val="0"/>
        </w:rPr>
        <w:t>Zonal redispatch adds spatial constraints to a national ahead schedule. Each half-hour accepts upward and downward bids so that final injections satisfy zonal demand, corridor capacities and geographical boundary limits. Flow follows a lossless transport formulation with conservation and capacity constraints. The 23-zone configuration and 11-zone experiment use this representation; DC dispatch and AC feasibility use the separate methods below. These network modules operate under the corrected methodology with an eligible dataset.</w:t>
      </w:r>
    </w:p>
    <w:p>
      <w:pPr>
        <w:keepNext/>
      </w:pPr>
      <w:r>
        <w:rPr>
          <w:b w:val="0"/>
          <w:i w:val="0"/>
        </w:rPr>
        <w:t xml:space="preserve">Demand follows the spatial rule selected for the case. </w:t>
      </w:r>
      <w:r>
        <w:rPr>
          <w:rFonts w:ascii="DejaVu Sans Mono" w:hAnsi="DejaVu Sans Mono"/>
          <w:b w:val="0"/>
          <w:i w:val="0"/>
          <w:sz w:val="17"/>
        </w:rPr>
        <w:t>align_zonal_demand</w:t>
      </w:r>
      <w:r>
        <w:rPr>
          <w:b w:val="0"/>
          <w:i w:val="0"/>
        </w:rPr>
        <w:t xml:space="preserve"> preserves the network pack's zonal shares for the 23-zone study and scales them to national scenario demand. Its arrays </w:t>
      </w:r>
      <w:r>
        <w:rPr>
          <w:rFonts w:ascii="DejaVu Sans Mono" w:hAnsi="DejaVu Sans Mono"/>
          <w:b w:val="0"/>
          <w:i w:val="0"/>
          <w:sz w:val="17"/>
        </w:rPr>
        <w:t>aligned</w:t>
      </w:r>
      <w:r>
        <w:rPr>
          <w:b w:val="0"/>
          <w:i w:val="0"/>
        </w:rPr>
        <w:t xml:space="preserve">, </w:t>
      </w:r>
      <w:r>
        <w:rPr>
          <w:rFonts w:ascii="DejaVu Sans Mono" w:hAnsi="DejaVu Sans Mono"/>
          <w:b w:val="0"/>
          <w:i w:val="0"/>
          <w:sz w:val="17"/>
        </w:rPr>
        <w:t>output_real</w:t>
      </w:r>
      <w:r>
        <w:rPr>
          <w:b w:val="0"/>
          <w:i w:val="0"/>
        </w:rPr>
        <w:t xml:space="preserve">, </w:t>
      </w:r>
      <w:r>
        <w:rPr>
          <w:rFonts w:ascii="DejaVu Sans Mono" w:hAnsi="DejaVu Sans Mono"/>
          <w:b w:val="0"/>
          <w:i w:val="0"/>
          <w:sz w:val="17"/>
        </w:rPr>
        <w:t>network_​demand_​mwh_​by_​zone</w:t>
      </w:r>
      <w:r>
        <w:rPr>
          <w:b w:val="0"/>
          <w:i w:val="0"/>
        </w:rPr>
        <w:t xml:space="preserve"> and </w:t>
      </w:r>
      <w:r>
        <w:rPr>
          <w:rFonts w:ascii="DejaVu Sans Mono" w:hAnsi="DejaVu Sans Mono"/>
          <w:b w:val="0"/>
          <w:i w:val="0"/>
          <w:sz w:val="17"/>
        </w:rPr>
        <w:t>network_national_mwh</w:t>
      </w:r>
      <w:r>
        <w:rPr>
          <w:b w:val="0"/>
          <w:i w:val="0"/>
        </w:rPr>
        <w:t xml:space="preserve"> are MWh; zone and period indices are </w:t>
      </w:r>
      <w:r>
        <w:drawing>
          <wp:inline xmlns:a="http://schemas.openxmlformats.org/drawingml/2006/main" xmlns:pic="http://schemas.openxmlformats.org/drawingml/2006/picture">
            <wp:extent cx="209946" cy="135590"/>
            <wp:docPr id="130" name="Picture 130"/>
            <wp:cNvGraphicFramePr>
              <a:graphicFrameLocks noChangeAspect="1"/>
            </wp:cNvGraphicFramePr>
            <a:graphic>
              <a:graphicData uri="http://schemas.openxmlformats.org/drawingml/2006/picture">
                <pic:pic>
                  <pic:nvPicPr>
                    <pic:cNvPr id="0" name="eq-130.png"/>
                    <pic:cNvPicPr/>
                  </pic:nvPicPr>
                  <pic:blipFill>
                    <a:blip r:embed="rId132"/>
                    <a:stretch>
                      <a:fillRect/>
                    </a:stretch>
                  </pic:blipFill>
                  <pic:spPr>
                    <a:xfrm>
                      <a:off x="0" y="0"/>
                      <a:ext cx="209946" cy="135590"/>
                    </a:xfrm>
                    <a:prstGeom prst="rect"/>
                  </pic:spPr>
                </pic:pic>
              </a:graphicData>
            </a:graphic>
          </wp:inline>
        </w:drawing>
      </w:r>
      <w:r>
        <w:rPr>
          <w:b w:val="0"/>
          <w:i w:val="0"/>
        </w:rPr>
        <w:t>:</w:t>
      </w:r>
    </w:p>
    <w:p>
      <w:pPr>
        <w:spacing w:after="160"/>
        <w:jc w:val="center"/>
      </w:pPr>
      <w:r>
        <w:drawing>
          <wp:inline xmlns:a="http://schemas.openxmlformats.org/drawingml/2006/main" xmlns:pic="http://schemas.openxmlformats.org/drawingml/2006/picture">
            <wp:extent cx="4083481" cy="631042"/>
            <wp:docPr id="131" name="Picture 131"/>
            <wp:cNvGraphicFramePr>
              <a:graphicFrameLocks noChangeAspect="1"/>
            </wp:cNvGraphicFramePr>
            <a:graphic>
              <a:graphicData uri="http://schemas.openxmlformats.org/drawingml/2006/picture">
                <pic:pic>
                  <pic:nvPicPr>
                    <pic:cNvPr id="0" name="eq-131.png"/>
                    <pic:cNvPicPr/>
                  </pic:nvPicPr>
                  <pic:blipFill>
                    <a:blip r:embed="rId133"/>
                    <a:stretch>
                      <a:fillRect/>
                    </a:stretch>
                  </pic:blipFill>
                  <pic:spPr>
                    <a:xfrm>
                      <a:off x="0" y="0"/>
                      <a:ext cx="4083481" cy="631042"/>
                    </a:xfrm>
                    <a:prstGeom prst="rect"/>
                  </pic:spPr>
                </pic:pic>
              </a:graphicData>
            </a:graphic>
          </wp:inline>
        </w:drawing>
      </w:r>
    </w:p>
    <w:p>
      <w:pPr>
        <w:keepNext/>
      </w:pPr>
      <w:r>
        <w:rPr>
          <w:b w:val="0"/>
          <w:i w:val="0"/>
        </w:rPr>
        <w:t>The last zone receives national demand less the sum allocated to the preceding zones, preserving the total. The 11-zone experiment instead selects absolute network demand and retains the forecast-to-actual ratio from the base series:</w:t>
      </w:r>
    </w:p>
    <w:p>
      <w:pPr>
        <w:spacing w:after="160"/>
        <w:jc w:val="center"/>
      </w:pPr>
      <w:r>
        <w:drawing>
          <wp:inline xmlns:a="http://schemas.openxmlformats.org/drawingml/2006/main" xmlns:pic="http://schemas.openxmlformats.org/drawingml/2006/picture">
            <wp:extent cx="4432325" cy="608045"/>
            <wp:docPr id="132" name="Picture 132"/>
            <wp:cNvGraphicFramePr>
              <a:graphicFrameLocks noChangeAspect="1"/>
            </wp:cNvGraphicFramePr>
            <a:graphic>
              <a:graphicData uri="http://schemas.openxmlformats.org/drawingml/2006/picture">
                <pic:pic>
                  <pic:nvPicPr>
                    <pic:cNvPr id="0" name="eq-132.png"/>
                    <pic:cNvPicPr/>
                  </pic:nvPicPr>
                  <pic:blipFill>
                    <a:blip r:embed="rId134"/>
                    <a:stretch>
                      <a:fillRect/>
                    </a:stretch>
                  </pic:blipFill>
                  <pic:spPr>
                    <a:xfrm>
                      <a:off x="0" y="0"/>
                      <a:ext cx="4432325" cy="608045"/>
                    </a:xfrm>
                    <a:prstGeom prst="rect"/>
                  </pic:spPr>
                </pic:pic>
              </a:graphicData>
            </a:graphic>
          </wp:inline>
        </w:drawing>
      </w:r>
    </w:p>
    <w:p>
      <w:r>
        <w:rPr>
          <w:b w:val="0"/>
          <w:i w:val="0"/>
        </w:rPr>
        <w:t xml:space="preserve">A zero denominator with positive required demand is an input error. The resulting </w:t>
      </w:r>
      <w:r>
        <w:rPr>
          <w:rFonts w:ascii="DejaVu Sans Mono" w:hAnsi="DejaVu Sans Mono"/>
          <w:b w:val="0"/>
          <w:i w:val="0"/>
          <w:sz w:val="17"/>
        </w:rPr>
        <w:t>demand_mwh_by_zone</w:t>
      </w:r>
      <w:r>
        <w:rPr>
          <w:b w:val="0"/>
          <w:i w:val="0"/>
        </w:rPr>
        <w:t xml:space="preserve"> accompanies asset locations, realised availability and interconnector import/export envelopes into </w:t>
      </w:r>
      <w:r>
        <w:rPr>
          <w:rFonts w:ascii="DejaVu Sans Mono" w:hAnsi="DejaVu Sans Mono"/>
          <w:b w:val="0"/>
          <w:i w:val="0"/>
          <w:sz w:val="17"/>
        </w:rPr>
        <w:t>build_​single_​period_​problem</w:t>
      </w:r>
      <w:r>
        <w:rPr>
          <w:b w:val="0"/>
          <w:i w:val="0"/>
        </w:rPr>
        <w:t>.</w:t>
      </w:r>
    </w:p>
    <w:p>
      <w:pPr>
        <w:pStyle w:val="Heading2"/>
      </w:pPr>
      <w:r>
        <w:rPr>
          <w:b w:val="0"/>
          <w:i w:val="0"/>
        </w:rPr>
        <w:t>Adjustment objectives and operating constraints</w:t>
      </w:r>
    </w:p>
    <w:p>
      <w:r>
        <w:rPr>
          <w:b w:val="0"/>
          <w:i w:val="0"/>
        </w:rPr>
        <w:t xml:space="preserve">Redispatch solves four linear objectives in sequence: bid expenditure including shortage cost, adjustment volume, weighted physical throughput and stable variable order. </w:t>
      </w:r>
      <w:r>
        <w:rPr>
          <w:rFonts w:ascii="DejaVu Sans Mono" w:hAnsi="DejaVu Sans Mono"/>
          <w:b w:val="0"/>
          <w:i w:val="0"/>
          <w:sz w:val="17"/>
        </w:rPr>
        <w:t>SinglePeriodProblem</w:t>
      </w:r>
      <w:r>
        <w:rPr>
          <w:b w:val="0"/>
          <w:i w:val="0"/>
        </w:rPr>
        <w:t xml:space="preserve"> stores their coefficient arrays as </w:t>
      </w:r>
      <w:r>
        <w:rPr>
          <w:rFonts w:ascii="DejaVu Sans Mono" w:hAnsi="DejaVu Sans Mono"/>
          <w:b w:val="0"/>
          <w:i w:val="0"/>
          <w:sz w:val="17"/>
        </w:rPr>
        <w:t>primary_objective</w:t>
      </w:r>
      <w:r>
        <w:rPr>
          <w:b w:val="0"/>
          <w:i w:val="0"/>
        </w:rPr>
        <w:t xml:space="preserve">, </w:t>
      </w:r>
      <w:r>
        <w:rPr>
          <w:rFonts w:ascii="DejaVu Sans Mono" w:hAnsi="DejaVu Sans Mono"/>
          <w:b w:val="0"/>
          <w:i w:val="0"/>
          <w:sz w:val="17"/>
        </w:rPr>
        <w:t>secondary_objective</w:t>
      </w:r>
      <w:r>
        <w:rPr>
          <w:b w:val="0"/>
          <w:i w:val="0"/>
        </w:rPr>
        <w:t xml:space="preserve">, </w:t>
      </w:r>
      <w:r>
        <w:rPr>
          <w:rFonts w:ascii="DejaVu Sans Mono" w:hAnsi="DejaVu Sans Mono"/>
          <w:b w:val="0"/>
          <w:i w:val="0"/>
          <w:sz w:val="17"/>
        </w:rPr>
        <w:t>physical_tie_objective</w:t>
      </w:r>
      <w:r>
        <w:rPr>
          <w:b w:val="0"/>
          <w:i w:val="0"/>
        </w:rPr>
        <w:t xml:space="preserve"> and </w:t>
      </w:r>
      <w:r>
        <w:rPr>
          <w:rFonts w:ascii="DejaVu Sans Mono" w:hAnsi="DejaVu Sans Mono"/>
          <w:b w:val="0"/>
          <w:i w:val="0"/>
          <w:sz w:val="17"/>
        </w:rPr>
        <w:t>stable_tie_objective</w:t>
      </w:r>
      <w:r>
        <w:rPr>
          <w:b w:val="0"/>
          <w:i w:val="0"/>
        </w:rPr>
        <w:t xml:space="preserve">. Each objective is its array's dot product with </w:t>
      </w:r>
      <w:r>
        <w:rPr>
          <w:rFonts w:ascii="DejaVu Sans Mono" w:hAnsi="DejaVu Sans Mono"/>
          <w:b w:val="0"/>
          <w:i w:val="0"/>
          <w:sz w:val="17"/>
        </w:rPr>
        <w:t>values</w:t>
      </w:r>
      <w:r>
        <w:rPr>
          <w:b w:val="0"/>
          <w:i w:val="0"/>
        </w:rPr>
        <w:t xml:space="preserve">, the period decision vector returned by </w:t>
      </w:r>
      <w:r>
        <w:rPr>
          <w:rFonts w:ascii="DejaVu Sans Mono" w:hAnsi="DejaVu Sans Mono"/>
          <w:b w:val="0"/>
          <w:i w:val="0"/>
          <w:sz w:val="17"/>
        </w:rPr>
        <w:t>solve_lexicographic</w:t>
      </w:r>
      <w:r>
        <w:rPr>
          <w:b w:val="0"/>
          <w:i w:val="0"/>
        </w:rPr>
        <w:t>.</w:t>
      </w:r>
    </w:p>
    <w:p>
      <w:r>
        <w:rPr>
          <w:b w:val="0"/>
          <w:i w:val="0"/>
        </w:rPr>
        <w:t xml:space="preserve">The decision vector uses the implementation's variable labels. </w:t>
      </w:r>
      <w:r>
        <w:rPr>
          <w:rFonts w:ascii="DejaVu Sans Mono" w:hAnsi="DejaVu Sans Mono"/>
          <w:b w:val="0"/>
          <w:i w:val="0"/>
          <w:sz w:val="17"/>
        </w:rPr>
        <w:t>bid:&lt;bid_id&gt;</w:t>
      </w:r>
      <w:r>
        <w:rPr>
          <w:b w:val="0"/>
          <w:i w:val="0"/>
        </w:rPr>
        <w:t xml:space="preserve"> is accepted nonnegative bid MWh; </w:t>
      </w:r>
      <w:r>
        <w:rPr>
          <w:rFonts w:ascii="DejaVu Sans Mono" w:hAnsi="DejaVu Sans Mono"/>
          <w:b w:val="0"/>
          <w:i w:val="0"/>
          <w:sz w:val="17"/>
        </w:rPr>
        <w:t>flow:&lt;corridor_id&gt;</w:t>
      </w:r>
      <w:r>
        <w:rPr>
          <w:b w:val="0"/>
          <w:i w:val="0"/>
        </w:rPr>
        <w:t xml:space="preserve"> is signed corridor MWh; </w:t>
      </w:r>
      <w:r>
        <w:rPr>
          <w:rFonts w:ascii="DejaVu Sans Mono" w:hAnsi="DejaVu Sans Mono"/>
          <w:b w:val="0"/>
          <w:i w:val="0"/>
          <w:sz w:val="17"/>
        </w:rPr>
        <w:t>load-shedding:&lt;zone_id&gt;</w:t>
      </w:r>
      <w:r>
        <w:rPr>
          <w:b w:val="0"/>
          <w:i w:val="0"/>
        </w:rPr>
        <w:t xml:space="preserve"> is unmet demand; </w:t>
      </w:r>
      <w:r>
        <w:rPr>
          <w:rFonts w:ascii="DejaVu Sans Mono" w:hAnsi="DejaVu Sans Mono"/>
          <w:b w:val="0"/>
          <w:i w:val="0"/>
          <w:sz w:val="17"/>
        </w:rPr>
        <w:t>storage-charge:&lt;asset_​id&gt;</w:t>
      </w:r>
      <w:r>
        <w:rPr>
          <w:b w:val="0"/>
          <w:i w:val="0"/>
        </w:rPr>
        <w:t xml:space="preserve"> and </w:t>
      </w:r>
      <w:r>
        <w:rPr>
          <w:rFonts w:ascii="DejaVu Sans Mono" w:hAnsi="DejaVu Sans Mono"/>
          <w:b w:val="0"/>
          <w:i w:val="0"/>
          <w:sz w:val="17"/>
        </w:rPr>
        <w:t>storage-discharge:&lt;asset_​id&gt;</w:t>
      </w:r>
      <w:r>
        <w:rPr>
          <w:b w:val="0"/>
          <w:i w:val="0"/>
        </w:rPr>
        <w:t xml:space="preserve"> are grid-side storage MWh; </w:t>
      </w:r>
      <w:r>
        <w:rPr>
          <w:rFonts w:ascii="DejaVu Sans Mono" w:hAnsi="DejaVu Sans Mono"/>
          <w:b w:val="0"/>
          <w:i w:val="0"/>
          <w:sz w:val="17"/>
        </w:rPr>
        <w:t>absolute-flow:&lt;corridor_​id&gt;</w:t>
      </w:r>
      <w:r>
        <w:rPr>
          <w:b w:val="0"/>
          <w:i w:val="0"/>
        </w:rPr>
        <w:t xml:space="preserve"> bounds the absolute corridor flow. In the equations, array subscripts carry these existing identifiers.</w:t>
      </w:r>
    </w:p>
    <w:p>
      <w:pPr>
        <w:keepNext/>
      </w:pPr>
      <w:r>
        <w:rPr>
          <w:b w:val="0"/>
          <w:i w:val="0"/>
        </w:rPr>
        <w:t xml:space="preserve">The primary objective uses the sign of each bid direction. An upward bid contributes its </w:t>
      </w:r>
      <w:r>
        <w:rPr>
          <w:rFonts w:ascii="DejaVu Sans Mono" w:hAnsi="DejaVu Sans Mono"/>
          <w:b w:val="0"/>
          <w:i w:val="0"/>
          <w:sz w:val="17"/>
        </w:rPr>
        <w:t>price_gbp_per_mwh</w:t>
      </w:r>
      <w:r>
        <w:rPr>
          <w:b w:val="0"/>
          <w:i w:val="0"/>
        </w:rPr>
        <w:t xml:space="preserve"> times accepted MWh; a downward bid contributes the negative of that payment. Shortage is valued at </w:t>
      </w:r>
      <w:r>
        <w:rPr>
          <w:rFonts w:ascii="DejaVu Sans Mono" w:hAnsi="DejaVu Sans Mono"/>
          <w:b w:val="0"/>
          <w:i w:val="0"/>
          <w:sz w:val="17"/>
        </w:rPr>
        <w:t>voll_gbp_per_mwh</w:t>
      </w:r>
      <w:r>
        <w:rPr>
          <w:b w:val="0"/>
          <w:i w:val="0"/>
        </w:rPr>
        <w:t>, default 17,000 GBP/MWh:</w:t>
      </w:r>
    </w:p>
    <w:p>
      <w:pPr>
        <w:spacing w:after="160"/>
        <w:jc w:val="center"/>
      </w:pPr>
      <w:r>
        <w:drawing>
          <wp:inline xmlns:a="http://schemas.openxmlformats.org/drawingml/2006/main" xmlns:pic="http://schemas.openxmlformats.org/drawingml/2006/picture">
            <wp:extent cx="5911519" cy="1243568"/>
            <wp:docPr id="133" name="Picture 133"/>
            <wp:cNvGraphicFramePr>
              <a:graphicFrameLocks noChangeAspect="1"/>
            </wp:cNvGraphicFramePr>
            <a:graphic>
              <a:graphicData uri="http://schemas.openxmlformats.org/drawingml/2006/picture">
                <pic:pic>
                  <pic:nvPicPr>
                    <pic:cNvPr id="0" name="eq-133.png"/>
                    <pic:cNvPicPr/>
                  </pic:nvPicPr>
                  <pic:blipFill>
                    <a:blip r:embed="rId135"/>
                    <a:stretch>
                      <a:fillRect/>
                    </a:stretch>
                  </pic:blipFill>
                  <pic:spPr>
                    <a:xfrm>
                      <a:off x="0" y="0"/>
                      <a:ext cx="5911519" cy="1243568"/>
                    </a:xfrm>
                    <a:prstGeom prst="rect"/>
                  </pic:spPr>
                </pic:pic>
              </a:graphicData>
            </a:graphic>
          </wp:inline>
        </w:drawing>
      </w:r>
    </w:p>
    <w:p>
      <w:r>
        <w:rPr>
          <w:b w:val="0"/>
          <w:i w:val="0"/>
        </w:rPr>
        <w:t xml:space="preserve">The second objective sums accepted bid MWh and shortage MWh. The third assigns weight 1 to storage charge, storage discharge and absolute corridor flow, plus the class weight of each non-storage downward bid. </w:t>
      </w:r>
      <w:r>
        <w:rPr>
          <w:rFonts w:ascii="DejaVu Sans Mono" w:hAnsi="DejaVu Sans Mono"/>
          <w:b w:val="0"/>
          <w:i w:val="0"/>
          <w:sz w:val="17"/>
        </w:rPr>
        <w:t>physical_dec_weight</w:t>
      </w:r>
      <w:r>
        <w:rPr>
          <w:b w:val="0"/>
          <w:i w:val="0"/>
        </w:rPr>
        <w:t xml:space="preserve"> supplies the weights below; </w:t>
      </w:r>
      <w:r>
        <w:rPr>
          <w:rFonts w:ascii="DejaVu Sans Mono" w:hAnsi="DejaVu Sans Mono"/>
          <w:b w:val="0"/>
          <w:i w:val="0"/>
          <w:sz w:val="17"/>
        </w:rPr>
        <w:t>bid_dec_rank</w:t>
      </w:r>
      <w:r>
        <w:rPr>
          <w:b w:val="0"/>
          <w:i w:val="0"/>
        </w:rPr>
        <w:t xml:space="preserve"> selects the class: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45"/>
        <w:gridCol w:w="2547"/>
      </w:tblGrid>
      <w:tr>
        <w:trPr>
          <w:cantSplit/>
          <w:tblHeader w:val="true"/>
        </w:trPr>
        <w:tc>
          <w:tcPr>
            <w:tcW w:type="dxa" w:w="7245"/>
            <w:vAlign w:val="center"/>
            <w:tcMar>
              <w:top w:w="90" w:type="dxa"/>
              <w:left w:w="90" w:type="dxa"/>
              <w:bottom w:w="90" w:type="dxa"/>
              <w:right w:w="90" w:type="dxa"/>
            </w:tcMar>
            <w:shd w:fill="EEEEEE"/>
          </w:tcPr>
          <w:p>
            <w:pPr>
              <w:spacing w:after="40" w:line="276" w:lineRule="auto"/>
            </w:pPr>
            <w:r>
              <w:rPr>
                <w:b/>
                <w:i w:val="0"/>
                <w:sz w:val="18"/>
              </w:rPr>
              <w:t>Downward class</w:t>
            </w:r>
          </w:p>
        </w:tc>
        <w:tc>
          <w:tcPr>
            <w:tcW w:type="dxa" w:w="2547"/>
            <w:vAlign w:val="center"/>
            <w:tcMar>
              <w:top w:w="90" w:type="dxa"/>
              <w:left w:w="90" w:type="dxa"/>
              <w:bottom w:w="90" w:type="dxa"/>
              <w:right w:w="90" w:type="dxa"/>
            </w:tcMar>
            <w:shd w:fill="EEEEEE"/>
          </w:tcPr>
          <w:p>
            <w:pPr>
              <w:spacing w:after="40" w:line="276" w:lineRule="auto"/>
            </w:pPr>
            <w:r>
              <w:rPr>
                <w:b/>
                <w:i w:val="0"/>
                <w:sz w:val="18"/>
              </w:rPr>
              <w:t>Weight</w:t>
            </w:r>
          </w:p>
        </w:tc>
      </w:tr>
      <w:tr>
        <w:trPr>
          <w:cantSplit/>
        </w:trPr>
        <w:tc>
          <w:tcPr>
            <w:tcW w:type="dxa" w:w="7245"/>
            <w:vAlign w:val="center"/>
            <w:tcMar>
              <w:top w:w="90" w:type="dxa"/>
              <w:left w:w="90" w:type="dxa"/>
              <w:bottom w:w="90" w:type="dxa"/>
              <w:right w:w="90" w:type="dxa"/>
            </w:tcMar>
          </w:tcPr>
          <w:p>
            <w:pPr>
              <w:spacing w:after="40" w:line="276" w:lineRule="auto"/>
            </w:pPr>
            <w:r>
              <w:rPr>
                <w:b w:val="0"/>
                <w:i w:val="0"/>
                <w:sz w:val="18"/>
              </w:rPr>
              <w:t>Fuel plant running range</w:t>
            </w:r>
          </w:p>
        </w:tc>
        <w:tc>
          <w:tcPr>
            <w:tcW w:type="dxa" w:w="2547"/>
            <w:vAlign w:val="center"/>
            <w:tcMar>
              <w:top w:w="90" w:type="dxa"/>
              <w:left w:w="90" w:type="dxa"/>
              <w:bottom w:w="90" w:type="dxa"/>
              <w:right w:w="90" w:type="dxa"/>
            </w:tcMar>
          </w:tcPr>
          <w:p>
            <w:pPr>
              <w:spacing w:after="40" w:line="276" w:lineRule="auto"/>
            </w:pPr>
            <w:r>
              <w:rPr>
                <w:b w:val="0"/>
                <w:i w:val="0"/>
                <w:sz w:val="18"/>
              </w:rPr>
              <w:t>0</w:t>
            </w:r>
          </w:p>
        </w:tc>
      </w:tr>
      <w:tr>
        <w:trPr>
          <w:cantSplit/>
        </w:trPr>
        <w:tc>
          <w:tcPr>
            <w:tcW w:type="dxa" w:w="7245"/>
            <w:vAlign w:val="center"/>
            <w:tcMar>
              <w:top w:w="90" w:type="dxa"/>
              <w:left w:w="90" w:type="dxa"/>
              <w:bottom w:w="90" w:type="dxa"/>
              <w:right w:w="90" w:type="dxa"/>
            </w:tcMar>
          </w:tcPr>
          <w:p>
            <w:pPr>
              <w:spacing w:after="40" w:line="276" w:lineRule="auto"/>
            </w:pPr>
            <w:r>
              <w:rPr>
                <w:b w:val="0"/>
                <w:i w:val="0"/>
                <w:sz w:val="18"/>
              </w:rPr>
              <w:t>Import</w:t>
            </w:r>
          </w:p>
        </w:tc>
        <w:tc>
          <w:tcPr>
            <w:tcW w:type="dxa" w:w="2547"/>
            <w:vAlign w:val="center"/>
            <w:tcMar>
              <w:top w:w="90" w:type="dxa"/>
              <w:left w:w="90" w:type="dxa"/>
              <w:bottom w:w="90" w:type="dxa"/>
              <w:right w:w="90" w:type="dxa"/>
            </w:tcMar>
          </w:tcPr>
          <w:p>
            <w:pPr>
              <w:spacing w:after="40" w:line="276" w:lineRule="auto"/>
            </w:pPr>
            <w:r>
              <w:rPr>
                <w:b w:val="0"/>
                <w:i w:val="0"/>
                <w:sz w:val="18"/>
              </w:rPr>
              <w:t>0.5</w:t>
            </w:r>
          </w:p>
        </w:tc>
      </w:tr>
      <w:tr>
        <w:trPr>
          <w:cantSplit/>
        </w:trPr>
        <w:tc>
          <w:tcPr>
            <w:tcW w:type="dxa" w:w="7245"/>
            <w:vAlign w:val="center"/>
            <w:tcMar>
              <w:top w:w="90" w:type="dxa"/>
              <w:left w:w="90" w:type="dxa"/>
              <w:bottom w:w="90" w:type="dxa"/>
              <w:right w:w="90" w:type="dxa"/>
            </w:tcMar>
          </w:tcPr>
          <w:p>
            <w:pPr>
              <w:spacing w:after="40" w:line="276" w:lineRule="auto"/>
            </w:pPr>
            <w:r>
              <w:rPr>
                <w:b w:val="0"/>
                <w:i w:val="0"/>
                <w:sz w:val="18"/>
              </w:rPr>
              <w:t>Run-of-river hydro</w:t>
            </w:r>
          </w:p>
        </w:tc>
        <w:tc>
          <w:tcPr>
            <w:tcW w:type="dxa" w:w="2547"/>
            <w:vAlign w:val="center"/>
            <w:tcMar>
              <w:top w:w="90" w:type="dxa"/>
              <w:left w:w="90" w:type="dxa"/>
              <w:bottom w:w="90" w:type="dxa"/>
              <w:right w:w="90" w:type="dxa"/>
            </w:tcMar>
          </w:tcPr>
          <w:p>
            <w:pPr>
              <w:spacing w:after="40" w:line="276" w:lineRule="auto"/>
            </w:pPr>
            <w:r>
              <w:rPr>
                <w:b w:val="0"/>
                <w:i w:val="0"/>
                <w:sz w:val="18"/>
              </w:rPr>
              <w:t>2</w:t>
            </w:r>
          </w:p>
        </w:tc>
      </w:tr>
      <w:tr>
        <w:trPr>
          <w:cantSplit/>
        </w:trPr>
        <w:tc>
          <w:tcPr>
            <w:tcW w:type="dxa" w:w="7245"/>
            <w:vAlign w:val="center"/>
            <w:tcMar>
              <w:top w:w="90" w:type="dxa"/>
              <w:left w:w="90" w:type="dxa"/>
              <w:bottom w:w="90" w:type="dxa"/>
              <w:right w:w="90" w:type="dxa"/>
            </w:tcMar>
          </w:tcPr>
          <w:p>
            <w:pPr>
              <w:spacing w:after="40" w:line="276" w:lineRule="auto"/>
            </w:pPr>
            <w:r>
              <w:rPr>
                <w:b w:val="0"/>
                <w:i w:val="0"/>
                <w:sz w:val="18"/>
              </w:rPr>
              <w:t>Wind and solar</w:t>
            </w:r>
          </w:p>
        </w:tc>
        <w:tc>
          <w:tcPr>
            <w:tcW w:type="dxa" w:w="2547"/>
            <w:vAlign w:val="center"/>
            <w:tcMar>
              <w:top w:w="90" w:type="dxa"/>
              <w:left w:w="90" w:type="dxa"/>
              <w:bottom w:w="90" w:type="dxa"/>
              <w:right w:w="90" w:type="dxa"/>
            </w:tcMar>
          </w:tcPr>
          <w:p>
            <w:pPr>
              <w:spacing w:after="40" w:line="276" w:lineRule="auto"/>
            </w:pPr>
            <w:r>
              <w:rPr>
                <w:b w:val="0"/>
                <w:i w:val="0"/>
                <w:sz w:val="18"/>
              </w:rPr>
              <w:t>3</w:t>
            </w:r>
          </w:p>
        </w:tc>
      </w:tr>
      <w:tr>
        <w:trPr>
          <w:cantSplit/>
        </w:trPr>
        <w:tc>
          <w:tcPr>
            <w:tcW w:type="dxa" w:w="7245"/>
            <w:vAlign w:val="center"/>
            <w:tcMar>
              <w:top w:w="90" w:type="dxa"/>
              <w:left w:w="90" w:type="dxa"/>
              <w:bottom w:w="90" w:type="dxa"/>
              <w:right w:w="90" w:type="dxa"/>
            </w:tcMar>
          </w:tcPr>
          <w:p>
            <w:pPr>
              <w:spacing w:after="40" w:line="276" w:lineRule="auto"/>
            </w:pPr>
            <w:r>
              <w:rPr>
                <w:b w:val="0"/>
                <w:i w:val="0"/>
                <w:sz w:val="18"/>
              </w:rPr>
              <w:t>Fuel shutdown</w:t>
            </w:r>
          </w:p>
        </w:tc>
        <w:tc>
          <w:tcPr>
            <w:tcW w:type="dxa" w:w="2547"/>
            <w:vAlign w:val="center"/>
            <w:tcMar>
              <w:top w:w="90" w:type="dxa"/>
              <w:left w:w="90" w:type="dxa"/>
              <w:bottom w:w="90" w:type="dxa"/>
              <w:right w:w="90" w:type="dxa"/>
            </w:tcMar>
          </w:tcPr>
          <w:p>
            <w:pPr>
              <w:spacing w:after="40" w:line="276" w:lineRule="auto"/>
            </w:pPr>
            <w:r>
              <w:rPr>
                <w:b w:val="0"/>
                <w:i w:val="0"/>
                <w:sz w:val="18"/>
              </w:rPr>
              <w:t>3.5</w:t>
            </w:r>
          </w:p>
        </w:tc>
      </w:tr>
      <w:tr>
        <w:trPr>
          <w:cantSplit/>
        </w:trPr>
        <w:tc>
          <w:tcPr>
            <w:tcW w:type="dxa" w:w="7245"/>
            <w:vAlign w:val="center"/>
            <w:tcMar>
              <w:top w:w="90" w:type="dxa"/>
              <w:left w:w="90" w:type="dxa"/>
              <w:bottom w:w="90" w:type="dxa"/>
              <w:right w:w="90" w:type="dxa"/>
            </w:tcMar>
          </w:tcPr>
          <w:p>
            <w:pPr>
              <w:spacing w:after="40" w:line="276" w:lineRule="auto"/>
            </w:pPr>
            <w:r>
              <w:rPr>
                <w:b w:val="0"/>
                <w:i w:val="0"/>
                <w:sz w:val="18"/>
              </w:rPr>
              <w:t>Nuclear</w:t>
            </w:r>
          </w:p>
        </w:tc>
        <w:tc>
          <w:tcPr>
            <w:tcW w:type="dxa" w:w="2547"/>
            <w:vAlign w:val="center"/>
            <w:tcMar>
              <w:top w:w="90" w:type="dxa"/>
              <w:left w:w="90" w:type="dxa"/>
              <w:bottom w:w="90" w:type="dxa"/>
              <w:right w:w="90" w:type="dxa"/>
            </w:tcMar>
          </w:tcPr>
          <w:p>
            <w:pPr>
              <w:spacing w:after="40" w:line="276" w:lineRule="auto"/>
            </w:pPr>
            <w:r>
              <w:rPr>
                <w:b w:val="0"/>
                <w:i w:val="0"/>
                <w:sz w:val="18"/>
              </w:rPr>
              <w:t>4</w:t>
            </w:r>
          </w:p>
        </w:tc>
      </w:tr>
      <w:tr>
        <w:trPr>
          <w:cantSplit/>
        </w:trPr>
        <w:tc>
          <w:tcPr>
            <w:tcW w:type="dxa" w:w="7245"/>
            <w:vAlign w:val="center"/>
            <w:tcMar>
              <w:top w:w="90" w:type="dxa"/>
              <w:left w:w="90" w:type="dxa"/>
              <w:bottom w:w="90" w:type="dxa"/>
              <w:right w:w="90" w:type="dxa"/>
            </w:tcMar>
          </w:tcPr>
          <w:p>
            <w:pPr>
              <w:spacing w:after="40" w:line="276" w:lineRule="auto"/>
            </w:pPr>
            <w:r>
              <w:rPr>
                <w:b w:val="0"/>
                <w:i w:val="0"/>
                <w:sz w:val="18"/>
              </w:rPr>
              <w:t>Fuel shutdown before its minimum downtime</w:t>
            </w:r>
          </w:p>
        </w:tc>
        <w:tc>
          <w:tcPr>
            <w:tcW w:type="dxa" w:w="2547"/>
            <w:vAlign w:val="center"/>
            <w:tcMar>
              <w:top w:w="90" w:type="dxa"/>
              <w:left w:w="90" w:type="dxa"/>
              <w:bottom w:w="90" w:type="dxa"/>
              <w:right w:w="90" w:type="dxa"/>
            </w:tcMar>
          </w:tcPr>
          <w:p>
            <w:pPr>
              <w:spacing w:after="40" w:line="276" w:lineRule="auto"/>
            </w:pPr>
            <w:r>
              <w:rPr>
                <w:b w:val="0"/>
                <w:i w:val="0"/>
                <w:sz w:val="18"/>
              </w:rPr>
              <w:t>5</w:t>
            </w:r>
          </w:p>
        </w:tc>
      </w:tr>
    </w:tbl>
    <w:p>
      <w:pPr>
        <w:spacing w:after="20"/>
      </w:pPr>
    </w:p>
    <w:p>
      <w:r>
        <w:rPr>
          <w:b w:val="0"/>
          <w:i w:val="0"/>
        </w:rPr>
        <w:t>Within a zone and at an exact primary-price tie, storage charging precedes run-of-river, wind, solar and nuclear reductions; fuel shutdown follows wind and solar and precedes nuclear. Across zones, class weights also trade against corridor-flow MWh. The primary LP uses exact prices, while copperplate balancing groups downward prices in 0.01 GBP/MWh bands. The fourth objective weights successive variables by 1, 2, … in the fixed order of bid, corridor, zone and storage identifiers.</w:t>
      </w:r>
    </w:p>
    <w:p>
      <w:pPr>
        <w:keepNext/>
      </w:pPr>
      <w:r>
        <w:rPr>
          <w:b w:val="0"/>
          <w:i w:val="0"/>
        </w:rPr>
        <w:t xml:space="preserve">Final asset injection adds signed accepted bids to the ahead schedule. </w:t>
      </w:r>
      <w:r>
        <w:rPr>
          <w:rFonts w:ascii="DejaVu Sans Mono" w:hAnsi="DejaVu Sans Mono"/>
          <w:b w:val="0"/>
          <w:i w:val="0"/>
          <w:sz w:val="17"/>
        </w:rPr>
        <w:t>final_​dispatch_​mwh_​by_​asset</w:t>
      </w:r>
      <w:r>
        <w:rPr>
          <w:b w:val="0"/>
          <w:i w:val="0"/>
        </w:rPr>
        <w:t xml:space="preserve"> and </w:t>
      </w:r>
      <w:r>
        <w:rPr>
          <w:rFonts w:ascii="DejaVu Sans Mono" w:hAnsi="DejaVu Sans Mono"/>
          <w:b w:val="0"/>
          <w:i w:val="0"/>
          <w:sz w:val="17"/>
        </w:rPr>
        <w:t>schedule_mwh_by_asset</w:t>
      </w:r>
      <w:r>
        <w:rPr>
          <w:b w:val="0"/>
          <w:i w:val="0"/>
        </w:rPr>
        <w:t xml:space="preserve"> are MWh. The index </w:t>
      </w:r>
      <w:r>
        <w:drawing>
          <wp:inline xmlns:a="http://schemas.openxmlformats.org/drawingml/2006/main" xmlns:pic="http://schemas.openxmlformats.org/drawingml/2006/picture">
            <wp:extent cx="86096" cy="117002"/>
            <wp:docPr id="134" name="Picture 134"/>
            <wp:cNvGraphicFramePr>
              <a:graphicFrameLocks noChangeAspect="1"/>
            </wp:cNvGraphicFramePr>
            <a:graphic>
              <a:graphicData uri="http://schemas.openxmlformats.org/drawingml/2006/picture">
                <pic:pic>
                  <pic:nvPicPr>
                    <pic:cNvPr id="0" name="eq-134.png"/>
                    <pic:cNvPicPr/>
                  </pic:nvPicPr>
                  <pic:blipFill>
                    <a:blip r:embed="rId136"/>
                    <a:stretch>
                      <a:fillRect/>
                    </a:stretch>
                  </pic:blipFill>
                  <pic:spPr>
                    <a:xfrm>
                      <a:off x="0" y="0"/>
                      <a:ext cx="86096" cy="117002"/>
                    </a:xfrm>
                    <a:prstGeom prst="rect"/>
                  </pic:spPr>
                </pic:pic>
              </a:graphicData>
            </a:graphic>
          </wp:inline>
        </w:drawing>
      </w:r>
      <w:r>
        <w:rPr>
          <w:b w:val="0"/>
          <w:i w:val="0"/>
        </w:rPr>
        <w:t xml:space="preserve"> identifies a bid; its </w:t>
      </w:r>
      <w:r>
        <w:rPr>
          <w:rFonts w:ascii="DejaVu Sans Mono" w:hAnsi="DejaVu Sans Mono"/>
          <w:b w:val="0"/>
          <w:i w:val="0"/>
          <w:sz w:val="17"/>
        </w:rPr>
        <w:t>asset_id</w:t>
      </w:r>
      <w:r>
        <w:rPr>
          <w:b w:val="0"/>
          <w:i w:val="0"/>
        </w:rPr>
        <w:t xml:space="preserve"> selects asset </w:t>
      </w:r>
      <w:r>
        <w:drawing>
          <wp:inline xmlns:a="http://schemas.openxmlformats.org/drawingml/2006/main" xmlns:pic="http://schemas.openxmlformats.org/drawingml/2006/picture">
            <wp:extent cx="87410" cy="74298"/>
            <wp:docPr id="135" name="Picture 135"/>
            <wp:cNvGraphicFramePr>
              <a:graphicFrameLocks noChangeAspect="1"/>
            </wp:cNvGraphicFramePr>
            <a:graphic>
              <a:graphicData uri="http://schemas.openxmlformats.org/drawingml/2006/picture">
                <pic:pic>
                  <pic:nvPicPr>
                    <pic:cNvPr id="0" name="eq-135.png"/>
                    <pic:cNvPicPr/>
                  </pic:nvPicPr>
                  <pic:blipFill>
                    <a:blip r:embed="rId137"/>
                    <a:stretch>
                      <a:fillRect/>
                    </a:stretch>
                  </pic:blipFill>
                  <pic:spPr>
                    <a:xfrm>
                      <a:off x="0" y="0"/>
                      <a:ext cx="87410" cy="74298"/>
                    </a:xfrm>
                    <a:prstGeom prst="rect"/>
                  </pic:spPr>
                </pic:pic>
              </a:graphicData>
            </a:graphic>
          </wp:inline>
        </w:drawing>
      </w:r>
      <w:r>
        <w:rPr>
          <w:b w:val="0"/>
          <w:i w:val="0"/>
        </w:rPr>
        <w:t xml:space="preserve">, and </w:t>
      </w:r>
      <w:r>
        <w:rPr>
          <w:rFonts w:ascii="DejaVu Sans Mono" w:hAnsi="DejaVu Sans Mono"/>
          <w:b w:val="0"/>
          <w:i w:val="0"/>
          <w:sz w:val="17"/>
        </w:rPr>
        <w:t>asset_zone_id_by_asset</w:t>
      </w:r>
      <w:r>
        <w:rPr>
          <w:b w:val="0"/>
          <w:i w:val="0"/>
        </w:rPr>
        <w:t xml:space="preserve"> selects the zone </w:t>
      </w:r>
      <w:r>
        <w:drawing>
          <wp:inline xmlns:a="http://schemas.openxmlformats.org/drawingml/2006/main" xmlns:pic="http://schemas.openxmlformats.org/drawingml/2006/picture">
            <wp:extent cx="76822" cy="74627"/>
            <wp:docPr id="136" name="Picture 136"/>
            <wp:cNvGraphicFramePr>
              <a:graphicFrameLocks noChangeAspect="1"/>
            </wp:cNvGraphicFramePr>
            <a:graphic>
              <a:graphicData uri="http://schemas.openxmlformats.org/drawingml/2006/picture">
                <pic:pic>
                  <pic:nvPicPr>
                    <pic:cNvPr id="0" name="eq-136.png"/>
                    <pic:cNvPicPr/>
                  </pic:nvPicPr>
                  <pic:blipFill>
                    <a:blip r:embed="rId138"/>
                    <a:stretch>
                      <a:fillRect/>
                    </a:stretch>
                  </pic:blipFill>
                  <pic:spPr>
                    <a:xfrm>
                      <a:off x="0" y="0"/>
                      <a:ext cx="76822" cy="74627"/>
                    </a:xfrm>
                    <a:prstGeom prst="rect"/>
                  </pic:spPr>
                </pic:pic>
              </a:graphicData>
            </a:graphic>
          </wp:inline>
        </w:drawing>
      </w:r>
      <w:r>
        <w:rPr>
          <w:b w:val="0"/>
          <w:i w:val="0"/>
        </w:rPr>
        <w:t>:</w:t>
      </w:r>
    </w:p>
    <w:p>
      <w:pPr>
        <w:spacing w:after="160"/>
        <w:jc w:val="center"/>
      </w:pPr>
      <w:r>
        <w:drawing>
          <wp:inline xmlns:a="http://schemas.openxmlformats.org/drawingml/2006/main" xmlns:pic="http://schemas.openxmlformats.org/drawingml/2006/picture">
            <wp:extent cx="5212308" cy="1067609"/>
            <wp:docPr id="137" name="Picture 137"/>
            <wp:cNvGraphicFramePr>
              <a:graphicFrameLocks noChangeAspect="1"/>
            </wp:cNvGraphicFramePr>
            <a:graphic>
              <a:graphicData uri="http://schemas.openxmlformats.org/drawingml/2006/picture">
                <pic:pic>
                  <pic:nvPicPr>
                    <pic:cNvPr id="0" name="eq-137.png"/>
                    <pic:cNvPicPr/>
                  </pic:nvPicPr>
                  <pic:blipFill>
                    <a:blip r:embed="rId139"/>
                    <a:stretch>
                      <a:fillRect/>
                    </a:stretch>
                  </pic:blipFill>
                  <pic:spPr>
                    <a:xfrm>
                      <a:off x="0" y="0"/>
                      <a:ext cx="5212308" cy="1067609"/>
                    </a:xfrm>
                    <a:prstGeom prst="rect"/>
                  </pic:spPr>
                </pic:pic>
              </a:graphicData>
            </a:graphic>
          </wp:inline>
        </w:drawing>
      </w:r>
    </w:p>
    <w:p>
      <w:pPr>
        <w:keepNext/>
      </w:pPr>
      <w:r>
        <w:rPr>
          <w:b w:val="0"/>
          <w:i w:val="0"/>
        </w:rPr>
        <w:t xml:space="preserve">Zonal conservation equates final supply and incoming transfer to demand and outgoing transfer. Corridor direction follows its declared </w:t>
      </w:r>
      <w:r>
        <w:rPr>
          <w:rFonts w:ascii="DejaVu Sans Mono" w:hAnsi="DejaVu Sans Mono"/>
          <w:b w:val="0"/>
          <w:i w:val="0"/>
          <w:sz w:val="17"/>
        </w:rPr>
        <w:t>from_zone_id</w:t>
      </w:r>
      <w:r>
        <w:rPr>
          <w:b w:val="0"/>
          <w:i w:val="0"/>
        </w:rPr>
        <w:t xml:space="preserve"> and </w:t>
      </w:r>
      <w:r>
        <w:rPr>
          <w:rFonts w:ascii="DejaVu Sans Mono" w:hAnsi="DejaVu Sans Mono"/>
          <w:b w:val="0"/>
          <w:i w:val="0"/>
          <w:sz w:val="17"/>
        </w:rPr>
        <w:t>to_zone_id</w:t>
      </w:r>
      <w:r>
        <w:rPr>
          <w:b w:val="0"/>
          <w:i w:val="0"/>
        </w:rPr>
        <w:t>:</w:t>
      </w:r>
    </w:p>
    <w:p>
      <w:pPr>
        <w:spacing w:after="160"/>
        <w:jc w:val="center"/>
      </w:pPr>
      <w:r>
        <w:drawing>
          <wp:inline xmlns:a="http://schemas.openxmlformats.org/drawingml/2006/main" xmlns:pic="http://schemas.openxmlformats.org/drawingml/2006/picture">
            <wp:extent cx="5951601" cy="836515"/>
            <wp:docPr id="138" name="Picture 138"/>
            <wp:cNvGraphicFramePr>
              <a:graphicFrameLocks noChangeAspect="1"/>
            </wp:cNvGraphicFramePr>
            <a:graphic>
              <a:graphicData uri="http://schemas.openxmlformats.org/drawingml/2006/picture">
                <pic:pic>
                  <pic:nvPicPr>
                    <pic:cNvPr id="0" name="eq-138.png"/>
                    <pic:cNvPicPr/>
                  </pic:nvPicPr>
                  <pic:blipFill>
                    <a:blip r:embed="rId140"/>
                    <a:stretch>
                      <a:fillRect/>
                    </a:stretch>
                  </pic:blipFill>
                  <pic:spPr>
                    <a:xfrm>
                      <a:off x="0" y="0"/>
                      <a:ext cx="5951601" cy="836515"/>
                    </a:xfrm>
                    <a:prstGeom prst="rect"/>
                  </pic:spPr>
                </pic:pic>
              </a:graphicData>
            </a:graphic>
          </wp:inline>
        </w:drawing>
      </w:r>
    </w:p>
    <w:p>
      <w:r>
        <w:rPr>
          <w:b w:val="0"/>
          <w:i w:val="0"/>
        </w:rPr>
        <w:t xml:space="preserve">Bid capacity bounds accepted MWh between zero and </w:t>
      </w:r>
      <w:r>
        <w:rPr>
          <w:rFonts w:ascii="DejaVu Sans Mono" w:hAnsi="DejaVu Sans Mono"/>
          <w:b w:val="0"/>
          <w:i w:val="0"/>
          <w:sz w:val="17"/>
        </w:rPr>
        <w:t>bid_capacity</w:t>
      </w:r>
      <w:r>
        <w:rPr>
          <w:b w:val="0"/>
          <w:i w:val="0"/>
        </w:rPr>
        <w:t xml:space="preserve">; MW bids are multiplied by </w:t>
      </w:r>
      <w:r>
        <w:rPr>
          <w:rFonts w:ascii="DejaVu Sans Mono" w:hAnsi="DejaVu Sans Mono"/>
          <w:b w:val="0"/>
          <w:i w:val="0"/>
          <w:sz w:val="17"/>
        </w:rPr>
        <w:t>period_hours = 0.5</w:t>
      </w:r>
      <w:r>
        <w:rPr>
          <w:b w:val="0"/>
          <w:i w:val="0"/>
        </w:rPr>
        <w:t xml:space="preserve">. Shortage lies between zero and zonal demand. Generator injection lies between zero and </w:t>
      </w:r>
      <w:r>
        <w:rPr>
          <w:rFonts w:ascii="DejaVu Sans Mono" w:hAnsi="DejaVu Sans Mono"/>
          <w:b w:val="0"/>
          <w:i w:val="0"/>
          <w:sz w:val="17"/>
        </w:rPr>
        <w:t>realised_​availability_​mw_​by_​asset</w:t>
      </w:r>
      <w:r>
        <w:rPr>
          <w:b w:val="0"/>
          <w:i w:val="0"/>
        </w:rPr>
        <w:t xml:space="preserve"> times period hours. Interconnector injection lies between negative </w:t>
      </w:r>
      <w:r>
        <w:rPr>
          <w:rFonts w:ascii="DejaVu Sans Mono" w:hAnsi="DejaVu Sans Mono"/>
          <w:b w:val="0"/>
          <w:i w:val="0"/>
          <w:sz w:val="17"/>
        </w:rPr>
        <w:t>export_capacity_mwh</w:t>
      </w:r>
      <w:r>
        <w:rPr>
          <w:b w:val="0"/>
          <w:i w:val="0"/>
        </w:rPr>
        <w:t xml:space="preserve"> and positive </w:t>
      </w:r>
      <w:r>
        <w:rPr>
          <w:rFonts w:ascii="DejaVu Sans Mono" w:hAnsi="DejaVu Sans Mono"/>
          <w:b w:val="0"/>
          <w:i w:val="0"/>
          <w:sz w:val="17"/>
        </w:rPr>
        <w:t>import_capacity_mwh</w:t>
      </w:r>
      <w:r>
        <w:rPr>
          <w:b w:val="0"/>
          <w:i w:val="0"/>
        </w:rPr>
        <w:t>.</w:t>
      </w:r>
    </w:p>
    <w:p>
      <w:pPr>
        <w:keepNext/>
      </w:pPr>
      <w:r>
        <w:rPr>
          <w:b w:val="0"/>
          <w:i w:val="0"/>
        </w:rPr>
        <w:t xml:space="preserve">Equal-price non-storage bids share free acceptance proportionally. Upward groups share zone, direction, network effect and price; downward groups also share downward class. </w:t>
      </w:r>
      <w:r>
        <w:rPr>
          <w:rFonts w:ascii="DejaVu Sans Mono" w:hAnsi="DejaVu Sans Mono"/>
          <w:b w:val="0"/>
          <w:i w:val="0"/>
          <w:sz w:val="17"/>
        </w:rPr>
        <w:t>_forced_down_by_bid</w:t>
      </w:r>
      <w:r>
        <w:rPr>
          <w:b w:val="0"/>
          <w:i w:val="0"/>
        </w:rPr>
        <w:t xml:space="preserve"> first sets aside the reduction required by actual availability or the interconnector envelope. For a bid and the first bid in its group, the implementation uses</w:t>
      </w:r>
    </w:p>
    <w:p>
      <w:pPr>
        <w:spacing w:after="160"/>
        <w:jc w:val="center"/>
      </w:pPr>
      <w:r>
        <w:drawing>
          <wp:inline xmlns:a="http://schemas.openxmlformats.org/drawingml/2006/main" xmlns:pic="http://schemas.openxmlformats.org/drawingml/2006/picture">
            <wp:extent cx="4999863" cy="642415"/>
            <wp:docPr id="139" name="Picture 139"/>
            <wp:cNvGraphicFramePr>
              <a:graphicFrameLocks noChangeAspect="1"/>
            </wp:cNvGraphicFramePr>
            <a:graphic>
              <a:graphicData uri="http://schemas.openxmlformats.org/drawingml/2006/picture">
                <pic:pic>
                  <pic:nvPicPr>
                    <pic:cNvPr id="0" name="eq-139.png"/>
                    <pic:cNvPicPr/>
                  </pic:nvPicPr>
                  <pic:blipFill>
                    <a:blip r:embed="rId141"/>
                    <a:stretch>
                      <a:fillRect/>
                    </a:stretch>
                  </pic:blipFill>
                  <pic:spPr>
                    <a:xfrm>
                      <a:off x="0" y="0"/>
                      <a:ext cx="4999863" cy="642415"/>
                    </a:xfrm>
                    <a:prstGeom prst="rect"/>
                  </pic:spPr>
                </pic:pic>
              </a:graphicData>
            </a:graphic>
          </wp:inline>
        </w:drawing>
      </w:r>
    </w:p>
    <w:p>
      <w:pPr>
        <w:keepNext/>
      </w:pPr>
      <w:r>
        <w:rPr>
          <w:b w:val="0"/>
          <w:i w:val="0"/>
        </w:rPr>
        <w:t xml:space="preserve">Each geographical boundary limits signed flow across its member corridors. </w:t>
      </w:r>
      <w:r>
        <w:rPr>
          <w:rFonts w:ascii="DejaVu Sans Mono" w:hAnsi="DejaVu Sans Mono"/>
          <w:b w:val="0"/>
          <w:i w:val="0"/>
          <w:sz w:val="17"/>
        </w:rPr>
        <w:t>coefficient</w:t>
      </w:r>
      <w:r>
        <w:rPr>
          <w:b w:val="0"/>
          <w:i w:val="0"/>
        </w:rPr>
        <w:t xml:space="preserve"> is the member's direction coefficient; </w:t>
      </w:r>
      <w:r>
        <w:rPr>
          <w:rFonts w:ascii="DejaVu Sans Mono" w:hAnsi="DejaVu Sans Mono"/>
          <w:b w:val="0"/>
          <w:i w:val="0"/>
          <w:sz w:val="17"/>
        </w:rPr>
        <w:t>forward_capacity</w:t>
      </w:r>
      <w:r>
        <w:rPr>
          <w:b w:val="0"/>
          <w:i w:val="0"/>
        </w:rPr>
        <w:t xml:space="preserve"> and </w:t>
      </w:r>
      <w:r>
        <w:rPr>
          <w:rFonts w:ascii="DejaVu Sans Mono" w:hAnsi="DejaVu Sans Mono"/>
          <w:b w:val="0"/>
          <w:i w:val="0"/>
          <w:sz w:val="17"/>
        </w:rPr>
        <w:t>reverse_capacity</w:t>
      </w:r>
      <w:r>
        <w:rPr>
          <w:b w:val="0"/>
          <w:i w:val="0"/>
        </w:rPr>
        <w:t xml:space="preserve"> are period MWh after converting any MW input:</w:t>
      </w:r>
    </w:p>
    <w:p>
      <w:pPr>
        <w:spacing w:after="160"/>
        <w:jc w:val="center"/>
      </w:pPr>
      <w:r>
        <w:drawing>
          <wp:inline xmlns:a="http://schemas.openxmlformats.org/drawingml/2006/main" xmlns:pic="http://schemas.openxmlformats.org/drawingml/2006/picture">
            <wp:extent cx="5372404" cy="377211"/>
            <wp:docPr id="140" name="Picture 140"/>
            <wp:cNvGraphicFramePr>
              <a:graphicFrameLocks noChangeAspect="1"/>
            </wp:cNvGraphicFramePr>
            <a:graphic>
              <a:graphicData uri="http://schemas.openxmlformats.org/drawingml/2006/picture">
                <pic:pic>
                  <pic:nvPicPr>
                    <pic:cNvPr id="0" name="eq-140.png"/>
                    <pic:cNvPicPr/>
                  </pic:nvPicPr>
                  <pic:blipFill>
                    <a:blip r:embed="rId142"/>
                    <a:stretch>
                      <a:fillRect/>
                    </a:stretch>
                  </pic:blipFill>
                  <pic:spPr>
                    <a:xfrm>
                      <a:off x="0" y="0"/>
                      <a:ext cx="5372404" cy="377211"/>
                    </a:xfrm>
                    <a:prstGeom prst="rect"/>
                  </pic:spPr>
                </pic:pic>
              </a:graphicData>
            </a:graphic>
          </wp:inline>
        </w:drawing>
      </w:r>
    </w:p>
    <w:p>
      <w:r>
        <w:rPr>
          <w:b w:val="0"/>
          <w:i w:val="0"/>
        </w:rPr>
        <w:t xml:space="preserve">All boundary constraints apply together. A corridor-specific limit additionally bounds its own flow; </w:t>
      </w:r>
      <w:r>
        <w:rPr>
          <w:rFonts w:ascii="DejaVu Sans Mono" w:hAnsi="DejaVu Sans Mono"/>
          <w:b w:val="0"/>
          <w:i w:val="0"/>
          <w:sz w:val="17"/>
        </w:rPr>
        <w:t>absolute-flow</w:t>
      </w:r>
      <w:r>
        <w:rPr>
          <w:b w:val="0"/>
          <w:i w:val="0"/>
        </w:rPr>
        <w:t xml:space="preserve"> is at least both positive and negative signed flow. Thus 6,700 MW at B6 becomes 3,350 MWh per half-hour, and 2,200 MW on Western Link becomes 1,100 MWh. Corridors without individual limits remain constrained by zonal conservation and their boundary memberships.</w:t>
      </w:r>
    </w:p>
    <w:p>
      <w:pPr>
        <w:keepNext/>
      </w:pPr>
      <w:r>
        <w:rPr>
          <w:b w:val="0"/>
          <w:i w:val="0"/>
        </w:rPr>
        <w:t xml:space="preserve">Storage redispatch determines final internal inventory from realised charge and discharge. </w:t>
      </w:r>
      <w:r>
        <w:rPr>
          <w:rFonts w:ascii="DejaVu Sans Mono" w:hAnsi="DejaVu Sans Mono"/>
          <w:b w:val="0"/>
          <w:i w:val="0"/>
          <w:sz w:val="17"/>
        </w:rPr>
        <w:t>opening</w:t>
      </w:r>
      <w:r>
        <w:rPr>
          <w:b w:val="0"/>
          <w:i w:val="0"/>
        </w:rPr>
        <w:t xml:space="preserve"> is </w:t>
      </w:r>
      <w:r>
        <w:rPr>
          <w:rFonts w:ascii="DejaVu Sans Mono" w:hAnsi="DejaVu Sans Mono"/>
          <w:b w:val="0"/>
          <w:i w:val="0"/>
          <w:sz w:val="17"/>
        </w:rPr>
        <w:t>initial_​soc_​mwh_​by_​asset</w:t>
      </w:r>
      <w:r>
        <w:rPr>
          <w:b w:val="0"/>
          <w:i w:val="0"/>
        </w:rPr>
        <w:t xml:space="preserve">; </w:t>
      </w:r>
      <w:r>
        <w:rPr>
          <w:rFonts w:ascii="DejaVu Sans Mono" w:hAnsi="DejaVu Sans Mono"/>
          <w:b w:val="0"/>
          <w:i w:val="0"/>
          <w:sz w:val="17"/>
        </w:rPr>
        <w:t>capacity</w:t>
      </w:r>
      <w:r>
        <w:rPr>
          <w:b w:val="0"/>
          <w:i w:val="0"/>
        </w:rPr>
        <w:t xml:space="preserve"> is </w:t>
      </w:r>
      <w:r>
        <w:rPr>
          <w:rFonts w:ascii="DejaVu Sans Mono" w:hAnsi="DejaVu Sans Mono"/>
          <w:b w:val="0"/>
          <w:i w:val="0"/>
          <w:sz w:val="17"/>
        </w:rPr>
        <w:t>energy_capacity_mwh</w:t>
      </w:r>
      <w:r>
        <w:rPr>
          <w:b w:val="0"/>
          <w:i w:val="0"/>
        </w:rPr>
        <w:t>. For each store,</w:t>
      </w:r>
    </w:p>
    <w:p>
      <w:pPr>
        <w:spacing w:after="160"/>
        <w:jc w:val="center"/>
      </w:pPr>
      <w:r>
        <w:drawing>
          <wp:inline xmlns:a="http://schemas.openxmlformats.org/drawingml/2006/main" xmlns:pic="http://schemas.openxmlformats.org/drawingml/2006/picture">
            <wp:extent cx="6217920" cy="834915"/>
            <wp:docPr id="141" name="Picture 141"/>
            <wp:cNvGraphicFramePr>
              <a:graphicFrameLocks noChangeAspect="1"/>
            </wp:cNvGraphicFramePr>
            <a:graphic>
              <a:graphicData uri="http://schemas.openxmlformats.org/drawingml/2006/picture">
                <pic:pic>
                  <pic:nvPicPr>
                    <pic:cNvPr id="0" name="eq-141.png"/>
                    <pic:cNvPicPr/>
                  </pic:nvPicPr>
                  <pic:blipFill>
                    <a:blip r:embed="rId143"/>
                    <a:stretch>
                      <a:fillRect/>
                    </a:stretch>
                  </pic:blipFill>
                  <pic:spPr>
                    <a:xfrm>
                      <a:off x="0" y="0"/>
                      <a:ext cx="6217920" cy="834915"/>
                    </a:xfrm>
                    <a:prstGeom prst="rect"/>
                  </pic:spPr>
                </pic:pic>
              </a:graphicData>
            </a:graphic>
          </wp:inline>
        </w:drawing>
      </w:r>
    </w:p>
    <w:p>
      <w:r>
        <w:rPr>
          <w:b w:val="0"/>
          <w:i w:val="0"/>
        </w:rPr>
        <w:t xml:space="preserve">Charging and discharging lie between zero and their respective power limits times </w:t>
      </w:r>
      <w:r>
        <w:rPr>
          <w:rFonts w:ascii="DejaVu Sans Mono" w:hAnsi="DejaVu Sans Mono"/>
          <w:b w:val="0"/>
          <w:i w:val="0"/>
          <w:sz w:val="17"/>
        </w:rPr>
        <w:t>period_hours</w:t>
      </w:r>
      <w:r>
        <w:rPr>
          <w:b w:val="0"/>
          <w:i w:val="0"/>
        </w:rPr>
        <w:t xml:space="preserve">; final inventory lies between zero and </w:t>
      </w:r>
      <w:r>
        <w:rPr>
          <w:rFonts w:ascii="DejaVu Sans Mono" w:hAnsi="DejaVu Sans Mono"/>
          <w:b w:val="0"/>
          <w:i w:val="0"/>
          <w:sz w:val="17"/>
        </w:rPr>
        <w:t>capacity</w:t>
      </w:r>
      <w:r>
        <w:rPr>
          <w:b w:val="0"/>
          <w:i w:val="0"/>
        </w:rPr>
        <w:t xml:space="preserve">. Storage bids use </w:t>
      </w:r>
      <w:r>
        <w:rPr>
          <w:rFonts w:ascii="DejaVu Sans Mono" w:hAnsi="DejaVu Sans Mono"/>
          <w:b w:val="0"/>
          <w:i w:val="0"/>
          <w:sz w:val="17"/>
        </w:rPr>
        <w:t>convex_net_power_v1</w:t>
      </w:r>
      <w:r>
        <w:rPr>
          <w:b w:val="0"/>
          <w:i w:val="0"/>
        </w:rPr>
        <w:t xml:space="preserve">, with at most one bid per direction and a downward price at most the upward price plus </w:t>
      </w:r>
      <w:r>
        <w:drawing>
          <wp:inline xmlns:a="http://schemas.openxmlformats.org/drawingml/2006/main" xmlns:pic="http://schemas.openxmlformats.org/drawingml/2006/picture">
            <wp:extent cx="328247" cy="146617"/>
            <wp:docPr id="142" name="Picture 142"/>
            <wp:cNvGraphicFramePr>
              <a:graphicFrameLocks noChangeAspect="1"/>
            </wp:cNvGraphicFramePr>
            <a:graphic>
              <a:graphicData uri="http://schemas.openxmlformats.org/drawingml/2006/picture">
                <pic:pic>
                  <pic:nvPicPr>
                    <pic:cNvPr id="0" name="eq-142.png"/>
                    <pic:cNvPicPr/>
                  </pic:nvPicPr>
                  <pic:blipFill>
                    <a:blip r:embed="rId144"/>
                    <a:stretch>
                      <a:fillRect/>
                    </a:stretch>
                  </pic:blipFill>
                  <pic:spPr>
                    <a:xfrm>
                      <a:off x="0" y="0"/>
                      <a:ext cx="328247" cy="146617"/>
                    </a:xfrm>
                    <a:prstGeom prst="rect"/>
                  </pic:spPr>
                </pic:pic>
              </a:graphicData>
            </a:graphic>
          </wp:inline>
        </w:drawing>
      </w:r>
      <w:r>
        <w:rPr>
          <w:b w:val="0"/>
          <w:i w:val="0"/>
        </w:rPr>
        <w:t xml:space="preserve"> GBP/MWh. Final simultaneous charging and discharging must be at most </w:t>
      </w:r>
      <w:r>
        <w:drawing>
          <wp:inline xmlns:a="http://schemas.openxmlformats.org/drawingml/2006/main" xmlns:pic="http://schemas.openxmlformats.org/drawingml/2006/picture">
            <wp:extent cx="328247" cy="146617"/>
            <wp:docPr id="143" name="Picture 143"/>
            <wp:cNvGraphicFramePr>
              <a:graphicFrameLocks noChangeAspect="1"/>
            </wp:cNvGraphicFramePr>
            <a:graphic>
              <a:graphicData uri="http://schemas.openxmlformats.org/drawingml/2006/picture">
                <pic:pic>
                  <pic:nvPicPr>
                    <pic:cNvPr id="0" name="eq-142.png"/>
                    <pic:cNvPicPr/>
                  </pic:nvPicPr>
                  <pic:blipFill>
                    <a:blip r:embed="rId144"/>
                    <a:stretch>
                      <a:fillRect/>
                    </a:stretch>
                  </pic:blipFill>
                  <pic:spPr>
                    <a:xfrm>
                      <a:off x="0" y="0"/>
                      <a:ext cx="328247" cy="146617"/>
                    </a:xfrm>
                    <a:prstGeom prst="rect"/>
                  </pic:spPr>
                </pic:pic>
              </a:graphicData>
            </a:graphic>
          </wp:inline>
        </w:drawing>
      </w:r>
      <w:r>
        <w:rPr>
          <w:b w:val="0"/>
          <w:i w:val="0"/>
        </w:rPr>
        <w:t xml:space="preserve"> MWh. Final inventory becomes the next period's opening inventory; the national schedule and submitted bids provide the current intertemporal valuation.</w:t>
      </w:r>
    </w:p>
    <w:p>
      <w:pPr>
        <w:keepNext/>
      </w:pPr>
      <w:r>
        <w:rPr>
          <w:b w:val="0"/>
          <w:i w:val="0"/>
        </w:rPr>
        <w:t xml:space="preserve">Physical resource expenditure is calculated separately from bid payments. </w:t>
      </w:r>
      <w:r>
        <w:rPr>
          <w:rFonts w:ascii="DejaVu Sans Mono" w:hAnsi="DejaVu Sans Mono"/>
          <w:b w:val="0"/>
          <w:i w:val="0"/>
          <w:sz w:val="17"/>
        </w:rPr>
        <w:t>resource_​cost_​gbp_​per_​mwh_​by_​asset</w:t>
      </w:r>
      <w:r>
        <w:rPr>
          <w:b w:val="0"/>
          <w:i w:val="0"/>
        </w:rPr>
        <w:t xml:space="preserve"> multiplies positive final injection, and shortage incurs VoLL:</w:t>
      </w:r>
    </w:p>
    <w:p>
      <w:pPr>
        <w:spacing w:after="160"/>
        <w:jc w:val="center"/>
      </w:pPr>
      <w:r>
        <w:drawing>
          <wp:inline xmlns:a="http://schemas.openxmlformats.org/drawingml/2006/main" xmlns:pic="http://schemas.openxmlformats.org/drawingml/2006/picture">
            <wp:extent cx="5682005" cy="1003379"/>
            <wp:docPr id="144" name="Picture 144"/>
            <wp:cNvGraphicFramePr>
              <a:graphicFrameLocks noChangeAspect="1"/>
            </wp:cNvGraphicFramePr>
            <a:graphic>
              <a:graphicData uri="http://schemas.openxmlformats.org/drawingml/2006/picture">
                <pic:pic>
                  <pic:nvPicPr>
                    <pic:cNvPr id="0" name="eq-144.png"/>
                    <pic:cNvPicPr/>
                  </pic:nvPicPr>
                  <pic:blipFill>
                    <a:blip r:embed="rId145"/>
                    <a:stretch>
                      <a:fillRect/>
                    </a:stretch>
                  </pic:blipFill>
                  <pic:spPr>
                    <a:xfrm>
                      <a:off x="0" y="0"/>
                      <a:ext cx="5682005" cy="1003379"/>
                    </a:xfrm>
                    <a:prstGeom prst="rect"/>
                  </pic:spPr>
                </pic:pic>
              </a:graphicData>
            </a:graphic>
          </wp:inline>
        </w:drawing>
      </w:r>
    </w:p>
    <w:p>
      <w:r>
        <w:rPr>
          <w:b w:val="0"/>
          <w:i w:val="0"/>
        </w:rPr>
        <w:t xml:space="preserve">Network constraint cost compares this result with the same LP collapsed to one node, removing corridors and boundaries. </w:t>
      </w:r>
      <w:r>
        <w:rPr>
          <w:rFonts w:ascii="DejaVu Sans Mono" w:hAnsi="DejaVu Sans Mono"/>
          <w:b w:val="0"/>
          <w:i w:val="0"/>
          <w:sz w:val="17"/>
        </w:rPr>
        <w:t>solve_​network_​free_​counterfactual</w:t>
      </w:r>
      <w:r>
        <w:rPr>
          <w:b w:val="0"/>
          <w:i w:val="0"/>
        </w:rPr>
        <w:t xml:space="preserve"> retains bids, export arbitrage, import/export envelopes, storage physics, shortage valuation and solver settings. Both cases use the same period unit-cost table: supplied time-varying resource cost, otherwise annual marginal cost, storage cycle depreciation and zero export resource cost. Negative import prices can give negative period resource expenditure.</w:t>
      </w:r>
    </w:p>
    <w:p>
      <w:r>
        <w:rPr>
          <w:b w:val="0"/>
          <w:i w:val="0"/>
        </w:rPr>
        <w:t xml:space="preserve">The primary-objective difference is recorded separately as </w:t>
      </w:r>
      <w:r>
        <w:rPr>
          <w:rFonts w:ascii="DejaVu Sans Mono" w:hAnsi="DejaVu Sans Mono"/>
          <w:b w:val="0"/>
          <w:i w:val="0"/>
          <w:sz w:val="17"/>
        </w:rPr>
        <w:t>network_​constraint_​bid_​objective_​gbp</w:t>
      </w:r>
      <w:r>
        <w:rPr>
          <w:b w:val="0"/>
          <w:i w:val="0"/>
        </w:rPr>
        <w:t>. Forecast-error attribution compares actual-forecast and perfect-forecast network-free cases. Each comparison changes its stated spatial or forecast inputs within the same optimisation formulation.</w:t>
      </w:r>
    </w:p>
    <w:p>
      <w:pPr>
        <w:pStyle w:val="Heading2"/>
      </w:pPr>
      <w:r>
        <w:rPr>
          <w:b w:val="0"/>
          <w:i w:val="0"/>
        </w:rPr>
        <w:t>Numerical solution and boundary marginal values</w:t>
      </w:r>
    </w:p>
    <w:p>
      <w:r>
        <w:rPr>
          <w:b w:val="0"/>
          <w:i w:val="0"/>
        </w:rPr>
        <w:t xml:space="preserve">The solver locks total shortage from the primary optimum before bounding its bid-cost component. </w:t>
      </w:r>
      <w:r>
        <w:rPr>
          <w:rFonts w:ascii="DejaVu Sans Mono" w:hAnsi="DejaVu Sans Mono"/>
          <w:b w:val="0"/>
          <w:i w:val="0"/>
          <w:sz w:val="17"/>
        </w:rPr>
        <w:t>lock_primary_shedding</w:t>
      </w:r>
      <w:r>
        <w:rPr>
          <w:b w:val="0"/>
          <w:i w:val="0"/>
        </w:rPr>
        <w:t xml:space="preserve"> sets every shortage variable to zero when the primary total is zero; otherwise their sum is bounded above by that primary total. </w:t>
      </w:r>
      <w:r>
        <w:rPr>
          <w:rFonts w:ascii="DejaVu Sans Mono" w:hAnsi="DejaVu Sans Mono"/>
          <w:b w:val="0"/>
          <w:i w:val="0"/>
          <w:sz w:val="17"/>
        </w:rPr>
        <w:t>bid_cost_coefficients</w:t>
      </w:r>
      <w:r>
        <w:rPr>
          <w:b w:val="0"/>
          <w:i w:val="0"/>
        </w:rPr>
        <w:t xml:space="preserve"> supplies the bid-only objective for the next bound.</w:t>
      </w:r>
    </w:p>
    <w:p>
      <w:pPr>
        <w:keepNext/>
      </w:pPr>
      <w:r>
        <w:rPr>
          <w:b w:val="0"/>
          <w:i w:val="0"/>
        </w:rPr>
        <w:t xml:space="preserve">Objective locks use a scale-aware floating-point tolerance. </w:t>
      </w:r>
      <w:r>
        <w:rPr>
          <w:rFonts w:ascii="DejaVu Sans Mono" w:hAnsi="DejaVu Sans Mono"/>
          <w:b w:val="0"/>
          <w:i w:val="0"/>
          <w:sz w:val="17"/>
        </w:rPr>
        <w:t>compute_lock_tolerance</w:t>
      </w:r>
      <w:r>
        <w:rPr>
          <w:b w:val="0"/>
          <w:i w:val="0"/>
        </w:rPr>
        <w:t xml:space="preserve"> reads the objective </w:t>
      </w:r>
      <w:r>
        <w:rPr>
          <w:rFonts w:ascii="DejaVu Sans Mono" w:hAnsi="DejaVu Sans Mono"/>
          <w:b w:val="0"/>
          <w:i w:val="0"/>
          <w:sz w:val="17"/>
        </w:rPr>
        <w:t>coefficients</w:t>
      </w:r>
      <w:r>
        <w:rPr>
          <w:b w:val="0"/>
          <w:i w:val="0"/>
        </w:rPr>
        <w:t xml:space="preserve">, the preceding </w:t>
      </w:r>
      <w:r>
        <w:rPr>
          <w:rFonts w:ascii="DejaVu Sans Mono" w:hAnsi="DejaVu Sans Mono"/>
          <w:b w:val="0"/>
          <w:i w:val="0"/>
          <w:sz w:val="17"/>
        </w:rPr>
        <w:t>optimum</w:t>
      </w:r>
      <w:r>
        <w:rPr>
          <w:b w:val="0"/>
          <w:i w:val="0"/>
        </w:rPr>
        <w:t xml:space="preserve">, a </w:t>
      </w:r>
      <w:r>
        <w:rPr>
          <w:rFonts w:ascii="DejaVu Sans Mono" w:hAnsi="DejaVu Sans Mono"/>
          <w:b w:val="0"/>
          <w:i w:val="0"/>
          <w:sz w:val="17"/>
        </w:rPr>
        <w:t>unit_floor</w:t>
      </w:r>
      <w:r>
        <w:rPr>
          <w:b w:val="0"/>
          <w:i w:val="0"/>
        </w:rPr>
        <w:t xml:space="preserve"> and the effective </w:t>
      </w:r>
      <w:r>
        <w:rPr>
          <w:rFonts w:ascii="DejaVu Sans Mono" w:hAnsi="DejaVu Sans Mono"/>
          <w:b w:val="0"/>
          <w:i w:val="0"/>
          <w:sz w:val="17"/>
        </w:rPr>
        <w:t>solver_tolerance</w:t>
      </w:r>
      <w:r>
        <w:rPr>
          <w:b w:val="0"/>
          <w:i w:val="0"/>
        </w:rPr>
        <w:t>. It computes</w:t>
      </w:r>
    </w:p>
    <w:p>
      <w:pPr>
        <w:spacing w:after="160"/>
        <w:jc w:val="center"/>
      </w:pPr>
      <w:r>
        <w:drawing>
          <wp:inline xmlns:a="http://schemas.openxmlformats.org/drawingml/2006/main" xmlns:pic="http://schemas.openxmlformats.org/drawingml/2006/picture">
            <wp:extent cx="5080939" cy="2194198"/>
            <wp:docPr id="145" name="Picture 145"/>
            <wp:cNvGraphicFramePr>
              <a:graphicFrameLocks noChangeAspect="1"/>
            </wp:cNvGraphicFramePr>
            <a:graphic>
              <a:graphicData uri="http://schemas.openxmlformats.org/drawingml/2006/picture">
                <pic:pic>
                  <pic:nvPicPr>
                    <pic:cNvPr id="0" name="eq-145.png"/>
                    <pic:cNvPicPr/>
                  </pic:nvPicPr>
                  <pic:blipFill>
                    <a:blip r:embed="rId146"/>
                    <a:stretch>
                      <a:fillRect/>
                    </a:stretch>
                  </pic:blipFill>
                  <pic:spPr>
                    <a:xfrm>
                      <a:off x="0" y="0"/>
                      <a:ext cx="5080939" cy="2194198"/>
                    </a:xfrm>
                    <a:prstGeom prst="rect"/>
                  </pic:spPr>
                </pic:pic>
              </a:graphicData>
            </a:graphic>
          </wp:inline>
        </w:drawing>
      </w:r>
    </w:p>
    <w:p>
      <w:r>
        <w:rPr>
          <w:b w:val="0"/>
          <w:i w:val="0"/>
        </w:rPr>
        <w:t xml:space="preserve">Here </w:t>
      </w:r>
      <w:r>
        <w:rPr>
          <w:rFonts w:ascii="DejaVu Sans Mono" w:hAnsi="DejaVu Sans Mono"/>
          <w:b w:val="0"/>
          <w:i w:val="0"/>
          <w:sz w:val="17"/>
        </w:rPr>
        <w:t>nonzero_terms</w:t>
      </w:r>
      <w:r>
        <w:rPr>
          <w:b w:val="0"/>
          <w:i w:val="0"/>
        </w:rPr>
        <w:t xml:space="preserve"> counts nonzero coefficients and </w:t>
      </w:r>
      <w:r>
        <w:rPr>
          <w:rFonts w:ascii="DejaVu Sans Mono" w:hAnsi="DejaVu Sans Mono"/>
          <w:b w:val="0"/>
          <w:i w:val="0"/>
          <w:sz w:val="17"/>
        </w:rPr>
        <w:t>epsilon</w:t>
      </w:r>
      <w:r>
        <w:rPr>
          <w:b w:val="0"/>
          <w:i w:val="0"/>
        </w:rPr>
        <w:t xml:space="preserve"> is machine precision. The effective tolerance takes the larger of the applicable solver and bound-canonicalisation tolerances. The bid-cost lock uses a </w:t>
      </w:r>
      <w:r>
        <w:drawing>
          <wp:inline xmlns:a="http://schemas.openxmlformats.org/drawingml/2006/main" xmlns:pic="http://schemas.openxmlformats.org/drawingml/2006/picture">
            <wp:extent cx="328247" cy="146617"/>
            <wp:docPr id="146" name="Picture 146"/>
            <wp:cNvGraphicFramePr>
              <a:graphicFrameLocks noChangeAspect="1"/>
            </wp:cNvGraphicFramePr>
            <a:graphic>
              <a:graphicData uri="http://schemas.openxmlformats.org/drawingml/2006/picture">
                <pic:pic>
                  <pic:nvPicPr>
                    <pic:cNvPr id="0" name="eq-142.png"/>
                    <pic:cNvPicPr/>
                  </pic:nvPicPr>
                  <pic:blipFill>
                    <a:blip r:embed="rId144"/>
                    <a:stretch>
                      <a:fillRect/>
                    </a:stretch>
                  </pic:blipFill>
                  <pic:spPr>
                    <a:xfrm>
                      <a:off x="0" y="0"/>
                      <a:ext cx="328247" cy="146617"/>
                    </a:xfrm>
                    <a:prstGeom prst="rect"/>
                  </pic:spPr>
                </pic:pic>
              </a:graphicData>
            </a:graphic>
          </wp:inline>
        </w:drawing>
      </w:r>
      <w:r>
        <w:rPr>
          <w:b w:val="0"/>
          <w:i w:val="0"/>
        </w:rPr>
        <w:t xml:space="preserve"> GBP floor and default solver tolerance </w:t>
      </w:r>
      <w:r>
        <w:drawing>
          <wp:inline xmlns:a="http://schemas.openxmlformats.org/drawingml/2006/main" xmlns:pic="http://schemas.openxmlformats.org/drawingml/2006/picture">
            <wp:extent cx="328247" cy="146617"/>
            <wp:docPr id="147" name="Picture 147"/>
            <wp:cNvGraphicFramePr>
              <a:graphicFrameLocks noChangeAspect="1"/>
            </wp:cNvGraphicFramePr>
            <a:graphic>
              <a:graphicData uri="http://schemas.openxmlformats.org/drawingml/2006/picture">
                <pic:pic>
                  <pic:nvPicPr>
                    <pic:cNvPr id="0" name="eq-147.png"/>
                    <pic:cNvPicPr/>
                  </pic:nvPicPr>
                  <pic:blipFill>
                    <a:blip r:embed="rId147"/>
                    <a:stretch>
                      <a:fillRect/>
                    </a:stretch>
                  </pic:blipFill>
                  <pic:spPr>
                    <a:xfrm>
                      <a:off x="0" y="0"/>
                      <a:ext cx="328247" cy="146617"/>
                    </a:xfrm>
                    <a:prstGeom prst="rect"/>
                  </pic:spPr>
                </pic:pic>
              </a:graphicData>
            </a:graphic>
          </wp:inline>
        </w:drawing>
      </w:r>
      <w:r>
        <w:rPr>
          <w:b w:val="0"/>
          <w:i w:val="0"/>
        </w:rPr>
        <w:t xml:space="preserve">; MWh locks use a </w:t>
      </w:r>
      <w:r>
        <w:drawing>
          <wp:inline xmlns:a="http://schemas.openxmlformats.org/drawingml/2006/main" xmlns:pic="http://schemas.openxmlformats.org/drawingml/2006/picture">
            <wp:extent cx="328247" cy="146617"/>
            <wp:docPr id="148" name="Picture 148"/>
            <wp:cNvGraphicFramePr>
              <a:graphicFrameLocks noChangeAspect="1"/>
            </wp:cNvGraphicFramePr>
            <a:graphic>
              <a:graphicData uri="http://schemas.openxmlformats.org/drawingml/2006/picture">
                <pic:pic>
                  <pic:nvPicPr>
                    <pic:cNvPr id="0" name="eq-147.png"/>
                    <pic:cNvPicPr/>
                  </pic:nvPicPr>
                  <pic:blipFill>
                    <a:blip r:embed="rId147"/>
                    <a:stretch>
                      <a:fillRect/>
                    </a:stretch>
                  </pic:blipFill>
                  <pic:spPr>
                    <a:xfrm>
                      <a:off x="0" y="0"/>
                      <a:ext cx="328247" cy="146617"/>
                    </a:xfrm>
                    <a:prstGeom prst="rect"/>
                  </pic:spPr>
                </pic:pic>
              </a:graphicData>
            </a:graphic>
          </wp:inline>
        </w:drawing>
      </w:r>
      <w:r>
        <w:rPr>
          <w:b w:val="0"/>
          <w:i w:val="0"/>
        </w:rPr>
        <w:t xml:space="preserve"> MWh floor and solver floor </w:t>
      </w:r>
      <w:r>
        <w:drawing>
          <wp:inline xmlns:a="http://schemas.openxmlformats.org/drawingml/2006/main" xmlns:pic="http://schemas.openxmlformats.org/drawingml/2006/picture">
            <wp:extent cx="328247" cy="146617"/>
            <wp:docPr id="149" name="Picture 149"/>
            <wp:cNvGraphicFramePr>
              <a:graphicFrameLocks noChangeAspect="1"/>
            </wp:cNvGraphicFramePr>
            <a:graphic>
              <a:graphicData uri="http://schemas.openxmlformats.org/drawingml/2006/picture">
                <pic:pic>
                  <pic:nvPicPr>
                    <pic:cNvPr id="0" name="eq-142.png"/>
                    <pic:cNvPicPr/>
                  </pic:nvPicPr>
                  <pic:blipFill>
                    <a:blip r:embed="rId144"/>
                    <a:stretch>
                      <a:fillRect/>
                    </a:stretch>
                  </pic:blipFill>
                  <pic:spPr>
                    <a:xfrm>
                      <a:off x="0" y="0"/>
                      <a:ext cx="328247" cy="146617"/>
                    </a:xfrm>
                    <a:prstGeom prst="rect"/>
                  </pic:spPr>
                </pic:pic>
              </a:graphicData>
            </a:graphic>
          </wp:inline>
        </w:drawing>
      </w:r>
      <w:r>
        <w:rPr>
          <w:b w:val="0"/>
          <w:i w:val="0"/>
        </w:rPr>
        <w:t xml:space="preserve">. The bid-cost acceptance ceiling is 1 GBP per period. Each later solve retains the preceding objective bounds. HiGHS dual simplex with presolve uses primal and dual tolerances of </w:t>
      </w:r>
      <w:r>
        <w:drawing>
          <wp:inline xmlns:a="http://schemas.openxmlformats.org/drawingml/2006/main" xmlns:pic="http://schemas.openxmlformats.org/drawingml/2006/picture">
            <wp:extent cx="328247" cy="146617"/>
            <wp:docPr id="150" name="Picture 150"/>
            <wp:cNvGraphicFramePr>
              <a:graphicFrameLocks noChangeAspect="1"/>
            </wp:cNvGraphicFramePr>
            <a:graphic>
              <a:graphicData uri="http://schemas.openxmlformats.org/drawingml/2006/picture">
                <pic:pic>
                  <pic:nvPicPr>
                    <pic:cNvPr id="0" name="eq-147.png"/>
                    <pic:cNvPicPr/>
                  </pic:nvPicPr>
                  <pic:blipFill>
                    <a:blip r:embed="rId147"/>
                    <a:stretch>
                      <a:fillRect/>
                    </a:stretch>
                  </pic:blipFill>
                  <pic:spPr>
                    <a:xfrm>
                      <a:off x="0" y="0"/>
                      <a:ext cx="328247" cy="146617"/>
                    </a:xfrm>
                    <a:prstGeom prst="rect"/>
                  </pic:spPr>
                </pic:pic>
              </a:graphicData>
            </a:graphic>
          </wp:inline>
        </w:drawing>
      </w:r>
      <w:r>
        <w:rPr>
          <w:b w:val="0"/>
          <w:i w:val="0"/>
        </w:rPr>
        <w:t xml:space="preserve">; final equality, inequality and bound violations must be at most </w:t>
      </w:r>
      <w:r>
        <w:drawing>
          <wp:inline xmlns:a="http://schemas.openxmlformats.org/drawingml/2006/main" xmlns:pic="http://schemas.openxmlformats.org/drawingml/2006/picture">
            <wp:extent cx="328247" cy="146617"/>
            <wp:docPr id="151" name="Picture 151"/>
            <wp:cNvGraphicFramePr>
              <a:graphicFrameLocks noChangeAspect="1"/>
            </wp:cNvGraphicFramePr>
            <a:graphic>
              <a:graphicData uri="http://schemas.openxmlformats.org/drawingml/2006/picture">
                <pic:pic>
                  <pic:nvPicPr>
                    <pic:cNvPr id="0" name="eq-116.png"/>
                    <pic:cNvPicPr/>
                  </pic:nvPicPr>
                  <pic:blipFill>
                    <a:blip r:embed="rId119"/>
                    <a:stretch>
                      <a:fillRect/>
                    </a:stretch>
                  </pic:blipFill>
                  <pic:spPr>
                    <a:xfrm>
                      <a:off x="0" y="0"/>
                      <a:ext cx="328247" cy="146617"/>
                    </a:xfrm>
                    <a:prstGeom prst="rect"/>
                  </pic:spPr>
                </pic:pic>
              </a:graphicData>
            </a:graphic>
          </wp:inline>
        </w:drawing>
      </w:r>
      <w:r>
        <w:rPr>
          <w:b w:val="0"/>
          <w:i w:val="0"/>
        </w:rPr>
        <w:t>.</w:t>
      </w:r>
    </w:p>
    <w:p>
      <w:pPr>
        <w:keepLines/>
        <w:spacing w:line="276" w:lineRule="auto" w:after="160"/>
      </w:pPr>
      <w:r>
        <w:rPr>
          <w:rFonts w:ascii="DejaVu Sans Mono" w:hAnsi="DejaVu Sans Mono"/>
          <w:b w:val="0"/>
          <w:i w:val="0"/>
          <w:sz w:val="17"/>
        </w:rPr>
        <w:t>for period in the half-hour chronology:</w:t>
        <w:br/>
        <w:t xml:space="preserve">    align_​zonal_​demand(...): obtain zonal demand</w:t>
        <w:br/>
        <w:t xml:space="preserve">    build_​single_​period_​problem(...): build bids and physical constraints</w:t>
        <w:br/>
        <w:t xml:space="preserve">    solve_​lexicographic(problem):</w:t>
        <w:br/>
        <w:t xml:space="preserve">        minimise primary_objective; retain primary boundary marginals</w:t>
        <w:br/>
        <w:t xml:space="preserve">        lock_​primary_​shedding(...); bound bid_​cost_​coefficients(problem)</w:t>
        <w:br/>
        <w:t xml:space="preserve">        minimise secondary_objective; retain its objective bound</w:t>
        <w:br/>
        <w:t xml:space="preserve">        minimise physical_tie_objective; retain its objective bound</w:t>
        <w:br/>
        <w:t xml:space="preserve">        minimise stable_tie_objective; validate_solution(...)</w:t>
        <w:br/>
        <w:t xml:space="preserve">    solve_​network_​free_​counterfactual(...): compute matched comparison</w:t>
        <w:br/>
        <w:t xml:space="preserve">    return actual injections, storage inventory, flows, shortage and costs</w:t>
        <w:br/>
        <w:t xml:space="preserve">    pass final_soc_mwh_by_asset to the next period</w:t>
        <w:br/>
      </w:r>
    </w:p>
    <w:p>
      <w:pPr>
        <w:keepNext/>
      </w:pPr>
      <w:r>
        <w:rPr>
          <w:b w:val="0"/>
          <w:i w:val="0"/>
        </w:rPr>
        <w:t xml:space="preserve">Boundary marginal values measure the primary objective's response to transfer capacity. </w:t>
      </w:r>
      <w:r>
        <w:rPr>
          <w:rFonts w:ascii="DejaVu Sans Mono" w:hAnsi="DejaVu Sans Mono"/>
          <w:b w:val="0"/>
          <w:i w:val="0"/>
          <w:sz w:val="17"/>
        </w:rPr>
        <w:t>boundary_​marginal_​values</w:t>
      </w:r>
      <w:r>
        <w:rPr>
          <w:b w:val="0"/>
          <w:i w:val="0"/>
        </w:rPr>
        <w:t xml:space="preserve"> reads the forward and reverse constraint-row duals before objective locks are added:</w:t>
      </w:r>
    </w:p>
    <w:p>
      <w:pPr>
        <w:spacing w:after="160"/>
        <w:jc w:val="center"/>
      </w:pPr>
      <w:r>
        <w:drawing>
          <wp:inline xmlns:a="http://schemas.openxmlformats.org/drawingml/2006/main" xmlns:pic="http://schemas.openxmlformats.org/drawingml/2006/picture">
            <wp:extent cx="4971135" cy="180560"/>
            <wp:docPr id="152" name="Picture 152"/>
            <wp:cNvGraphicFramePr>
              <a:graphicFrameLocks noChangeAspect="1"/>
            </wp:cNvGraphicFramePr>
            <a:graphic>
              <a:graphicData uri="http://schemas.openxmlformats.org/drawingml/2006/picture">
                <pic:pic>
                  <pic:nvPicPr>
                    <pic:cNvPr id="0" name="eq-152.png"/>
                    <pic:cNvPicPr/>
                  </pic:nvPicPr>
                  <pic:blipFill>
                    <a:blip r:embed="rId148"/>
                    <a:stretch>
                      <a:fillRect/>
                    </a:stretch>
                  </pic:blipFill>
                  <pic:spPr>
                    <a:xfrm>
                      <a:off x="0" y="0"/>
                      <a:ext cx="4971135" cy="180560"/>
                    </a:xfrm>
                    <a:prstGeom prst="rect"/>
                  </pic:spPr>
                </pic:pic>
              </a:graphicData>
            </a:graphic>
          </wp:inline>
        </w:drawing>
      </w:r>
    </w:p>
    <w:p>
      <w:r>
        <w:rPr>
          <w:b w:val="0"/>
          <w:i w:val="0"/>
        </w:rPr>
        <w:t xml:space="preserve">A positive value corresponds to a binding forward limit and a negative value to a binding reverse limit. Status is </w:t>
      </w:r>
      <w:r>
        <w:rPr>
          <w:rFonts w:ascii="DejaVu Sans Mono" w:hAnsi="DejaVu Sans Mono"/>
          <w:b w:val="0"/>
          <w:i w:val="0"/>
          <w:sz w:val="17"/>
        </w:rPr>
        <w:t>computed</w:t>
      </w:r>
      <w:r>
        <w:rPr>
          <w:b w:val="0"/>
          <w:i w:val="0"/>
        </w:rPr>
        <w:t xml:space="preserve">, </w:t>
      </w:r>
      <w:r>
        <w:rPr>
          <w:rFonts w:ascii="DejaVu Sans Mono" w:hAnsi="DejaVu Sans Mono"/>
          <w:b w:val="0"/>
          <w:i w:val="0"/>
          <w:sz w:val="17"/>
        </w:rPr>
        <w:t>degenerate_dual</w:t>
      </w:r>
      <w:r>
        <w:rPr>
          <w:b w:val="0"/>
          <w:i w:val="0"/>
        </w:rPr>
        <w:t xml:space="preserve"> for a binding limit with zero dual, or </w:t>
      </w:r>
      <w:r>
        <w:rPr>
          <w:rFonts w:ascii="DejaVu Sans Mono" w:hAnsi="DejaVu Sans Mono"/>
          <w:b w:val="0"/>
          <w:i w:val="0"/>
          <w:sz w:val="17"/>
        </w:rPr>
        <w:t>shared_member</w:t>
      </w:r>
      <w:r>
        <w:rPr>
          <w:b w:val="0"/>
          <w:i w:val="0"/>
        </w:rPr>
        <w:t xml:space="preserve"> when binding boundaries share a corridor and the dual allocation is non-unique. The annual sum of absolute boundary value times transfer is reported as a congestion diagnostic, separately from zonal prices, cash flows and system cost. A ledger without this calculation displays “Not computed”.</w:t>
      </w:r>
    </w:p>
    <w:p>
      <w:pPr>
        <w:pStyle w:val="Heading2"/>
      </w:pPr>
      <w:r>
        <w:rPr>
          <w:b w:val="0"/>
          <w:i w:val="0"/>
        </w:rPr>
        <w:t>The two zonal cases</w:t>
      </w:r>
    </w:p>
    <w:p>
      <w:r>
        <w:rPr>
          <w:b w:val="0"/>
          <w:i w:val="0"/>
        </w:rPr>
        <w:t xml:space="preserve">The British 23-zone study uses the GBP1 public2 research suite, </w:t>
      </w:r>
      <w:r>
        <w:rPr>
          <w:rFonts w:ascii="DejaVu Sans Mono" w:hAnsi="DejaVu Sans Mono"/>
          <w:b w:val="0"/>
          <w:i w:val="0"/>
          <w:sz w:val="17"/>
        </w:rPr>
        <w:t>value-uk-research-suite-v1-public2</w:t>
      </w:r>
      <w:r>
        <w:rPr>
          <w:b w:val="0"/>
          <w:i w:val="0"/>
        </w:rPr>
        <w:t xml:space="preserve">, supplied with VALUE 0.7.0-alpha.1 through the </w:t>
      </w:r>
      <w:r>
        <w:rPr>
          <w:b w:val="0"/>
          <w:i w:val="0"/>
        </w:rPr>
        <w:t>data page</w:t>
      </w:r>
      <w:r>
        <w:rPr>
          <w:b w:val="0"/>
          <w:i w:val="0"/>
        </w:rPr>
        <w:t>. It contains 22 computational corridors and the B6 and B7a boundaries, rated at 6,700 MW and 9,400 MW in each direction. The 2025–2034 study design holds network capacity fixed while annual demand and assets may change.</w:t>
      </w:r>
    </w:p>
    <w:p>
      <w:r>
        <w:rPr>
          <w:b w:val="0"/>
          <w:i w:val="0"/>
        </w:rPr>
        <w:t xml:space="preserve">The 23-zone pack locates wind and solar by site; CCGT, OCGT, biomass, run-of-river hydro, nuclear, storage and imports are allocated to </w:t>
      </w:r>
      <w:r>
        <w:rPr>
          <w:rFonts w:ascii="DejaVu Sans Mono" w:hAnsi="DejaVu Sans Mono"/>
          <w:b w:val="0"/>
          <w:i w:val="0"/>
          <w:sz w:val="17"/>
        </w:rPr>
        <w:t>ENGLAND_FALLBACK</w:t>
      </w:r>
      <w:r>
        <w:rPr>
          <w:b w:val="0"/>
          <w:i w:val="0"/>
        </w:rPr>
        <w:t xml:space="preserve">. Nuclear stations created by the public2 policy enter that zone through the runtime fallback, including Torness north of B6. Import resources are named </w:t>
      </w:r>
      <w:r>
        <w:rPr>
          <w:rFonts w:ascii="DejaVu Sans Mono" w:hAnsi="DejaVu Sans Mono"/>
          <w:b w:val="0"/>
          <w:i w:val="0"/>
          <w:sz w:val="17"/>
        </w:rPr>
        <w:t>import:&lt;country&gt;</w:t>
      </w:r>
      <w:r>
        <w:rPr>
          <w:b w:val="0"/>
          <w:i w:val="0"/>
        </w:rPr>
        <w:t xml:space="preserve">, while the landing table uses </w:t>
      </w:r>
      <w:r>
        <w:rPr>
          <w:rFonts w:ascii="DejaVu Sans Mono" w:hAnsi="DejaVu Sans Mono"/>
          <w:b w:val="0"/>
          <w:i w:val="0"/>
          <w:sz w:val="17"/>
        </w:rPr>
        <w:t>interconnector:&lt;line&gt;</w:t>
      </w:r>
      <w:r>
        <w:rPr>
          <w:b w:val="0"/>
          <w:i w:val="0"/>
        </w:rPr>
        <w:t xml:space="preserve">; this mismatch also places imports in the fallback zone. </w:t>
      </w:r>
      <w:r>
        <w:rPr>
          <w:rFonts w:ascii="DejaVu Sans Mono" w:hAnsi="DejaVu Sans Mono"/>
          <w:b w:val="0"/>
          <w:i w:val="0"/>
          <w:sz w:val="17"/>
        </w:rPr>
        <w:t>runtime_fallback_audit</w:t>
      </w:r>
      <w:r>
        <w:rPr>
          <w:b w:val="0"/>
          <w:i w:val="0"/>
        </w:rPr>
        <w:t xml:space="preserve"> records these allocations, and the resulting spatial distribution is indicative.</w:t>
      </w:r>
    </w:p>
    <w:p>
      <w:r>
        <w:rPr>
          <w:b w:val="0"/>
          <w:i w:val="0"/>
        </w:rPr>
        <w:t xml:space="preserve">Staged and zonal runs declare the ledger balance boundary </w:t>
      </w:r>
      <w:r>
        <w:rPr>
          <w:rFonts w:ascii="DejaVu Sans Mono" w:hAnsi="DejaVu Sans Mono"/>
          <w:b w:val="0"/>
          <w:i w:val="0"/>
          <w:sz w:val="17"/>
        </w:rPr>
        <w:t>full_node_v1</w:t>
      </w:r>
      <w:r>
        <w:rPr>
          <w:b w:val="0"/>
          <w:i w:val="0"/>
        </w:rPr>
        <w:t xml:space="preserve">, enabling energy-balance assessment. The independent checks </w:t>
      </w:r>
      <w:r>
        <w:rPr>
          <w:rFonts w:ascii="DejaVu Sans Mono" w:hAnsi="DejaVu Sans Mono"/>
          <w:b w:val="0"/>
          <w:i w:val="0"/>
          <w:sz w:val="17"/>
        </w:rPr>
        <w:t>generation_cross_path</w:t>
      </w:r>
      <w:r>
        <w:rPr>
          <w:b w:val="0"/>
          <w:i w:val="0"/>
        </w:rPr>
        <w:t xml:space="preserve"> and </w:t>
      </w:r>
      <w:r>
        <w:rPr>
          <w:rFonts w:ascii="DejaVu Sans Mono" w:hAnsi="DejaVu Sans Mono"/>
          <w:b w:val="0"/>
          <w:i w:val="0"/>
          <w:sz w:val="17"/>
        </w:rPr>
        <w:t>demand_​input_​reconciliation</w:t>
      </w:r>
      <w:r>
        <w:rPr>
          <w:b w:val="0"/>
          <w:i w:val="0"/>
        </w:rPr>
        <w:t xml:space="preserve"> retain status </w:t>
      </w:r>
      <w:r>
        <w:rPr>
          <w:rFonts w:ascii="DejaVu Sans Mono" w:hAnsi="DejaVu Sans Mono"/>
          <w:b w:val="0"/>
          <w:i w:val="0"/>
          <w:sz w:val="17"/>
        </w:rPr>
        <w:t>not_evaluated</w:t>
      </w:r>
      <w:r>
        <w:rPr>
          <w:b w:val="0"/>
          <w:i w:val="0"/>
        </w:rPr>
        <w:t xml:space="preserve">. The default </w:t>
      </w:r>
      <w:r>
        <w:rPr>
          <w:rFonts w:ascii="DejaVu Sans Mono" w:hAnsi="DejaVu Sans Mono"/>
          <w:b w:val="0"/>
          <w:i w:val="0"/>
          <w:sz w:val="17"/>
        </w:rPr>
        <w:t>summary</w:t>
      </w:r>
      <w:r>
        <w:rPr>
          <w:b w:val="0"/>
          <w:i w:val="0"/>
        </w:rPr>
        <w:t xml:space="preserve"> trace omits per-period solver diagnostics; the result therefore displays “Not recorded”.</w:t>
      </w:r>
    </w:p>
    <w:p>
      <w:r>
        <w:rPr>
          <w:b w:val="0"/>
          <w:i w:val="0"/>
        </w:rPr>
        <w:t>The 11-zone experiment represents British regions as T1–T11 and compares transmission outcomes for a single year with fixed assets. The regions are N. Scotland, S. Scotland, N. England, N. Wales/the Mersey/the Humber, Midlands, Central England, E. Anglia, S. Wales/the Severn, S.W. England, S. England and South-East England. It uses 2022 demand and weather over 17,520 half-hours with a 2025 model background. Asset capacities remain fixed throughout the experiment, with annual investment outside its execution path.</w:t>
      </w:r>
    </w:p>
    <w:p>
      <w:r>
        <w:rPr>
          <w:b w:val="0"/>
          <w:i w:val="0"/>
        </w:rPr>
        <w:t>The 11-zone network combines 13 computational corridors classified as AC assets with Western Link. Ordinary corridors connect 1–2, 2–3, 3–4, 4–5, 5–6, 5–8, 6–7, 6–8, 6–11, 8–9, 8–10, 9–10 and 10–11; Western Link connects T2→T4. The table gives geographical boundary capacities and the separate Western Link limit. The 2029 values form an independent sensitivity input, while base cases use 2025 capacities.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57"/>
        <w:gridCol w:w="2933"/>
        <w:gridCol w:w="2682"/>
        <w:gridCol w:w="2320"/>
      </w:tblGrid>
      <w:tr>
        <w:trPr>
          <w:cantSplit/>
          <w:tblHeader w:val="true"/>
        </w:trPr>
        <w:tc>
          <w:tcPr>
            <w:tcW w:type="dxa" w:w="1857"/>
            <w:vAlign w:val="center"/>
            <w:tcMar>
              <w:top w:w="90" w:type="dxa"/>
              <w:left w:w="90" w:type="dxa"/>
              <w:bottom w:w="90" w:type="dxa"/>
              <w:right w:w="90" w:type="dxa"/>
            </w:tcMar>
            <w:shd w:fill="EEEEEE"/>
          </w:tcPr>
          <w:p>
            <w:pPr>
              <w:spacing w:after="40" w:line="276" w:lineRule="auto"/>
            </w:pPr>
            <w:r>
              <w:rPr>
                <w:b/>
                <w:i w:val="0"/>
                <w:sz w:val="18"/>
              </w:rPr>
              <w:t>Boundary</w:t>
            </w:r>
          </w:p>
        </w:tc>
        <w:tc>
          <w:tcPr>
            <w:tcW w:type="dxa" w:w="2933"/>
            <w:vAlign w:val="center"/>
            <w:tcMar>
              <w:top w:w="90" w:type="dxa"/>
              <w:left w:w="90" w:type="dxa"/>
              <w:bottom w:w="90" w:type="dxa"/>
              <w:right w:w="90" w:type="dxa"/>
            </w:tcMar>
            <w:shd w:fill="EEEEEE"/>
          </w:tcPr>
          <w:p>
            <w:pPr>
              <w:spacing w:after="40" w:line="276" w:lineRule="auto"/>
            </w:pPr>
            <w:r>
              <w:rPr>
                <w:b/>
                <w:i w:val="0"/>
                <w:sz w:val="18"/>
              </w:rPr>
              <w:t>2025 capacity in each direction, MW</w:t>
            </w:r>
          </w:p>
        </w:tc>
        <w:tc>
          <w:tcPr>
            <w:tcW w:type="dxa" w:w="2682"/>
            <w:vAlign w:val="center"/>
            <w:tcMar>
              <w:top w:w="90" w:type="dxa"/>
              <w:left w:w="90" w:type="dxa"/>
              <w:bottom w:w="90" w:type="dxa"/>
              <w:right w:w="90" w:type="dxa"/>
            </w:tcMar>
            <w:shd w:fill="EEEEEE"/>
          </w:tcPr>
          <w:p>
            <w:pPr>
              <w:spacing w:after="40" w:line="276" w:lineRule="auto"/>
            </w:pPr>
            <w:r>
              <w:rPr>
                <w:b/>
                <w:i w:val="0"/>
                <w:sz w:val="18"/>
              </w:rPr>
              <w:t>2029 sensitivity capacity, MW</w:t>
            </w:r>
          </w:p>
        </w:tc>
        <w:tc>
          <w:tcPr>
            <w:tcW w:type="dxa" w:w="2320"/>
            <w:vAlign w:val="center"/>
            <w:tcMar>
              <w:top w:w="90" w:type="dxa"/>
              <w:left w:w="90" w:type="dxa"/>
              <w:bottom w:w="90" w:type="dxa"/>
              <w:right w:w="90" w:type="dxa"/>
            </w:tcMar>
            <w:shd w:fill="EEEEEE"/>
          </w:tcPr>
          <w:p>
            <w:pPr>
              <w:spacing w:after="40" w:line="276" w:lineRule="auto"/>
            </w:pPr>
            <w:r>
              <w:rPr>
                <w:b/>
                <w:i w:val="0"/>
                <w:sz w:val="18"/>
              </w:rPr>
              <w:t>Positive-flow members</w:t>
            </w:r>
          </w:p>
        </w:tc>
      </w:tr>
      <w:tr>
        <w:trPr>
          <w:cantSplit/>
        </w:trPr>
        <w:tc>
          <w:tcPr>
            <w:tcW w:type="dxa" w:w="1857"/>
            <w:vAlign w:val="center"/>
            <w:tcMar>
              <w:top w:w="90" w:type="dxa"/>
              <w:left w:w="90" w:type="dxa"/>
              <w:bottom w:w="90" w:type="dxa"/>
              <w:right w:w="90" w:type="dxa"/>
            </w:tcMar>
          </w:tcPr>
          <w:p>
            <w:pPr>
              <w:spacing w:after="40" w:line="276" w:lineRule="auto"/>
            </w:pPr>
            <w:r>
              <w:rPr>
                <w:b w:val="0"/>
                <w:i w:val="0"/>
                <w:sz w:val="18"/>
              </w:rPr>
              <w:t>B4</w:t>
            </w:r>
          </w:p>
        </w:tc>
        <w:tc>
          <w:tcPr>
            <w:tcW w:type="dxa" w:w="2933"/>
            <w:vAlign w:val="center"/>
            <w:tcMar>
              <w:top w:w="90" w:type="dxa"/>
              <w:left w:w="90" w:type="dxa"/>
              <w:bottom w:w="90" w:type="dxa"/>
              <w:right w:w="90" w:type="dxa"/>
            </w:tcMar>
          </w:tcPr>
          <w:p>
            <w:pPr>
              <w:spacing w:after="40" w:line="276" w:lineRule="auto"/>
            </w:pPr>
            <w:r>
              <w:rPr>
                <w:b w:val="0"/>
                <w:i w:val="0"/>
                <w:sz w:val="18"/>
              </w:rPr>
              <w:t>4,002</w:t>
            </w:r>
          </w:p>
        </w:tc>
        <w:tc>
          <w:tcPr>
            <w:tcW w:type="dxa" w:w="2682"/>
            <w:vAlign w:val="center"/>
            <w:tcMar>
              <w:top w:w="90" w:type="dxa"/>
              <w:left w:w="90" w:type="dxa"/>
              <w:bottom w:w="90" w:type="dxa"/>
              <w:right w:w="90" w:type="dxa"/>
            </w:tcMar>
          </w:tcPr>
          <w:p>
            <w:pPr>
              <w:spacing w:after="40" w:line="276" w:lineRule="auto"/>
            </w:pPr>
            <w:r>
              <w:rPr>
                <w:b w:val="0"/>
                <w:i w:val="0"/>
                <w:sz w:val="18"/>
              </w:rPr>
              <w:t>4,923</w:t>
            </w:r>
          </w:p>
        </w:tc>
        <w:tc>
          <w:tcPr>
            <w:tcW w:type="dxa" w:w="2320"/>
            <w:vAlign w:val="center"/>
            <w:tcMar>
              <w:top w:w="90" w:type="dxa"/>
              <w:left w:w="90" w:type="dxa"/>
              <w:bottom w:w="90" w:type="dxa"/>
              <w:right w:w="90" w:type="dxa"/>
            </w:tcMar>
          </w:tcPr>
          <w:p>
            <w:pPr>
              <w:spacing w:after="40" w:line="276" w:lineRule="auto"/>
            </w:pPr>
            <w:r>
              <w:rPr>
                <w:b w:val="0"/>
                <w:i w:val="0"/>
                <w:sz w:val="18"/>
              </w:rPr>
              <w:t>f12</w:t>
            </w:r>
          </w:p>
        </w:tc>
      </w:tr>
      <w:tr>
        <w:trPr>
          <w:cantSplit/>
        </w:trPr>
        <w:tc>
          <w:tcPr>
            <w:tcW w:type="dxa" w:w="1857"/>
            <w:vAlign w:val="center"/>
            <w:tcMar>
              <w:top w:w="90" w:type="dxa"/>
              <w:left w:w="90" w:type="dxa"/>
              <w:bottom w:w="90" w:type="dxa"/>
              <w:right w:w="90" w:type="dxa"/>
            </w:tcMar>
          </w:tcPr>
          <w:p>
            <w:pPr>
              <w:spacing w:after="40" w:line="276" w:lineRule="auto"/>
            </w:pPr>
            <w:r>
              <w:rPr>
                <w:b w:val="0"/>
                <w:i w:val="0"/>
                <w:sz w:val="18"/>
              </w:rPr>
              <w:t>B6</w:t>
            </w:r>
          </w:p>
        </w:tc>
        <w:tc>
          <w:tcPr>
            <w:tcW w:type="dxa" w:w="2933"/>
            <w:vAlign w:val="center"/>
            <w:tcMar>
              <w:top w:w="90" w:type="dxa"/>
              <w:left w:w="90" w:type="dxa"/>
              <w:bottom w:w="90" w:type="dxa"/>
              <w:right w:w="90" w:type="dxa"/>
            </w:tcMar>
          </w:tcPr>
          <w:p>
            <w:pPr>
              <w:spacing w:after="40" w:line="276" w:lineRule="auto"/>
            </w:pPr>
            <w:r>
              <w:rPr>
                <w:b w:val="0"/>
                <w:i w:val="0"/>
                <w:sz w:val="18"/>
              </w:rPr>
              <w:t>6,700</w:t>
            </w:r>
          </w:p>
        </w:tc>
        <w:tc>
          <w:tcPr>
            <w:tcW w:type="dxa" w:w="2682"/>
            <w:vAlign w:val="center"/>
            <w:tcMar>
              <w:top w:w="90" w:type="dxa"/>
              <w:left w:w="90" w:type="dxa"/>
              <w:bottom w:w="90" w:type="dxa"/>
              <w:right w:w="90" w:type="dxa"/>
            </w:tcMar>
          </w:tcPr>
          <w:p>
            <w:pPr>
              <w:spacing w:after="40" w:line="276" w:lineRule="auto"/>
            </w:pPr>
            <w:r>
              <w:rPr>
                <w:b w:val="0"/>
                <w:i w:val="0"/>
                <w:sz w:val="18"/>
              </w:rPr>
              <w:t>11,456</w:t>
            </w:r>
          </w:p>
        </w:tc>
        <w:tc>
          <w:tcPr>
            <w:tcW w:type="dxa" w:w="2320"/>
            <w:vAlign w:val="center"/>
            <w:tcMar>
              <w:top w:w="90" w:type="dxa"/>
              <w:left w:w="90" w:type="dxa"/>
              <w:bottom w:w="90" w:type="dxa"/>
              <w:right w:w="90" w:type="dxa"/>
            </w:tcMar>
          </w:tcPr>
          <w:p>
            <w:pPr>
              <w:spacing w:after="40" w:line="276" w:lineRule="auto"/>
            </w:pPr>
            <w:r>
              <w:rPr>
                <w:b w:val="0"/>
                <w:i w:val="0"/>
                <w:sz w:val="18"/>
              </w:rPr>
              <w:t>f23 + fWL</w:t>
            </w:r>
          </w:p>
        </w:tc>
      </w:tr>
      <w:tr>
        <w:trPr>
          <w:cantSplit/>
        </w:trPr>
        <w:tc>
          <w:tcPr>
            <w:tcW w:type="dxa" w:w="1857"/>
            <w:vAlign w:val="center"/>
            <w:tcMar>
              <w:top w:w="90" w:type="dxa"/>
              <w:left w:w="90" w:type="dxa"/>
              <w:bottom w:w="90" w:type="dxa"/>
              <w:right w:w="90" w:type="dxa"/>
            </w:tcMar>
          </w:tcPr>
          <w:p>
            <w:pPr>
              <w:spacing w:after="40" w:line="276" w:lineRule="auto"/>
            </w:pPr>
            <w:r>
              <w:rPr>
                <w:b w:val="0"/>
                <w:i w:val="0"/>
                <w:sz w:val="18"/>
              </w:rPr>
              <w:t>B7a</w:t>
            </w:r>
          </w:p>
        </w:tc>
        <w:tc>
          <w:tcPr>
            <w:tcW w:type="dxa" w:w="2933"/>
            <w:vAlign w:val="center"/>
            <w:tcMar>
              <w:top w:w="90" w:type="dxa"/>
              <w:left w:w="90" w:type="dxa"/>
              <w:bottom w:w="90" w:type="dxa"/>
              <w:right w:w="90" w:type="dxa"/>
            </w:tcMar>
          </w:tcPr>
          <w:p>
            <w:pPr>
              <w:spacing w:after="40" w:line="276" w:lineRule="auto"/>
            </w:pPr>
            <w:r>
              <w:rPr>
                <w:b w:val="0"/>
                <w:i w:val="0"/>
                <w:sz w:val="18"/>
              </w:rPr>
              <w:t>9,400</w:t>
            </w:r>
          </w:p>
        </w:tc>
        <w:tc>
          <w:tcPr>
            <w:tcW w:type="dxa" w:w="2682"/>
            <w:vAlign w:val="center"/>
            <w:tcMar>
              <w:top w:w="90" w:type="dxa"/>
              <w:left w:w="90" w:type="dxa"/>
              <w:bottom w:w="90" w:type="dxa"/>
              <w:right w:w="90" w:type="dxa"/>
            </w:tcMar>
          </w:tcPr>
          <w:p>
            <w:pPr>
              <w:spacing w:after="40" w:line="276" w:lineRule="auto"/>
            </w:pPr>
            <w:r>
              <w:rPr>
                <w:b w:val="0"/>
                <w:i w:val="0"/>
                <w:sz w:val="18"/>
              </w:rPr>
              <w:t>10,609</w:t>
            </w:r>
          </w:p>
        </w:tc>
        <w:tc>
          <w:tcPr>
            <w:tcW w:type="dxa" w:w="2320"/>
            <w:vAlign w:val="center"/>
            <w:tcMar>
              <w:top w:w="90" w:type="dxa"/>
              <w:left w:w="90" w:type="dxa"/>
              <w:bottom w:w="90" w:type="dxa"/>
              <w:right w:w="90" w:type="dxa"/>
            </w:tcMar>
          </w:tcPr>
          <w:p>
            <w:pPr>
              <w:spacing w:after="40" w:line="276" w:lineRule="auto"/>
            </w:pPr>
            <w:r>
              <w:rPr>
                <w:b w:val="0"/>
                <w:i w:val="0"/>
                <w:sz w:val="18"/>
              </w:rPr>
              <w:t>f34 + fWL</w:t>
            </w:r>
          </w:p>
        </w:tc>
      </w:tr>
      <w:tr>
        <w:trPr>
          <w:cantSplit/>
        </w:trPr>
        <w:tc>
          <w:tcPr>
            <w:tcW w:type="dxa" w:w="1857"/>
            <w:vAlign w:val="center"/>
            <w:tcMar>
              <w:top w:w="90" w:type="dxa"/>
              <w:left w:w="90" w:type="dxa"/>
              <w:bottom w:w="90" w:type="dxa"/>
              <w:right w:w="90" w:type="dxa"/>
            </w:tcMar>
          </w:tcPr>
          <w:p>
            <w:pPr>
              <w:spacing w:after="40" w:line="276" w:lineRule="auto"/>
            </w:pPr>
            <w:r>
              <w:rPr>
                <w:b w:val="0"/>
                <w:i w:val="0"/>
                <w:sz w:val="18"/>
              </w:rPr>
              <w:t>B8</w:t>
            </w:r>
          </w:p>
        </w:tc>
        <w:tc>
          <w:tcPr>
            <w:tcW w:type="dxa" w:w="2933"/>
            <w:vAlign w:val="center"/>
            <w:tcMar>
              <w:top w:w="90" w:type="dxa"/>
              <w:left w:w="90" w:type="dxa"/>
              <w:bottom w:w="90" w:type="dxa"/>
              <w:right w:w="90" w:type="dxa"/>
            </w:tcMar>
          </w:tcPr>
          <w:p>
            <w:pPr>
              <w:spacing w:after="40" w:line="276" w:lineRule="auto"/>
            </w:pPr>
            <w:r>
              <w:rPr>
                <w:b w:val="0"/>
                <w:i w:val="0"/>
                <w:sz w:val="18"/>
              </w:rPr>
              <w:t>11,000</w:t>
            </w:r>
          </w:p>
        </w:tc>
        <w:tc>
          <w:tcPr>
            <w:tcW w:type="dxa" w:w="2682"/>
            <w:vAlign w:val="center"/>
            <w:tcMar>
              <w:top w:w="90" w:type="dxa"/>
              <w:left w:w="90" w:type="dxa"/>
              <w:bottom w:w="90" w:type="dxa"/>
              <w:right w:w="90" w:type="dxa"/>
            </w:tcMar>
          </w:tcPr>
          <w:p>
            <w:pPr>
              <w:spacing w:after="40" w:line="276" w:lineRule="auto"/>
            </w:pPr>
            <w:r>
              <w:rPr>
                <w:b w:val="0"/>
                <w:i w:val="0"/>
                <w:sz w:val="18"/>
              </w:rPr>
              <w:t>14,005</w:t>
            </w:r>
          </w:p>
        </w:tc>
        <w:tc>
          <w:tcPr>
            <w:tcW w:type="dxa" w:w="2320"/>
            <w:vAlign w:val="center"/>
            <w:tcMar>
              <w:top w:w="90" w:type="dxa"/>
              <w:left w:w="90" w:type="dxa"/>
              <w:bottom w:w="90" w:type="dxa"/>
              <w:right w:w="90" w:type="dxa"/>
            </w:tcMar>
          </w:tcPr>
          <w:p>
            <w:pPr>
              <w:spacing w:after="40" w:line="276" w:lineRule="auto"/>
            </w:pPr>
            <w:r>
              <w:rPr>
                <w:b w:val="0"/>
                <w:i w:val="0"/>
                <w:sz w:val="18"/>
              </w:rPr>
              <w:t>f45</w:t>
            </w:r>
          </w:p>
        </w:tc>
      </w:tr>
      <w:tr>
        <w:trPr>
          <w:cantSplit/>
        </w:trPr>
        <w:tc>
          <w:tcPr>
            <w:tcW w:type="dxa" w:w="1857"/>
            <w:vAlign w:val="center"/>
            <w:tcMar>
              <w:top w:w="90" w:type="dxa"/>
              <w:left w:w="90" w:type="dxa"/>
              <w:bottom w:w="90" w:type="dxa"/>
              <w:right w:w="90" w:type="dxa"/>
            </w:tcMar>
          </w:tcPr>
          <w:p>
            <w:pPr>
              <w:spacing w:after="40" w:line="276" w:lineRule="auto"/>
            </w:pPr>
            <w:r>
              <w:rPr>
                <w:b w:val="0"/>
                <w:i w:val="0"/>
                <w:sz w:val="18"/>
              </w:rPr>
              <w:t>B9</w:t>
            </w:r>
          </w:p>
        </w:tc>
        <w:tc>
          <w:tcPr>
            <w:tcW w:type="dxa" w:w="2933"/>
            <w:vAlign w:val="center"/>
            <w:tcMar>
              <w:top w:w="90" w:type="dxa"/>
              <w:left w:w="90" w:type="dxa"/>
              <w:bottom w:w="90" w:type="dxa"/>
              <w:right w:w="90" w:type="dxa"/>
            </w:tcMar>
          </w:tcPr>
          <w:p>
            <w:pPr>
              <w:spacing w:after="40" w:line="276" w:lineRule="auto"/>
            </w:pPr>
            <w:r>
              <w:rPr>
                <w:b w:val="0"/>
                <w:i w:val="0"/>
                <w:sz w:val="18"/>
              </w:rPr>
              <w:t>11,500</w:t>
            </w:r>
          </w:p>
        </w:tc>
        <w:tc>
          <w:tcPr>
            <w:tcW w:type="dxa" w:w="2682"/>
            <w:vAlign w:val="center"/>
            <w:tcMar>
              <w:top w:w="90" w:type="dxa"/>
              <w:left w:w="90" w:type="dxa"/>
              <w:bottom w:w="90" w:type="dxa"/>
              <w:right w:w="90" w:type="dxa"/>
            </w:tcMar>
          </w:tcPr>
          <w:p>
            <w:pPr>
              <w:spacing w:after="40" w:line="276" w:lineRule="auto"/>
            </w:pPr>
            <w:r>
              <w:rPr>
                <w:b w:val="0"/>
                <w:i w:val="0"/>
                <w:sz w:val="18"/>
              </w:rPr>
              <w:t>12,900</w:t>
            </w:r>
          </w:p>
        </w:tc>
        <w:tc>
          <w:tcPr>
            <w:tcW w:type="dxa" w:w="2320"/>
            <w:vAlign w:val="center"/>
            <w:tcMar>
              <w:top w:w="90" w:type="dxa"/>
              <w:left w:w="90" w:type="dxa"/>
              <w:bottom w:w="90" w:type="dxa"/>
              <w:right w:w="90" w:type="dxa"/>
            </w:tcMar>
          </w:tcPr>
          <w:p>
            <w:pPr>
              <w:spacing w:after="40" w:line="276" w:lineRule="auto"/>
            </w:pPr>
            <w:r>
              <w:rPr>
                <w:b w:val="0"/>
                <w:i w:val="0"/>
                <w:sz w:val="18"/>
              </w:rPr>
              <w:t>f56 + f58</w:t>
            </w:r>
          </w:p>
        </w:tc>
      </w:tr>
      <w:tr>
        <w:trPr>
          <w:cantSplit/>
        </w:trPr>
        <w:tc>
          <w:tcPr>
            <w:tcW w:type="dxa" w:w="1857"/>
            <w:vAlign w:val="center"/>
            <w:tcMar>
              <w:top w:w="90" w:type="dxa"/>
              <w:left w:w="90" w:type="dxa"/>
              <w:bottom w:w="90" w:type="dxa"/>
              <w:right w:w="90" w:type="dxa"/>
            </w:tcMar>
          </w:tcPr>
          <w:p>
            <w:pPr>
              <w:spacing w:after="40" w:line="276" w:lineRule="auto"/>
            </w:pPr>
            <w:r>
              <w:rPr>
                <w:b w:val="0"/>
                <w:i w:val="0"/>
                <w:sz w:val="18"/>
              </w:rPr>
              <w:t>EC5</w:t>
            </w:r>
          </w:p>
        </w:tc>
        <w:tc>
          <w:tcPr>
            <w:tcW w:type="dxa" w:w="2933"/>
            <w:vAlign w:val="center"/>
            <w:tcMar>
              <w:top w:w="90" w:type="dxa"/>
              <w:left w:w="90" w:type="dxa"/>
              <w:bottom w:w="90" w:type="dxa"/>
              <w:right w:w="90" w:type="dxa"/>
            </w:tcMar>
          </w:tcPr>
          <w:p>
            <w:pPr>
              <w:spacing w:after="40" w:line="276" w:lineRule="auto"/>
            </w:pPr>
            <w:r>
              <w:rPr>
                <w:b w:val="0"/>
                <w:i w:val="0"/>
                <w:sz w:val="18"/>
              </w:rPr>
              <w:t>3,300</w:t>
            </w:r>
          </w:p>
        </w:tc>
        <w:tc>
          <w:tcPr>
            <w:tcW w:type="dxa" w:w="2682"/>
            <w:vAlign w:val="center"/>
            <w:tcMar>
              <w:top w:w="90" w:type="dxa"/>
              <w:left w:w="90" w:type="dxa"/>
              <w:bottom w:w="90" w:type="dxa"/>
              <w:right w:w="90" w:type="dxa"/>
            </w:tcMar>
          </w:tcPr>
          <w:p>
            <w:pPr>
              <w:spacing w:after="40" w:line="276" w:lineRule="auto"/>
            </w:pPr>
            <w:r>
              <w:rPr>
                <w:b w:val="0"/>
                <w:i w:val="0"/>
                <w:sz w:val="18"/>
              </w:rPr>
              <w:t>5,925</w:t>
            </w:r>
          </w:p>
        </w:tc>
        <w:tc>
          <w:tcPr>
            <w:tcW w:type="dxa" w:w="2320"/>
            <w:vAlign w:val="center"/>
            <w:tcMar>
              <w:top w:w="90" w:type="dxa"/>
              <w:left w:w="90" w:type="dxa"/>
              <w:bottom w:w="90" w:type="dxa"/>
              <w:right w:w="90" w:type="dxa"/>
            </w:tcMar>
          </w:tcPr>
          <w:p>
            <w:pPr>
              <w:spacing w:after="40" w:line="276" w:lineRule="auto"/>
            </w:pPr>
            <w:r>
              <w:rPr>
                <w:b w:val="0"/>
                <w:i w:val="0"/>
                <w:sz w:val="18"/>
              </w:rPr>
              <w:t>−f67</w:t>
            </w:r>
          </w:p>
        </w:tc>
      </w:tr>
      <w:tr>
        <w:trPr>
          <w:cantSplit/>
        </w:trPr>
        <w:tc>
          <w:tcPr>
            <w:tcW w:type="dxa" w:w="1857"/>
            <w:vAlign w:val="center"/>
            <w:tcMar>
              <w:top w:w="90" w:type="dxa"/>
              <w:left w:w="90" w:type="dxa"/>
              <w:bottom w:w="90" w:type="dxa"/>
              <w:right w:w="90" w:type="dxa"/>
            </w:tcMar>
          </w:tcPr>
          <w:p>
            <w:pPr>
              <w:spacing w:after="40" w:line="276" w:lineRule="auto"/>
            </w:pPr>
            <w:r>
              <w:rPr>
                <w:b w:val="0"/>
                <w:i w:val="0"/>
                <w:sz w:val="18"/>
              </w:rPr>
              <w:t>LE1</w:t>
            </w:r>
          </w:p>
        </w:tc>
        <w:tc>
          <w:tcPr>
            <w:tcW w:type="dxa" w:w="2933"/>
            <w:vAlign w:val="center"/>
            <w:tcMar>
              <w:top w:w="90" w:type="dxa"/>
              <w:left w:w="90" w:type="dxa"/>
              <w:bottom w:w="90" w:type="dxa"/>
              <w:right w:w="90" w:type="dxa"/>
            </w:tcMar>
          </w:tcPr>
          <w:p>
            <w:pPr>
              <w:spacing w:after="40" w:line="276" w:lineRule="auto"/>
            </w:pPr>
            <w:r>
              <w:rPr>
                <w:b w:val="0"/>
                <w:i w:val="0"/>
                <w:sz w:val="18"/>
              </w:rPr>
              <w:t>11,223</w:t>
            </w:r>
          </w:p>
        </w:tc>
        <w:tc>
          <w:tcPr>
            <w:tcW w:type="dxa" w:w="2682"/>
            <w:vAlign w:val="center"/>
            <w:tcMar>
              <w:top w:w="90" w:type="dxa"/>
              <w:left w:w="90" w:type="dxa"/>
              <w:bottom w:w="90" w:type="dxa"/>
              <w:right w:w="90" w:type="dxa"/>
            </w:tcMar>
          </w:tcPr>
          <w:p>
            <w:pPr>
              <w:spacing w:after="40" w:line="276" w:lineRule="auto"/>
            </w:pPr>
            <w:r>
              <w:rPr>
                <w:b w:val="0"/>
                <w:i w:val="0"/>
                <w:sz w:val="18"/>
              </w:rPr>
              <w:t>13,917</w:t>
            </w:r>
          </w:p>
        </w:tc>
        <w:tc>
          <w:tcPr>
            <w:tcW w:type="dxa" w:w="2320"/>
            <w:vAlign w:val="center"/>
            <w:tcMar>
              <w:top w:w="90" w:type="dxa"/>
              <w:left w:w="90" w:type="dxa"/>
              <w:bottom w:w="90" w:type="dxa"/>
              <w:right w:w="90" w:type="dxa"/>
            </w:tcMar>
          </w:tcPr>
          <w:p>
            <w:pPr>
              <w:spacing w:after="40" w:line="276" w:lineRule="auto"/>
            </w:pPr>
            <w:r>
              <w:rPr>
                <w:b w:val="0"/>
                <w:i w:val="0"/>
                <w:sz w:val="18"/>
              </w:rPr>
              <w:t>f6,11 + f10,11</w:t>
            </w:r>
          </w:p>
        </w:tc>
      </w:tr>
      <w:tr>
        <w:trPr>
          <w:cantSplit/>
        </w:trPr>
        <w:tc>
          <w:tcPr>
            <w:tcW w:type="dxa" w:w="1857"/>
            <w:vAlign w:val="center"/>
            <w:tcMar>
              <w:top w:w="90" w:type="dxa"/>
              <w:left w:w="90" w:type="dxa"/>
              <w:bottom w:w="90" w:type="dxa"/>
              <w:right w:w="90" w:type="dxa"/>
            </w:tcMar>
          </w:tcPr>
          <w:p>
            <w:pPr>
              <w:spacing w:after="40" w:line="276" w:lineRule="auto"/>
            </w:pPr>
            <w:r>
              <w:rPr>
                <w:b w:val="0"/>
                <w:i w:val="0"/>
                <w:sz w:val="18"/>
              </w:rPr>
              <w:t>B13</w:t>
            </w:r>
          </w:p>
        </w:tc>
        <w:tc>
          <w:tcPr>
            <w:tcW w:type="dxa" w:w="2933"/>
            <w:vAlign w:val="center"/>
            <w:tcMar>
              <w:top w:w="90" w:type="dxa"/>
              <w:left w:w="90" w:type="dxa"/>
              <w:bottom w:w="90" w:type="dxa"/>
              <w:right w:w="90" w:type="dxa"/>
            </w:tcMar>
          </w:tcPr>
          <w:p>
            <w:pPr>
              <w:spacing w:after="40" w:line="276" w:lineRule="auto"/>
            </w:pPr>
            <w:r>
              <w:rPr>
                <w:b w:val="0"/>
                <w:i w:val="0"/>
                <w:sz w:val="18"/>
              </w:rPr>
              <w:t>3,500</w:t>
            </w:r>
          </w:p>
        </w:tc>
        <w:tc>
          <w:tcPr>
            <w:tcW w:type="dxa" w:w="2682"/>
            <w:vAlign w:val="center"/>
            <w:tcMar>
              <w:top w:w="90" w:type="dxa"/>
              <w:left w:w="90" w:type="dxa"/>
              <w:bottom w:w="90" w:type="dxa"/>
              <w:right w:w="90" w:type="dxa"/>
            </w:tcMar>
          </w:tcPr>
          <w:p>
            <w:pPr>
              <w:spacing w:after="40" w:line="276" w:lineRule="auto"/>
            </w:pPr>
            <w:r>
              <w:rPr>
                <w:b w:val="0"/>
                <w:i w:val="0"/>
                <w:sz w:val="18"/>
              </w:rPr>
              <w:t>6,575</w:t>
            </w:r>
          </w:p>
        </w:tc>
        <w:tc>
          <w:tcPr>
            <w:tcW w:type="dxa" w:w="2320"/>
            <w:vAlign w:val="center"/>
            <w:tcMar>
              <w:top w:w="90" w:type="dxa"/>
              <w:left w:w="90" w:type="dxa"/>
              <w:bottom w:w="90" w:type="dxa"/>
              <w:right w:w="90" w:type="dxa"/>
            </w:tcMar>
          </w:tcPr>
          <w:p>
            <w:pPr>
              <w:spacing w:after="40" w:line="276" w:lineRule="auto"/>
            </w:pPr>
            <w:r>
              <w:rPr>
                <w:b w:val="0"/>
                <w:i w:val="0"/>
                <w:sz w:val="18"/>
              </w:rPr>
              <w:t>−f89 + f9,10</w:t>
            </w:r>
          </w:p>
        </w:tc>
      </w:tr>
      <w:tr>
        <w:trPr>
          <w:cantSplit/>
        </w:trPr>
        <w:tc>
          <w:tcPr>
            <w:tcW w:type="dxa" w:w="1857"/>
            <w:vAlign w:val="center"/>
            <w:tcMar>
              <w:top w:w="90" w:type="dxa"/>
              <w:left w:w="90" w:type="dxa"/>
              <w:bottom w:w="90" w:type="dxa"/>
              <w:right w:w="90" w:type="dxa"/>
            </w:tcMar>
          </w:tcPr>
          <w:p>
            <w:pPr>
              <w:spacing w:after="40" w:line="276" w:lineRule="auto"/>
            </w:pPr>
            <w:r>
              <w:rPr>
                <w:b w:val="0"/>
                <w:i w:val="0"/>
                <w:sz w:val="18"/>
              </w:rPr>
              <w:t>Western Link</w:t>
            </w:r>
          </w:p>
        </w:tc>
        <w:tc>
          <w:tcPr>
            <w:tcW w:type="dxa" w:w="2933"/>
            <w:vAlign w:val="center"/>
            <w:tcMar>
              <w:top w:w="90" w:type="dxa"/>
              <w:left w:w="90" w:type="dxa"/>
              <w:bottom w:w="90" w:type="dxa"/>
              <w:right w:w="90" w:type="dxa"/>
            </w:tcMar>
          </w:tcPr>
          <w:p>
            <w:pPr>
              <w:spacing w:after="40" w:line="276" w:lineRule="auto"/>
            </w:pPr>
            <w:r>
              <w:rPr>
                <w:b w:val="0"/>
                <w:i w:val="0"/>
                <w:sz w:val="18"/>
              </w:rPr>
              <w:t>2,200</w:t>
            </w:r>
          </w:p>
        </w:tc>
        <w:tc>
          <w:tcPr>
            <w:tcW w:type="dxa" w:w="2682"/>
            <w:vAlign w:val="center"/>
            <w:tcMar>
              <w:top w:w="90" w:type="dxa"/>
              <w:left w:w="90" w:type="dxa"/>
              <w:bottom w:w="90" w:type="dxa"/>
              <w:right w:w="90" w:type="dxa"/>
            </w:tcMar>
          </w:tcPr>
          <w:p>
            <w:pPr>
              <w:spacing w:after="40" w:line="276" w:lineRule="auto"/>
            </w:pPr>
            <w:r>
              <w:rPr>
                <w:b w:val="0"/>
                <w:i w:val="0"/>
                <w:sz w:val="18"/>
              </w:rPr>
              <w:t>2,200</w:t>
            </w:r>
          </w:p>
        </w:tc>
        <w:tc>
          <w:tcPr>
            <w:tcW w:type="dxa" w:w="2320"/>
            <w:vAlign w:val="center"/>
            <w:tcMar>
              <w:top w:w="90" w:type="dxa"/>
              <w:left w:w="90" w:type="dxa"/>
              <w:bottom w:w="90" w:type="dxa"/>
              <w:right w:w="90" w:type="dxa"/>
            </w:tcMar>
          </w:tcPr>
          <w:p>
            <w:pPr>
              <w:spacing w:after="40" w:line="276" w:lineRule="auto"/>
            </w:pPr>
            <w:r>
              <w:rPr>
                <w:b w:val="0"/>
                <w:i w:val="0"/>
                <w:sz w:val="18"/>
              </w:rPr>
              <w:t>fWL</w:t>
            </w:r>
          </w:p>
        </w:tc>
      </w:tr>
    </w:tbl>
    <w:p>
      <w:pPr>
        <w:spacing w:after="20"/>
      </w:pPr>
    </w:p>
    <w:p>
      <w:r>
        <w:rPr>
          <w:b w:val="0"/>
          <w:i w:val="0"/>
        </w:rPr>
        <w:t>Western Link flow consumes the stated capacity of both B6 and B7a. The 8 geographical boundaries use symmetric reverse capacities, while the Western Link input specifies a bidirectional rating. In the base reduced network, T6, T8 and T10 have identical boundary memberships, leaving modelled transfer between them without a finite upper bound. In its 14-dimensional corridor space, the nodal incidence matrix has rank 10, the geographical boundary matrix rank 8, and the matrix including the HVDC limit rank 9. The 5-dimensional constraint null space contains 3 circulation directions and 2 directions that alter nodal net transfers.</w:t>
      </w:r>
    </w:p>
    <w:p>
      <w:r>
        <w:rPr>
          <w:b w:val="0"/>
          <w:i w:val="0"/>
        </w:rPr>
        <w:t>The thermal-capacity sensitivity adds separate limits to 8 southern corridors while retaining geographical boundaries. Its construction contracts known substations within each zone to the zone node, retains unknown intermediate nodes, excludes other known zones, and calculates corridor capacity by network maximum flow/minimum cut. Parallel line capacities add, while serial paths are limited by their bottlenecks; MVA is converted to MW at an assumed power factor of 1. The ordinary summer and winter inputs are shown below; separate upper-bound sensitivities use their own files.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36"/>
        <w:gridCol w:w="3328"/>
        <w:gridCol w:w="3328"/>
      </w:tblGrid>
      <w:tr>
        <w:trPr>
          <w:cantSplit/>
          <w:tblHeader w:val="true"/>
        </w:trPr>
        <w:tc>
          <w:tcPr>
            <w:tcW w:type="dxa" w:w="3136"/>
            <w:vAlign w:val="center"/>
            <w:tcMar>
              <w:top w:w="90" w:type="dxa"/>
              <w:left w:w="90" w:type="dxa"/>
              <w:bottom w:w="90" w:type="dxa"/>
              <w:right w:w="90" w:type="dxa"/>
            </w:tcMar>
            <w:shd w:fill="EEEEEE"/>
          </w:tcPr>
          <w:p>
            <w:pPr>
              <w:spacing w:after="40" w:line="276" w:lineRule="auto"/>
            </w:pPr>
            <w:r>
              <w:rPr>
                <w:b/>
                <w:i w:val="0"/>
                <w:sz w:val="18"/>
              </w:rPr>
              <w:t>Corridor</w:t>
            </w:r>
          </w:p>
        </w:tc>
        <w:tc>
          <w:tcPr>
            <w:tcW w:type="dxa" w:w="3328"/>
            <w:vAlign w:val="center"/>
            <w:tcMar>
              <w:top w:w="90" w:type="dxa"/>
              <w:left w:w="90" w:type="dxa"/>
              <w:bottom w:w="90" w:type="dxa"/>
              <w:right w:w="90" w:type="dxa"/>
            </w:tcMar>
            <w:shd w:fill="EEEEEE"/>
          </w:tcPr>
          <w:p>
            <w:pPr>
              <w:spacing w:after="40" w:line="276" w:lineRule="auto"/>
            </w:pPr>
            <w:r>
              <w:rPr>
                <w:b/>
                <w:i w:val="0"/>
                <w:sz w:val="18"/>
              </w:rPr>
              <w:t>Summer MW</w:t>
            </w:r>
          </w:p>
        </w:tc>
        <w:tc>
          <w:tcPr>
            <w:tcW w:type="dxa" w:w="3328"/>
            <w:vAlign w:val="center"/>
            <w:tcMar>
              <w:top w:w="90" w:type="dxa"/>
              <w:left w:w="90" w:type="dxa"/>
              <w:bottom w:w="90" w:type="dxa"/>
              <w:right w:w="90" w:type="dxa"/>
            </w:tcMar>
            <w:shd w:fill="EEEEEE"/>
          </w:tcPr>
          <w:p>
            <w:pPr>
              <w:spacing w:after="40" w:line="276" w:lineRule="auto"/>
            </w:pPr>
            <w:r>
              <w:rPr>
                <w:b/>
                <w:i w:val="0"/>
                <w:sz w:val="18"/>
              </w:rPr>
              <w:t>Winter MW</w:t>
            </w:r>
          </w:p>
        </w:tc>
      </w:tr>
      <w:tr>
        <w:trPr>
          <w:cantSplit/>
        </w:trPr>
        <w:tc>
          <w:tcPr>
            <w:tcW w:type="dxa" w:w="3136"/>
            <w:vAlign w:val="center"/>
            <w:tcMar>
              <w:top w:w="90" w:type="dxa"/>
              <w:left w:w="90" w:type="dxa"/>
              <w:bottom w:w="90" w:type="dxa"/>
              <w:right w:w="90" w:type="dxa"/>
            </w:tcMar>
          </w:tcPr>
          <w:p>
            <w:pPr>
              <w:spacing w:after="40" w:line="276" w:lineRule="auto"/>
            </w:pPr>
            <w:r>
              <w:rPr>
                <w:b w:val="0"/>
                <w:i w:val="0"/>
                <w:sz w:val="18"/>
              </w:rPr>
              <w:t>T5–T6</w:t>
            </w:r>
          </w:p>
        </w:tc>
        <w:tc>
          <w:tcPr>
            <w:tcW w:type="dxa" w:w="3328"/>
            <w:vAlign w:val="center"/>
            <w:tcMar>
              <w:top w:w="90" w:type="dxa"/>
              <w:left w:w="90" w:type="dxa"/>
              <w:bottom w:w="90" w:type="dxa"/>
              <w:right w:w="90" w:type="dxa"/>
            </w:tcMar>
          </w:tcPr>
          <w:p>
            <w:pPr>
              <w:spacing w:after="40" w:line="276" w:lineRule="auto"/>
            </w:pPr>
            <w:r>
              <w:rPr>
                <w:b w:val="0"/>
                <w:i w:val="0"/>
                <w:sz w:val="18"/>
              </w:rPr>
              <w:t>19,086</w:t>
            </w:r>
          </w:p>
        </w:tc>
        <w:tc>
          <w:tcPr>
            <w:tcW w:type="dxa" w:w="3328"/>
            <w:vAlign w:val="center"/>
            <w:tcMar>
              <w:top w:w="90" w:type="dxa"/>
              <w:left w:w="90" w:type="dxa"/>
              <w:bottom w:w="90" w:type="dxa"/>
              <w:right w:w="90" w:type="dxa"/>
            </w:tcMar>
          </w:tcPr>
          <w:p>
            <w:pPr>
              <w:spacing w:after="40" w:line="276" w:lineRule="auto"/>
            </w:pPr>
            <w:r>
              <w:rPr>
                <w:b w:val="0"/>
                <w:i w:val="0"/>
                <w:sz w:val="18"/>
              </w:rPr>
              <w:t>21,052</w:t>
            </w:r>
          </w:p>
        </w:tc>
      </w:tr>
      <w:tr>
        <w:trPr>
          <w:cantSplit/>
        </w:trPr>
        <w:tc>
          <w:tcPr>
            <w:tcW w:type="dxa" w:w="3136"/>
            <w:vAlign w:val="center"/>
            <w:tcMar>
              <w:top w:w="90" w:type="dxa"/>
              <w:left w:w="90" w:type="dxa"/>
              <w:bottom w:w="90" w:type="dxa"/>
              <w:right w:w="90" w:type="dxa"/>
            </w:tcMar>
          </w:tcPr>
          <w:p>
            <w:pPr>
              <w:spacing w:after="40" w:line="276" w:lineRule="auto"/>
            </w:pPr>
            <w:r>
              <w:rPr>
                <w:b w:val="0"/>
                <w:i w:val="0"/>
                <w:sz w:val="18"/>
              </w:rPr>
              <w:t>T5–T8</w:t>
            </w:r>
          </w:p>
        </w:tc>
        <w:tc>
          <w:tcPr>
            <w:tcW w:type="dxa" w:w="3328"/>
            <w:vAlign w:val="center"/>
            <w:tcMar>
              <w:top w:w="90" w:type="dxa"/>
              <w:left w:w="90" w:type="dxa"/>
              <w:bottom w:w="90" w:type="dxa"/>
              <w:right w:w="90" w:type="dxa"/>
            </w:tcMar>
          </w:tcPr>
          <w:p>
            <w:pPr>
              <w:spacing w:after="40" w:line="276" w:lineRule="auto"/>
            </w:pPr>
            <w:r>
              <w:rPr>
                <w:b w:val="0"/>
                <w:i w:val="0"/>
                <w:sz w:val="18"/>
              </w:rPr>
              <w:t>3,424</w:t>
            </w:r>
          </w:p>
        </w:tc>
        <w:tc>
          <w:tcPr>
            <w:tcW w:type="dxa" w:w="3328"/>
            <w:vAlign w:val="center"/>
            <w:tcMar>
              <w:top w:w="90" w:type="dxa"/>
              <w:left w:w="90" w:type="dxa"/>
              <w:bottom w:w="90" w:type="dxa"/>
              <w:right w:w="90" w:type="dxa"/>
            </w:tcMar>
          </w:tcPr>
          <w:p>
            <w:pPr>
              <w:spacing w:after="40" w:line="276" w:lineRule="auto"/>
            </w:pPr>
            <w:r>
              <w:rPr>
                <w:b w:val="0"/>
                <w:i w:val="0"/>
                <w:sz w:val="18"/>
              </w:rPr>
              <w:t>3,934</w:t>
            </w:r>
          </w:p>
        </w:tc>
      </w:tr>
      <w:tr>
        <w:trPr>
          <w:cantSplit/>
        </w:trPr>
        <w:tc>
          <w:tcPr>
            <w:tcW w:type="dxa" w:w="3136"/>
            <w:vAlign w:val="center"/>
            <w:tcMar>
              <w:top w:w="90" w:type="dxa"/>
              <w:left w:w="90" w:type="dxa"/>
              <w:bottom w:w="90" w:type="dxa"/>
              <w:right w:w="90" w:type="dxa"/>
            </w:tcMar>
          </w:tcPr>
          <w:p>
            <w:pPr>
              <w:spacing w:after="40" w:line="276" w:lineRule="auto"/>
            </w:pPr>
            <w:r>
              <w:rPr>
                <w:b w:val="0"/>
                <w:i w:val="0"/>
                <w:sz w:val="18"/>
              </w:rPr>
              <w:t>T6–T8</w:t>
            </w:r>
          </w:p>
        </w:tc>
        <w:tc>
          <w:tcPr>
            <w:tcW w:type="dxa" w:w="3328"/>
            <w:vAlign w:val="center"/>
            <w:tcMar>
              <w:top w:w="90" w:type="dxa"/>
              <w:left w:w="90" w:type="dxa"/>
              <w:bottom w:w="90" w:type="dxa"/>
              <w:right w:w="90" w:type="dxa"/>
            </w:tcMar>
          </w:tcPr>
          <w:p>
            <w:pPr>
              <w:spacing w:after="40" w:line="276" w:lineRule="auto"/>
            </w:pPr>
            <w:r>
              <w:rPr>
                <w:b w:val="0"/>
                <w:i w:val="0"/>
                <w:sz w:val="18"/>
              </w:rPr>
              <w:t>4,436</w:t>
            </w:r>
          </w:p>
        </w:tc>
        <w:tc>
          <w:tcPr>
            <w:tcW w:type="dxa" w:w="3328"/>
            <w:vAlign w:val="center"/>
            <w:tcMar>
              <w:top w:w="90" w:type="dxa"/>
              <w:left w:w="90" w:type="dxa"/>
              <w:bottom w:w="90" w:type="dxa"/>
              <w:right w:w="90" w:type="dxa"/>
            </w:tcMar>
          </w:tcPr>
          <w:p>
            <w:pPr>
              <w:spacing w:after="40" w:line="276" w:lineRule="auto"/>
            </w:pPr>
            <w:r>
              <w:rPr>
                <w:b w:val="0"/>
                <w:i w:val="0"/>
                <w:sz w:val="18"/>
              </w:rPr>
              <w:t>5,558</w:t>
            </w:r>
          </w:p>
        </w:tc>
      </w:tr>
      <w:tr>
        <w:trPr>
          <w:cantSplit/>
        </w:trPr>
        <w:tc>
          <w:tcPr>
            <w:tcW w:type="dxa" w:w="3136"/>
            <w:vAlign w:val="center"/>
            <w:tcMar>
              <w:top w:w="90" w:type="dxa"/>
              <w:left w:w="90" w:type="dxa"/>
              <w:bottom w:w="90" w:type="dxa"/>
              <w:right w:w="90" w:type="dxa"/>
            </w:tcMar>
          </w:tcPr>
          <w:p>
            <w:pPr>
              <w:spacing w:after="40" w:line="276" w:lineRule="auto"/>
            </w:pPr>
            <w:r>
              <w:rPr>
                <w:b w:val="0"/>
                <w:i w:val="0"/>
                <w:sz w:val="18"/>
              </w:rPr>
              <w:t>T6–T11</w:t>
            </w:r>
          </w:p>
        </w:tc>
        <w:tc>
          <w:tcPr>
            <w:tcW w:type="dxa" w:w="3328"/>
            <w:vAlign w:val="center"/>
            <w:tcMar>
              <w:top w:w="90" w:type="dxa"/>
              <w:left w:w="90" w:type="dxa"/>
              <w:bottom w:w="90" w:type="dxa"/>
              <w:right w:w="90" w:type="dxa"/>
            </w:tcMar>
          </w:tcPr>
          <w:p>
            <w:pPr>
              <w:spacing w:after="40" w:line="276" w:lineRule="auto"/>
            </w:pPr>
            <w:r>
              <w:rPr>
                <w:b w:val="0"/>
                <w:i w:val="0"/>
                <w:sz w:val="18"/>
              </w:rPr>
              <w:t>16,684</w:t>
            </w:r>
          </w:p>
        </w:tc>
        <w:tc>
          <w:tcPr>
            <w:tcW w:type="dxa" w:w="3328"/>
            <w:vAlign w:val="center"/>
            <w:tcMar>
              <w:top w:w="90" w:type="dxa"/>
              <w:left w:w="90" w:type="dxa"/>
              <w:bottom w:w="90" w:type="dxa"/>
              <w:right w:w="90" w:type="dxa"/>
            </w:tcMar>
          </w:tcPr>
          <w:p>
            <w:pPr>
              <w:spacing w:after="40" w:line="276" w:lineRule="auto"/>
            </w:pPr>
            <w:r>
              <w:rPr>
                <w:b w:val="0"/>
                <w:i w:val="0"/>
                <w:sz w:val="18"/>
              </w:rPr>
              <w:t>19,849</w:t>
            </w:r>
          </w:p>
        </w:tc>
      </w:tr>
      <w:tr>
        <w:trPr>
          <w:cantSplit/>
        </w:trPr>
        <w:tc>
          <w:tcPr>
            <w:tcW w:type="dxa" w:w="3136"/>
            <w:vAlign w:val="center"/>
            <w:tcMar>
              <w:top w:w="90" w:type="dxa"/>
              <w:left w:w="90" w:type="dxa"/>
              <w:bottom w:w="90" w:type="dxa"/>
              <w:right w:w="90" w:type="dxa"/>
            </w:tcMar>
          </w:tcPr>
          <w:p>
            <w:pPr>
              <w:spacing w:after="40" w:line="276" w:lineRule="auto"/>
            </w:pPr>
            <w:r>
              <w:rPr>
                <w:b w:val="0"/>
                <w:i w:val="0"/>
                <w:sz w:val="18"/>
              </w:rPr>
              <w:t>T8–T9</w:t>
            </w:r>
          </w:p>
        </w:tc>
        <w:tc>
          <w:tcPr>
            <w:tcW w:type="dxa" w:w="3328"/>
            <w:vAlign w:val="center"/>
            <w:tcMar>
              <w:top w:w="90" w:type="dxa"/>
              <w:left w:w="90" w:type="dxa"/>
              <w:bottom w:w="90" w:type="dxa"/>
              <w:right w:w="90" w:type="dxa"/>
            </w:tcMar>
          </w:tcPr>
          <w:p>
            <w:pPr>
              <w:spacing w:after="40" w:line="276" w:lineRule="auto"/>
            </w:pPr>
            <w:r>
              <w:rPr>
                <w:b w:val="0"/>
                <w:i w:val="0"/>
                <w:sz w:val="18"/>
              </w:rPr>
              <w:t>8,088</w:t>
            </w:r>
          </w:p>
        </w:tc>
        <w:tc>
          <w:tcPr>
            <w:tcW w:type="dxa" w:w="3328"/>
            <w:vAlign w:val="center"/>
            <w:tcMar>
              <w:top w:w="90" w:type="dxa"/>
              <w:left w:w="90" w:type="dxa"/>
              <w:bottom w:w="90" w:type="dxa"/>
              <w:right w:w="90" w:type="dxa"/>
            </w:tcMar>
          </w:tcPr>
          <w:p>
            <w:pPr>
              <w:spacing w:after="40" w:line="276" w:lineRule="auto"/>
            </w:pPr>
            <w:r>
              <w:rPr>
                <w:b w:val="0"/>
                <w:i w:val="0"/>
                <w:sz w:val="18"/>
              </w:rPr>
              <w:t>9,217</w:t>
            </w:r>
          </w:p>
        </w:tc>
      </w:tr>
      <w:tr>
        <w:trPr>
          <w:cantSplit/>
        </w:trPr>
        <w:tc>
          <w:tcPr>
            <w:tcW w:type="dxa" w:w="3136"/>
            <w:vAlign w:val="center"/>
            <w:tcMar>
              <w:top w:w="90" w:type="dxa"/>
              <w:left w:w="90" w:type="dxa"/>
              <w:bottom w:w="90" w:type="dxa"/>
              <w:right w:w="90" w:type="dxa"/>
            </w:tcMar>
          </w:tcPr>
          <w:p>
            <w:pPr>
              <w:spacing w:after="40" w:line="276" w:lineRule="auto"/>
            </w:pPr>
            <w:r>
              <w:rPr>
                <w:b w:val="0"/>
                <w:i w:val="0"/>
                <w:sz w:val="18"/>
              </w:rPr>
              <w:t>T8–T10</w:t>
            </w:r>
          </w:p>
        </w:tc>
        <w:tc>
          <w:tcPr>
            <w:tcW w:type="dxa" w:w="3328"/>
            <w:vAlign w:val="center"/>
            <w:tcMar>
              <w:top w:w="90" w:type="dxa"/>
              <w:left w:w="90" w:type="dxa"/>
              <w:bottom w:w="90" w:type="dxa"/>
              <w:right w:w="90" w:type="dxa"/>
            </w:tcMar>
          </w:tcPr>
          <w:p>
            <w:pPr>
              <w:spacing w:after="40" w:line="276" w:lineRule="auto"/>
            </w:pPr>
            <w:r>
              <w:rPr>
                <w:b w:val="0"/>
                <w:i w:val="0"/>
                <w:sz w:val="18"/>
              </w:rPr>
              <w:t>6,470</w:t>
            </w:r>
          </w:p>
        </w:tc>
        <w:tc>
          <w:tcPr>
            <w:tcW w:type="dxa" w:w="3328"/>
            <w:vAlign w:val="center"/>
            <w:tcMar>
              <w:top w:w="90" w:type="dxa"/>
              <w:left w:w="90" w:type="dxa"/>
              <w:bottom w:w="90" w:type="dxa"/>
              <w:right w:w="90" w:type="dxa"/>
            </w:tcMar>
          </w:tcPr>
          <w:p>
            <w:pPr>
              <w:spacing w:after="40" w:line="276" w:lineRule="auto"/>
            </w:pPr>
            <w:r>
              <w:rPr>
                <w:b w:val="0"/>
                <w:i w:val="0"/>
                <w:sz w:val="18"/>
              </w:rPr>
              <w:t>7,834</w:t>
            </w:r>
          </w:p>
        </w:tc>
      </w:tr>
      <w:tr>
        <w:trPr>
          <w:cantSplit/>
        </w:trPr>
        <w:tc>
          <w:tcPr>
            <w:tcW w:type="dxa" w:w="3136"/>
            <w:vAlign w:val="center"/>
            <w:tcMar>
              <w:top w:w="90" w:type="dxa"/>
              <w:left w:w="90" w:type="dxa"/>
              <w:bottom w:w="90" w:type="dxa"/>
              <w:right w:w="90" w:type="dxa"/>
            </w:tcMar>
          </w:tcPr>
          <w:p>
            <w:pPr>
              <w:spacing w:after="40" w:line="276" w:lineRule="auto"/>
            </w:pPr>
            <w:r>
              <w:rPr>
                <w:b w:val="0"/>
                <w:i w:val="0"/>
                <w:sz w:val="18"/>
              </w:rPr>
              <w:t>T9–T10</w:t>
            </w:r>
          </w:p>
        </w:tc>
        <w:tc>
          <w:tcPr>
            <w:tcW w:type="dxa" w:w="3328"/>
            <w:vAlign w:val="center"/>
            <w:tcMar>
              <w:top w:w="90" w:type="dxa"/>
              <w:left w:w="90" w:type="dxa"/>
              <w:bottom w:w="90" w:type="dxa"/>
              <w:right w:w="90" w:type="dxa"/>
            </w:tcMar>
          </w:tcPr>
          <w:p>
            <w:pPr>
              <w:spacing w:after="40" w:line="276" w:lineRule="auto"/>
            </w:pPr>
            <w:r>
              <w:rPr>
                <w:b w:val="0"/>
                <w:i w:val="0"/>
                <w:sz w:val="18"/>
              </w:rPr>
              <w:t>4,434</w:t>
            </w:r>
          </w:p>
        </w:tc>
        <w:tc>
          <w:tcPr>
            <w:tcW w:type="dxa" w:w="3328"/>
            <w:vAlign w:val="center"/>
            <w:tcMar>
              <w:top w:w="90" w:type="dxa"/>
              <w:left w:w="90" w:type="dxa"/>
              <w:bottom w:w="90" w:type="dxa"/>
              <w:right w:w="90" w:type="dxa"/>
            </w:tcMar>
          </w:tcPr>
          <w:p>
            <w:pPr>
              <w:spacing w:after="40" w:line="276" w:lineRule="auto"/>
            </w:pPr>
            <w:r>
              <w:rPr>
                <w:b w:val="0"/>
                <w:i w:val="0"/>
                <w:sz w:val="18"/>
              </w:rPr>
              <w:t>5,558</w:t>
            </w:r>
          </w:p>
        </w:tc>
      </w:tr>
      <w:tr>
        <w:trPr>
          <w:cantSplit/>
        </w:trPr>
        <w:tc>
          <w:tcPr>
            <w:tcW w:type="dxa" w:w="3136"/>
            <w:vAlign w:val="center"/>
            <w:tcMar>
              <w:top w:w="90" w:type="dxa"/>
              <w:left w:w="90" w:type="dxa"/>
              <w:bottom w:w="90" w:type="dxa"/>
              <w:right w:w="90" w:type="dxa"/>
            </w:tcMar>
          </w:tcPr>
          <w:p>
            <w:pPr>
              <w:spacing w:after="40" w:line="276" w:lineRule="auto"/>
            </w:pPr>
            <w:r>
              <w:rPr>
                <w:b w:val="0"/>
                <w:i w:val="0"/>
                <w:sz w:val="18"/>
              </w:rPr>
              <w:t>T10–T11</w:t>
            </w:r>
          </w:p>
        </w:tc>
        <w:tc>
          <w:tcPr>
            <w:tcW w:type="dxa" w:w="3328"/>
            <w:vAlign w:val="center"/>
            <w:tcMar>
              <w:top w:w="90" w:type="dxa"/>
              <w:left w:w="90" w:type="dxa"/>
              <w:bottom w:w="90" w:type="dxa"/>
              <w:right w:w="90" w:type="dxa"/>
            </w:tcMar>
          </w:tcPr>
          <w:p>
            <w:pPr>
              <w:spacing w:after="40" w:line="276" w:lineRule="auto"/>
            </w:pPr>
            <w:r>
              <w:rPr>
                <w:b w:val="0"/>
                <w:i w:val="0"/>
                <w:sz w:val="18"/>
              </w:rPr>
              <w:t>6,587</w:t>
            </w:r>
          </w:p>
        </w:tc>
        <w:tc>
          <w:tcPr>
            <w:tcW w:type="dxa" w:w="3328"/>
            <w:vAlign w:val="center"/>
            <w:tcMar>
              <w:top w:w="90" w:type="dxa"/>
              <w:left w:w="90" w:type="dxa"/>
              <w:bottom w:w="90" w:type="dxa"/>
              <w:right w:w="90" w:type="dxa"/>
            </w:tcMar>
          </w:tcPr>
          <w:p>
            <w:pPr>
              <w:spacing w:after="40" w:line="276" w:lineRule="auto"/>
            </w:pPr>
            <w:r>
              <w:rPr>
                <w:b w:val="0"/>
                <w:i w:val="0"/>
                <w:sz w:val="18"/>
              </w:rPr>
              <w:t>7,500</w:t>
            </w:r>
          </w:p>
        </w:tc>
      </w:tr>
    </w:tbl>
    <w:p>
      <w:pPr>
        <w:spacing w:after="20"/>
      </w:pPr>
    </w:p>
    <w:p>
      <w:pPr>
        <w:pStyle w:val="Heading2"/>
      </w:pPr>
      <w:r>
        <w:rPr>
          <w:b w:val="0"/>
          <w:i w:val="0"/>
        </w:rPr>
        <w:t>DC network dispatch</w:t>
      </w:r>
    </w:p>
    <w:p>
      <w:pPr>
        <w:keepNext/>
      </w:pPr>
      <w:r>
        <w:rPr>
          <w:b w:val="0"/>
          <w:i w:val="0"/>
        </w:rPr>
        <w:t xml:space="preserve">The DC network module jointly selects generation, storage operation and nodal voltage angles over the complete chronology. </w:t>
      </w:r>
      <w:r>
        <w:rPr>
          <w:rFonts w:ascii="DejaVu Sans Mono" w:hAnsi="DejaVu Sans Mono"/>
          <w:b w:val="0"/>
          <w:i w:val="0"/>
          <w:sz w:val="17"/>
        </w:rPr>
        <w:t>ReferenceDCNetworkPSM</w:t>
      </w:r>
      <w:r>
        <w:rPr>
          <w:b w:val="0"/>
          <w:i w:val="0"/>
        </w:rPr>
        <w:t xml:space="preserve"> builds the variable blocks </w:t>
      </w:r>
      <w:r>
        <w:rPr>
          <w:rFonts w:ascii="DejaVu Sans Mono" w:hAnsi="DejaVu Sans Mono"/>
          <w:b w:val="0"/>
          <w:i w:val="0"/>
          <w:sz w:val="17"/>
        </w:rPr>
        <w:t>generation</w:t>
      </w:r>
      <w:r>
        <w:rPr>
          <w:b w:val="0"/>
          <w:i w:val="0"/>
        </w:rPr>
        <w:t xml:space="preserve">, </w:t>
      </w:r>
      <w:r>
        <w:rPr>
          <w:rFonts w:ascii="DejaVu Sans Mono" w:hAnsi="DejaVu Sans Mono"/>
          <w:b w:val="0"/>
          <w:i w:val="0"/>
          <w:sz w:val="17"/>
        </w:rPr>
        <w:t>charge</w:t>
      </w:r>
      <w:r>
        <w:rPr>
          <w:b w:val="0"/>
          <w:i w:val="0"/>
        </w:rPr>
        <w:t xml:space="preserve">, </w:t>
      </w:r>
      <w:r>
        <w:rPr>
          <w:rFonts w:ascii="DejaVu Sans Mono" w:hAnsi="DejaVu Sans Mono"/>
          <w:b w:val="0"/>
          <w:i w:val="0"/>
          <w:sz w:val="17"/>
        </w:rPr>
        <w:t>discharge</w:t>
      </w:r>
      <w:r>
        <w:rPr>
          <w:b w:val="0"/>
          <w:i w:val="0"/>
        </w:rPr>
        <w:t xml:space="preserve">, </w:t>
      </w:r>
      <w:r>
        <w:rPr>
          <w:rFonts w:ascii="DejaVu Sans Mono" w:hAnsi="DejaVu Sans Mono"/>
          <w:b w:val="0"/>
          <w:i w:val="0"/>
          <w:sz w:val="17"/>
        </w:rPr>
        <w:t>soc</w:t>
      </w:r>
      <w:r>
        <w:rPr>
          <w:b w:val="0"/>
          <w:i w:val="0"/>
        </w:rPr>
        <w:t xml:space="preserve">, </w:t>
      </w:r>
      <w:r>
        <w:rPr>
          <w:rFonts w:ascii="DejaVu Sans Mono" w:hAnsi="DejaVu Sans Mono"/>
          <w:b w:val="0"/>
          <w:i w:val="0"/>
          <w:sz w:val="17"/>
        </w:rPr>
        <w:t>blackout</w:t>
      </w:r>
      <w:r>
        <w:rPr>
          <w:b w:val="0"/>
          <w:i w:val="0"/>
        </w:rPr>
        <w:t xml:space="preserve">, </w:t>
      </w:r>
      <w:r>
        <w:rPr>
          <w:rFonts w:ascii="DejaVu Sans Mono" w:hAnsi="DejaVu Sans Mono"/>
          <w:b w:val="0"/>
          <w:i w:val="0"/>
          <w:sz w:val="17"/>
        </w:rPr>
        <w:t>angle</w:t>
      </w:r>
      <w:r>
        <w:rPr>
          <w:b w:val="0"/>
          <w:i w:val="0"/>
        </w:rPr>
        <w:t xml:space="preserve"> and </w:t>
      </w:r>
      <w:r>
        <w:rPr>
          <w:rFonts w:ascii="DejaVu Sans Mono" w:hAnsi="DejaVu Sans Mono"/>
          <w:b w:val="0"/>
          <w:i w:val="0"/>
          <w:sz w:val="17"/>
        </w:rPr>
        <w:t>flow</w:t>
      </w:r>
      <w:r>
        <w:rPr>
          <w:b w:val="0"/>
          <w:i w:val="0"/>
        </w:rPr>
        <w:t xml:space="preserve"> in </w:t>
      </w:r>
      <w:r>
        <w:rPr>
          <w:rFonts w:ascii="DejaVu Sans Mono" w:hAnsi="DejaVu Sans Mono"/>
          <w:b w:val="0"/>
          <w:i w:val="0"/>
          <w:sz w:val="17"/>
        </w:rPr>
        <w:t>layout</w:t>
      </w:r>
      <w:r>
        <w:rPr>
          <w:b w:val="0"/>
          <w:i w:val="0"/>
        </w:rPr>
        <w:t xml:space="preserve">. Their solved values carry those names in the equations: the first five are MWh, </w:t>
      </w:r>
      <w:r>
        <w:rPr>
          <w:rFonts w:ascii="DejaVu Sans Mono" w:hAnsi="DejaVu Sans Mono"/>
          <w:b w:val="0"/>
          <w:i w:val="0"/>
          <w:sz w:val="17"/>
        </w:rPr>
        <w:t>angle</w:t>
      </w:r>
      <w:r>
        <w:rPr>
          <w:b w:val="0"/>
          <w:i w:val="0"/>
        </w:rPr>
        <w:t xml:space="preserve"> is radians and </w:t>
      </w:r>
      <w:r>
        <w:rPr>
          <w:rFonts w:ascii="DejaVu Sans Mono" w:hAnsi="DejaVu Sans Mono"/>
          <w:b w:val="0"/>
          <w:i w:val="0"/>
          <w:sz w:val="17"/>
        </w:rPr>
        <w:t>flow</w:t>
      </w:r>
      <w:r>
        <w:rPr>
          <w:b w:val="0"/>
          <w:i w:val="0"/>
        </w:rPr>
        <w:t xml:space="preserve"> is MW. Resource, storage, bus, branch and period indices are </w:t>
      </w:r>
      <w:r>
        <w:drawing>
          <wp:inline xmlns:a="http://schemas.openxmlformats.org/drawingml/2006/main" xmlns:pic="http://schemas.openxmlformats.org/drawingml/2006/picture">
            <wp:extent cx="636339" cy="147016"/>
            <wp:docPr id="153" name="Picture 153"/>
            <wp:cNvGraphicFramePr>
              <a:graphicFrameLocks noChangeAspect="1"/>
            </wp:cNvGraphicFramePr>
            <a:graphic>
              <a:graphicData uri="http://schemas.openxmlformats.org/drawingml/2006/picture">
                <pic:pic>
                  <pic:nvPicPr>
                    <pic:cNvPr id="0" name="eq-153.png"/>
                    <pic:cNvPicPr/>
                  </pic:nvPicPr>
                  <pic:blipFill>
                    <a:blip r:embed="rId149"/>
                    <a:stretch>
                      <a:fillRect/>
                    </a:stretch>
                  </pic:blipFill>
                  <pic:spPr>
                    <a:xfrm>
                      <a:off x="0" y="0"/>
                      <a:ext cx="636339" cy="147016"/>
                    </a:xfrm>
                    <a:prstGeom prst="rect"/>
                  </pic:spPr>
                </pic:pic>
              </a:graphicData>
            </a:graphic>
          </wp:inline>
        </w:drawing>
      </w:r>
      <w:r>
        <w:rPr>
          <w:b w:val="0"/>
          <w:i w:val="0"/>
        </w:rPr>
        <w:t xml:space="preserve">. </w:t>
      </w:r>
      <w:r>
        <w:rPr>
          <w:rFonts w:ascii="DejaVu Sans Mono" w:hAnsi="DejaVu Sans Mono"/>
          <w:b w:val="0"/>
          <w:i w:val="0"/>
          <w:sz w:val="17"/>
        </w:rPr>
        <w:t>marginal_costs</w:t>
      </w:r>
      <w:r>
        <w:rPr>
          <w:b w:val="0"/>
          <w:i w:val="0"/>
        </w:rPr>
        <w:t xml:space="preserve">, </w:t>
      </w:r>
      <w:r>
        <w:rPr>
          <w:rFonts w:ascii="DejaVu Sans Mono" w:hAnsi="DejaVu Sans Mono"/>
          <w:b w:val="0"/>
          <w:i w:val="0"/>
          <w:sz w:val="17"/>
        </w:rPr>
        <w:t>variable_​degradation_​gbp_​per_​mwh_​discharged</w:t>
      </w:r>
      <w:r>
        <w:rPr>
          <w:b w:val="0"/>
          <w:i w:val="0"/>
        </w:rPr>
        <w:t xml:space="preserve"> and </w:t>
      </w:r>
      <w:r>
        <w:rPr>
          <w:rFonts w:ascii="DejaVu Sans Mono" w:hAnsi="DejaVu Sans Mono"/>
          <w:b w:val="0"/>
          <w:i w:val="0"/>
          <w:sz w:val="17"/>
        </w:rPr>
        <w:t>voll_gbp_per_mwh</w:t>
      </w:r>
      <w:r>
        <w:rPr>
          <w:b w:val="0"/>
          <w:i w:val="0"/>
        </w:rPr>
        <w:t xml:space="preserve"> are GBP/MWh. With fixed assets, operating expenditure is</w:t>
      </w:r>
    </w:p>
    <w:p>
      <w:pPr>
        <w:spacing w:after="160"/>
        <w:jc w:val="center"/>
      </w:pPr>
      <w:r>
        <w:drawing>
          <wp:inline xmlns:a="http://schemas.openxmlformats.org/drawingml/2006/main" xmlns:pic="http://schemas.openxmlformats.org/drawingml/2006/picture">
            <wp:extent cx="5594299" cy="1268834"/>
            <wp:docPr id="154" name="Picture 154"/>
            <wp:cNvGraphicFramePr>
              <a:graphicFrameLocks noChangeAspect="1"/>
            </wp:cNvGraphicFramePr>
            <a:graphic>
              <a:graphicData uri="http://schemas.openxmlformats.org/drawingml/2006/picture">
                <pic:pic>
                  <pic:nvPicPr>
                    <pic:cNvPr id="0" name="eq-154.png"/>
                    <pic:cNvPicPr/>
                  </pic:nvPicPr>
                  <pic:blipFill>
                    <a:blip r:embed="rId150"/>
                    <a:stretch>
                      <a:fillRect/>
                    </a:stretch>
                  </pic:blipFill>
                  <pic:spPr>
                    <a:xfrm>
                      <a:off x="0" y="0"/>
                      <a:ext cx="5594299" cy="1268834"/>
                    </a:xfrm>
                    <a:prstGeom prst="rect"/>
                  </pic:spPr>
                </pic:pic>
              </a:graphicData>
            </a:graphic>
          </wp:inline>
        </w:drawing>
      </w:r>
    </w:p>
    <w:p>
      <w:r>
        <w:rPr>
          <w:b w:val="0"/>
          <w:i w:val="0"/>
        </w:rPr>
        <w:t xml:space="preserve">Assets mapped to several buses become independent location-specific units through </w:t>
      </w:r>
      <w:r>
        <w:rPr>
          <w:rFonts w:ascii="DejaVu Sans Mono" w:hAnsi="DejaVu Sans Mono"/>
          <w:b w:val="0"/>
          <w:i w:val="0"/>
          <w:sz w:val="17"/>
        </w:rPr>
        <w:t>expand_share_mappings</w:t>
      </w:r>
      <w:r>
        <w:rPr>
          <w:b w:val="0"/>
          <w:i w:val="0"/>
        </w:rPr>
        <w:t xml:space="preserve">. The mapping field </w:t>
      </w:r>
      <w:r>
        <w:rPr>
          <w:rFonts w:ascii="DejaVu Sans Mono" w:hAnsi="DejaVu Sans Mono"/>
          <w:b w:val="0"/>
          <w:i w:val="0"/>
          <w:sz w:val="17"/>
        </w:rPr>
        <w:t>share</w:t>
      </w:r>
      <w:r>
        <w:rPr>
          <w:b w:val="0"/>
          <w:i w:val="0"/>
        </w:rPr>
        <w:t xml:space="preserve"> sums to 1 for each asset and scales its generation capacity, storage charge and discharge power, energy capacity and initial inventory. The solver dispatches these units at their assigned buses and aggregates their outputs by original asset. VoLL reads </w:t>
      </w:r>
      <w:r>
        <w:rPr>
          <w:rFonts w:ascii="DejaVu Sans Mono" w:hAnsi="DejaVu Sans Mono"/>
          <w:b w:val="0"/>
          <w:i w:val="0"/>
          <w:sz w:val="17"/>
        </w:rPr>
        <w:t>market.voll_gbp_per_mwh</w:t>
      </w:r>
      <w:r>
        <w:rPr>
          <w:b w:val="0"/>
          <w:i w:val="0"/>
        </w:rPr>
        <w:t>, default 17,000 GBP/MWh.</w:t>
      </w:r>
    </w:p>
    <w:p>
      <w:pPr>
        <w:keepNext/>
      </w:pPr>
      <w:r>
        <w:rPr>
          <w:b w:val="0"/>
          <w:i w:val="0"/>
        </w:rPr>
        <w:t xml:space="preserve">Nodal conservation converts branch power to energy using </w:t>
      </w:r>
      <w:r>
        <w:rPr>
          <w:rFonts w:ascii="DejaVu Sans Mono" w:hAnsi="DejaVu Sans Mono"/>
          <w:b w:val="0"/>
          <w:i w:val="0"/>
          <w:sz w:val="17"/>
        </w:rPr>
        <w:t>period_hours</w:t>
      </w:r>
      <w:r>
        <w:rPr>
          <w:b w:val="0"/>
          <w:i w:val="0"/>
        </w:rPr>
        <w:t xml:space="preserve">. For units located at bus </w:t>
      </w:r>
      <w:r>
        <w:drawing>
          <wp:inline xmlns:a="http://schemas.openxmlformats.org/drawingml/2006/main" xmlns:pic="http://schemas.openxmlformats.org/drawingml/2006/picture">
            <wp:extent cx="99094" cy="74871"/>
            <wp:docPr id="155" name="Picture 155"/>
            <wp:cNvGraphicFramePr>
              <a:graphicFrameLocks noChangeAspect="1"/>
            </wp:cNvGraphicFramePr>
            <a:graphic>
              <a:graphicData uri="http://schemas.openxmlformats.org/drawingml/2006/picture">
                <pic:pic>
                  <pic:nvPicPr>
                    <pic:cNvPr id="0" name="eq-155.png"/>
                    <pic:cNvPicPr/>
                  </pic:nvPicPr>
                  <pic:blipFill>
                    <a:blip r:embed="rId151"/>
                    <a:stretch>
                      <a:fillRect/>
                    </a:stretch>
                  </pic:blipFill>
                  <pic:spPr>
                    <a:xfrm>
                      <a:off x="0" y="0"/>
                      <a:ext cx="99094" cy="74871"/>
                    </a:xfrm>
                    <a:prstGeom prst="rect"/>
                  </pic:spPr>
                </pic:pic>
              </a:graphicData>
            </a:graphic>
          </wp:inline>
        </w:drawing>
      </w:r>
      <w:r>
        <w:rPr>
          <w:b w:val="0"/>
          <w:i w:val="0"/>
        </w:rPr>
        <w:t>,</w:t>
      </w:r>
    </w:p>
    <w:p>
      <w:pPr>
        <w:spacing w:after="160"/>
        <w:jc w:val="center"/>
      </w:pPr>
      <w:r>
        <w:drawing>
          <wp:inline xmlns:a="http://schemas.openxmlformats.org/drawingml/2006/main" xmlns:pic="http://schemas.openxmlformats.org/drawingml/2006/picture">
            <wp:extent cx="6217920" cy="709643"/>
            <wp:docPr id="156" name="Picture 156"/>
            <wp:cNvGraphicFramePr>
              <a:graphicFrameLocks noChangeAspect="1"/>
            </wp:cNvGraphicFramePr>
            <a:graphic>
              <a:graphicData uri="http://schemas.openxmlformats.org/drawingml/2006/picture">
                <pic:pic>
                  <pic:nvPicPr>
                    <pic:cNvPr id="0" name="eq-156.png"/>
                    <pic:cNvPicPr/>
                  </pic:nvPicPr>
                  <pic:blipFill>
                    <a:blip r:embed="rId152"/>
                    <a:stretch>
                      <a:fillRect/>
                    </a:stretch>
                  </pic:blipFill>
                  <pic:spPr>
                    <a:xfrm>
                      <a:off x="0" y="0"/>
                      <a:ext cx="6217920" cy="709643"/>
                    </a:xfrm>
                    <a:prstGeom prst="rect"/>
                  </pic:spPr>
                </pic:pic>
              </a:graphicData>
            </a:graphic>
          </wp:inline>
        </w:drawing>
      </w:r>
    </w:p>
    <w:p>
      <w:pPr>
        <w:keepNext/>
      </w:pPr>
      <w:r>
        <w:rPr>
          <w:b w:val="0"/>
          <w:i w:val="0"/>
        </w:rPr>
        <w:t xml:space="preserve">Resource bounds multiply </w:t>
      </w:r>
      <w:r>
        <w:rPr>
          <w:rFonts w:ascii="DejaVu Sans Mono" w:hAnsi="DejaVu Sans Mono"/>
          <w:b w:val="0"/>
          <w:i w:val="0"/>
          <w:sz w:val="17"/>
        </w:rPr>
        <w:t>capacity_mw</w:t>
      </w:r>
      <w:r>
        <w:rPr>
          <w:b w:val="0"/>
          <w:i w:val="0"/>
        </w:rPr>
        <w:t xml:space="preserve">, </w:t>
      </w:r>
      <w:r>
        <w:rPr>
          <w:rFonts w:ascii="DejaVu Sans Mono" w:hAnsi="DejaVu Sans Mono"/>
          <w:b w:val="0"/>
          <w:i w:val="0"/>
          <w:sz w:val="17"/>
        </w:rPr>
        <w:t>share</w:t>
      </w:r>
      <w:r>
        <w:rPr>
          <w:b w:val="0"/>
          <w:i w:val="0"/>
        </w:rPr>
        <w:t xml:space="preserve">, </w:t>
      </w:r>
      <w:r>
        <w:rPr>
          <w:rFonts w:ascii="DejaVu Sans Mono" w:hAnsi="DejaVu Sans Mono"/>
          <w:b w:val="0"/>
          <w:i w:val="0"/>
          <w:sz w:val="17"/>
        </w:rPr>
        <w:t>availability</w:t>
      </w:r>
      <w:r>
        <w:rPr>
          <w:b w:val="0"/>
          <w:i w:val="0"/>
        </w:rPr>
        <w:t xml:space="preserve"> and </w:t>
      </w:r>
      <w:r>
        <w:rPr>
          <w:rFonts w:ascii="DejaVu Sans Mono" w:hAnsi="DejaVu Sans Mono"/>
          <w:b w:val="0"/>
          <w:i w:val="0"/>
          <w:sz w:val="17"/>
        </w:rPr>
        <w:t>period_hours</w:t>
      </w:r>
      <w:r>
        <w:rPr>
          <w:b w:val="0"/>
          <w:i w:val="0"/>
        </w:rPr>
        <w:t>. Storage obeys the charging, discharging and inventory constraints in Chapter 8 with the same mapping share; its transition is</w:t>
      </w:r>
    </w:p>
    <w:p>
      <w:pPr>
        <w:spacing w:after="160"/>
        <w:jc w:val="center"/>
      </w:pPr>
      <w:r>
        <w:drawing>
          <wp:inline xmlns:a="http://schemas.openxmlformats.org/drawingml/2006/main" xmlns:pic="http://schemas.openxmlformats.org/drawingml/2006/picture">
            <wp:extent cx="3460394" cy="441120"/>
            <wp:docPr id="157" name="Picture 157"/>
            <wp:cNvGraphicFramePr>
              <a:graphicFrameLocks noChangeAspect="1"/>
            </wp:cNvGraphicFramePr>
            <a:graphic>
              <a:graphicData uri="http://schemas.openxmlformats.org/drawingml/2006/picture">
                <pic:pic>
                  <pic:nvPicPr>
                    <pic:cNvPr id="0" name="eq-157.png"/>
                    <pic:cNvPicPr/>
                  </pic:nvPicPr>
                  <pic:blipFill>
                    <a:blip r:embed="rId153"/>
                    <a:stretch>
                      <a:fillRect/>
                    </a:stretch>
                  </pic:blipFill>
                  <pic:spPr>
                    <a:xfrm>
                      <a:off x="0" y="0"/>
                      <a:ext cx="3460394" cy="441120"/>
                    </a:xfrm>
                    <a:prstGeom prst="rect"/>
                  </pic:spPr>
                </pic:pic>
              </a:graphicData>
            </a:graphic>
          </wp:inline>
        </w:drawing>
      </w:r>
    </w:p>
    <w:p>
      <w:r>
        <w:rPr>
          <w:b w:val="0"/>
          <w:i w:val="0"/>
        </w:rPr>
        <w:t xml:space="preserve">The terminal rule is free, cyclic at initial inventory, or fixed at a declared target. </w:t>
      </w:r>
      <w:r>
        <w:rPr>
          <w:rFonts w:ascii="DejaVu Sans Mono" w:hAnsi="DejaVu Sans Mono"/>
          <w:b w:val="0"/>
          <w:i w:val="0"/>
          <w:sz w:val="17"/>
        </w:rPr>
        <w:t>allow_blackout</w:t>
      </w:r>
      <w:r>
        <w:rPr>
          <w:b w:val="0"/>
          <w:i w:val="0"/>
        </w:rPr>
        <w:t xml:space="preserve"> bounds shortage between zero and bus demand when enabled and fixes it at zero otherwise. Availability lies in </w:t>
      </w:r>
      <w:r>
        <w:drawing>
          <wp:inline xmlns:a="http://schemas.openxmlformats.org/drawingml/2006/main" xmlns:pic="http://schemas.openxmlformats.org/drawingml/2006/picture">
            <wp:extent cx="330511" cy="164161"/>
            <wp:docPr id="158" name="Picture 158"/>
            <wp:cNvGraphicFramePr>
              <a:graphicFrameLocks noChangeAspect="1"/>
            </wp:cNvGraphicFramePr>
            <a:graphic>
              <a:graphicData uri="http://schemas.openxmlformats.org/drawingml/2006/picture">
                <pic:pic>
                  <pic:nvPicPr>
                    <pic:cNvPr id="0" name="eq-158.png"/>
                    <pic:cNvPicPr/>
                  </pic:nvPicPr>
                  <pic:blipFill>
                    <a:blip r:embed="rId154"/>
                    <a:stretch>
                      <a:fillRect/>
                    </a:stretch>
                  </pic:blipFill>
                  <pic:spPr>
                    <a:xfrm>
                      <a:off x="0" y="0"/>
                      <a:ext cx="330511" cy="164161"/>
                    </a:xfrm>
                    <a:prstGeom prst="rect"/>
                  </pic:spPr>
                </pic:pic>
              </a:graphicData>
            </a:graphic>
          </wp:inline>
        </w:drawing>
      </w:r>
      <w:r>
        <w:rPr>
          <w:b w:val="0"/>
          <w:i w:val="0"/>
        </w:rPr>
        <w:t>, and marginal resource costs are nonnegative.</w:t>
      </w:r>
    </w:p>
    <w:p>
      <w:pPr>
        <w:keepNext/>
      </w:pPr>
      <w:r>
        <w:rPr>
          <w:b w:val="0"/>
          <w:i w:val="0"/>
        </w:rPr>
        <w:t xml:space="preserve">AC lines and transformers use the declared equivalent reactance and angle difference. </w:t>
      </w:r>
      <w:r>
        <w:rPr>
          <w:rFonts w:ascii="DejaVu Sans Mono" w:hAnsi="DejaVu Sans Mono"/>
          <w:b w:val="0"/>
          <w:i w:val="0"/>
          <w:sz w:val="17"/>
        </w:rPr>
        <w:t>base_mva</w:t>
      </w:r>
      <w:r>
        <w:rPr>
          <w:b w:val="0"/>
          <w:i w:val="0"/>
        </w:rPr>
        <w:t xml:space="preserve"> defaults to 100 MVA, </w:t>
      </w:r>
      <w:r>
        <w:rPr>
          <w:rFonts w:ascii="DejaVu Sans Mono" w:hAnsi="DejaVu Sans Mono"/>
          <w:b w:val="0"/>
          <w:i w:val="0"/>
          <w:sz w:val="17"/>
        </w:rPr>
        <w:t>tap</w:t>
      </w:r>
      <w:r>
        <w:rPr>
          <w:b w:val="0"/>
          <w:i w:val="0"/>
        </w:rPr>
        <w:t xml:space="preserve"> to 1, and </w:t>
      </w:r>
      <w:r>
        <w:rPr>
          <w:rFonts w:ascii="DejaVu Sans Mono" w:hAnsi="DejaVu Sans Mono"/>
          <w:b w:val="0"/>
          <w:i w:val="0"/>
          <w:sz w:val="17"/>
        </w:rPr>
        <w:t>phase</w:t>
      </w:r>
      <w:r>
        <w:rPr>
          <w:b w:val="0"/>
          <w:i w:val="0"/>
        </w:rPr>
        <w:t xml:space="preserve"> converts </w:t>
      </w:r>
      <w:r>
        <w:rPr>
          <w:rFonts w:ascii="DejaVu Sans Mono" w:hAnsi="DejaVu Sans Mono"/>
          <w:b w:val="0"/>
          <w:i w:val="0"/>
          <w:sz w:val="17"/>
        </w:rPr>
        <w:t>phase_shift_degrees</w:t>
      </w:r>
      <w:r>
        <w:rPr>
          <w:b w:val="0"/>
          <w:i w:val="0"/>
        </w:rPr>
        <w:t xml:space="preserve"> to radians:</w:t>
      </w:r>
    </w:p>
    <w:p>
      <w:pPr>
        <w:spacing w:after="160"/>
        <w:jc w:val="center"/>
      </w:pPr>
      <w:r>
        <w:drawing>
          <wp:inline xmlns:a="http://schemas.openxmlformats.org/drawingml/2006/main" xmlns:pic="http://schemas.openxmlformats.org/drawingml/2006/picture">
            <wp:extent cx="5112867" cy="870810"/>
            <wp:docPr id="159" name="Picture 159"/>
            <wp:cNvGraphicFramePr>
              <a:graphicFrameLocks noChangeAspect="1"/>
            </wp:cNvGraphicFramePr>
            <a:graphic>
              <a:graphicData uri="http://schemas.openxmlformats.org/drawingml/2006/picture">
                <pic:pic>
                  <pic:nvPicPr>
                    <pic:cNvPr id="0" name="eq-159.png"/>
                    <pic:cNvPicPr/>
                  </pic:nvPicPr>
                  <pic:blipFill>
                    <a:blip r:embed="rId155"/>
                    <a:stretch>
                      <a:fillRect/>
                    </a:stretch>
                  </pic:blipFill>
                  <pic:spPr>
                    <a:xfrm>
                      <a:off x="0" y="0"/>
                      <a:ext cx="5112867" cy="870810"/>
                    </a:xfrm>
                    <a:prstGeom prst="rect"/>
                  </pic:spPr>
                </pic:pic>
              </a:graphicData>
            </a:graphic>
          </wp:inline>
        </w:drawing>
      </w:r>
    </w:p>
    <w:p>
      <w:r>
        <w:rPr>
          <w:b w:val="0"/>
          <w:i w:val="0"/>
        </w:rPr>
        <w:t xml:space="preserve">Circuit count scales thermal capacity; the declared equivalent reactance sets the angle equation. Each connected island has one reference bus at zero angle, with other angles bounded by </w:t>
      </w:r>
      <w:r>
        <w:drawing>
          <wp:inline xmlns:a="http://schemas.openxmlformats.org/drawingml/2006/main" xmlns:pic="http://schemas.openxmlformats.org/drawingml/2006/picture">
            <wp:extent cx="482184" cy="164381"/>
            <wp:docPr id="160" name="Picture 160"/>
            <wp:cNvGraphicFramePr>
              <a:graphicFrameLocks noChangeAspect="1"/>
            </wp:cNvGraphicFramePr>
            <a:graphic>
              <a:graphicData uri="http://schemas.openxmlformats.org/drawingml/2006/picture">
                <pic:pic>
                  <pic:nvPicPr>
                    <pic:cNvPr id="0" name="eq-160.png"/>
                    <pic:cNvPicPr/>
                  </pic:nvPicPr>
                  <pic:blipFill>
                    <a:blip r:embed="rId156"/>
                    <a:stretch>
                      <a:fillRect/>
                    </a:stretch>
                  </pic:blipFill>
                  <pic:spPr>
                    <a:xfrm>
                      <a:off x="0" y="0"/>
                      <a:ext cx="482184" cy="164381"/>
                    </a:xfrm>
                    <a:prstGeom prst="rect"/>
                  </pic:spPr>
                </pic:pic>
              </a:graphicData>
            </a:graphic>
          </wp:inline>
        </w:drawing>
      </w:r>
      <w:r>
        <w:rPr>
          <w:b w:val="0"/>
          <w:i w:val="0"/>
        </w:rPr>
        <w:t>. Out-of-service branches have zero flow. DC links enter nodal balance as controllable flows within their declared bounds.</w:t>
      </w:r>
    </w:p>
    <w:p>
      <w:r>
        <w:rPr>
          <w:b w:val="0"/>
          <w:i w:val="0"/>
        </w:rPr>
        <w:t xml:space="preserve">HiGHS solves all periods in one linear programme with primal and dual tolerances of </w:t>
      </w:r>
      <w:r>
        <w:drawing>
          <wp:inline xmlns:a="http://schemas.openxmlformats.org/drawingml/2006/main" xmlns:pic="http://schemas.openxmlformats.org/drawingml/2006/picture">
            <wp:extent cx="328247" cy="146617"/>
            <wp:docPr id="161" name="Picture 161"/>
            <wp:cNvGraphicFramePr>
              <a:graphicFrameLocks noChangeAspect="1"/>
            </wp:cNvGraphicFramePr>
            <a:graphic>
              <a:graphicData uri="http://schemas.openxmlformats.org/drawingml/2006/picture">
                <pic:pic>
                  <pic:nvPicPr>
                    <pic:cNvPr id="0" name="eq-142.png"/>
                    <pic:cNvPicPr/>
                  </pic:nvPicPr>
                  <pic:blipFill>
                    <a:blip r:embed="rId144"/>
                    <a:stretch>
                      <a:fillRect/>
                    </a:stretch>
                  </pic:blipFill>
                  <pic:spPr>
                    <a:xfrm>
                      <a:off x="0" y="0"/>
                      <a:ext cx="328247" cy="146617"/>
                    </a:xfrm>
                    <a:prstGeom prst="rect"/>
                  </pic:spPr>
                </pic:pic>
              </a:graphicData>
            </a:graphic>
          </wp:inline>
        </w:drawing>
      </w:r>
      <w:r>
        <w:rPr>
          <w:b w:val="0"/>
          <w:i w:val="0"/>
        </w:rPr>
        <w:t xml:space="preserve"> and an equality-residual limit of </w:t>
      </w:r>
      <w:r>
        <w:drawing>
          <wp:inline xmlns:a="http://schemas.openxmlformats.org/drawingml/2006/main" xmlns:pic="http://schemas.openxmlformats.org/drawingml/2006/picture">
            <wp:extent cx="328247" cy="146617"/>
            <wp:docPr id="162" name="Picture 162"/>
            <wp:cNvGraphicFramePr>
              <a:graphicFrameLocks noChangeAspect="1"/>
            </wp:cNvGraphicFramePr>
            <a:graphic>
              <a:graphicData uri="http://schemas.openxmlformats.org/drawingml/2006/picture">
                <pic:pic>
                  <pic:nvPicPr>
                    <pic:cNvPr id="0" name="eq-116.png"/>
                    <pic:cNvPicPr/>
                  </pic:nvPicPr>
                  <pic:blipFill>
                    <a:blip r:embed="rId119"/>
                    <a:stretch>
                      <a:fillRect/>
                    </a:stretch>
                  </pic:blipFill>
                  <pic:spPr>
                    <a:xfrm>
                      <a:off x="0" y="0"/>
                      <a:ext cx="328247" cy="146617"/>
                    </a:xfrm>
                    <a:prstGeom prst="rect"/>
                  </pic:spPr>
                </pic:pic>
              </a:graphicData>
            </a:graphic>
          </wp:inline>
        </w:drawing>
      </w:r>
      <w:r>
        <w:rPr>
          <w:b w:val="0"/>
          <w:i w:val="0"/>
        </w:rPr>
        <w:t>. Nodal energy-balance duals provide marginal operating prices in GBP/MWh; the displayed system price is demand weighted. Fixed assets, continuous dispatch, storage and the linear network define this full-horizon comparison.</w:t>
      </w:r>
    </w:p>
    <w:p>
      <w:pPr>
        <w:pStyle w:val="Heading2"/>
      </w:pPr>
      <w:r>
        <w:rPr>
          <w:b w:val="0"/>
          <w:i w:val="0"/>
        </w:rPr>
        <w:t>AC feasibility calculation</w:t>
      </w:r>
    </w:p>
    <w:p>
      <w:r>
        <w:rPr>
          <w:b w:val="0"/>
          <w:i w:val="0"/>
        </w:rPr>
        <w:t>The AC module calculates steady-state power flow for a given active-power schedule. Inputs contain active and reactive demand, generator active and reactive limits, voltage setpoints, branch impedances and charging susceptance, fixed taps and phase shifts, voltage bounds and MVA ratings. Each connected island has one slack balancing asset; PV and slack buses require generation, with a common voltage setpoint for generators at one bus. Storage follows its supplied active charging and discharging schedule.</w:t>
      </w:r>
    </w:p>
    <w:p>
      <w:pPr>
        <w:keepNext/>
      </w:pPr>
      <w:r>
        <w:rPr>
          <w:b w:val="0"/>
          <w:i w:val="0"/>
        </w:rPr>
        <w:t xml:space="preserve">Nodal complex injection follows the solved voltage and nodal admittance matrix. </w:t>
      </w:r>
      <w:r>
        <w:rPr>
          <w:rFonts w:ascii="DejaVu Sans Mono" w:hAnsi="DejaVu Sans Mono"/>
          <w:b w:val="0"/>
          <w:i w:val="0"/>
          <w:sz w:val="17"/>
        </w:rPr>
        <w:t>vm</w:t>
      </w:r>
      <w:r>
        <w:rPr>
          <w:b w:val="0"/>
          <w:i w:val="0"/>
        </w:rPr>
        <w:t xml:space="preserve"> is per-unit voltage magnitude, </w:t>
      </w:r>
      <w:r>
        <w:rPr>
          <w:rFonts w:ascii="DejaVu Sans Mono" w:hAnsi="DejaVu Sans Mono"/>
          <w:b w:val="0"/>
          <w:i w:val="0"/>
          <w:sz w:val="17"/>
        </w:rPr>
        <w:t>theta</w:t>
      </w:r>
      <w:r>
        <w:rPr>
          <w:b w:val="0"/>
          <w:i w:val="0"/>
        </w:rPr>
        <w:t xml:space="preserve"> is radians, </w:t>
      </w:r>
      <w:r>
        <w:rPr>
          <w:rFonts w:ascii="DejaVu Sans Mono" w:hAnsi="DejaVu Sans Mono"/>
          <w:b w:val="0"/>
          <w:i w:val="0"/>
          <w:sz w:val="17"/>
        </w:rPr>
        <w:t>voltage</w:t>
      </w:r>
      <w:r>
        <w:rPr>
          <w:b w:val="0"/>
          <w:i w:val="0"/>
        </w:rPr>
        <w:t xml:space="preserve"> is complex per-unit voltage, and </w:t>
      </w:r>
      <w:r>
        <w:rPr>
          <w:rFonts w:ascii="DejaVu Sans Mono" w:hAnsi="DejaVu Sans Mono"/>
          <w:b w:val="0"/>
          <w:i w:val="0"/>
          <w:sz w:val="17"/>
        </w:rPr>
        <w:t>injection</w:t>
      </w:r>
      <w:r>
        <w:rPr>
          <w:b w:val="0"/>
          <w:i w:val="0"/>
        </w:rPr>
        <w:t xml:space="preserve"> contains MW and Mvar. </w:t>
      </w:r>
      <w:r>
        <w:rPr>
          <w:rFonts w:ascii="DejaVu Sans Mono" w:hAnsi="DejaVu Sans Mono"/>
          <w:b w:val="0"/>
          <w:i w:val="0"/>
          <w:sz w:val="17"/>
        </w:rPr>
        <w:t>ybus</w:t>
      </w:r>
      <w:r>
        <w:rPr>
          <w:b w:val="0"/>
          <w:i w:val="0"/>
        </w:rPr>
        <w:t xml:space="preserve"> is per-unit admittance on the </w:t>
      </w:r>
      <w:r>
        <w:rPr>
          <w:rFonts w:ascii="DejaVu Sans Mono" w:hAnsi="DejaVu Sans Mono"/>
          <w:b w:val="0"/>
          <w:i w:val="0"/>
          <w:sz w:val="17"/>
        </w:rPr>
        <w:t>base_mva</w:t>
      </w:r>
      <w:r>
        <w:rPr>
          <w:b w:val="0"/>
          <w:i w:val="0"/>
        </w:rPr>
        <w:t xml:space="preserve"> base, and </w:t>
      </w:r>
      <w:r>
        <w:drawing>
          <wp:inline xmlns:a="http://schemas.openxmlformats.org/drawingml/2006/main" xmlns:pic="http://schemas.openxmlformats.org/drawingml/2006/picture">
            <wp:extent cx="571639" cy="170835"/>
            <wp:docPr id="163" name="Picture 163"/>
            <wp:cNvGraphicFramePr>
              <a:graphicFrameLocks noChangeAspect="1"/>
            </wp:cNvGraphicFramePr>
            <a:graphic>
              <a:graphicData uri="http://schemas.openxmlformats.org/drawingml/2006/picture">
                <pic:pic>
                  <pic:nvPicPr>
                    <pic:cNvPr id="0" name="eq-163.png"/>
                    <pic:cNvPicPr/>
                  </pic:nvPicPr>
                  <pic:blipFill>
                    <a:blip r:embed="rId157"/>
                    <a:stretch>
                      <a:fillRect/>
                    </a:stretch>
                  </pic:blipFill>
                  <pic:spPr>
                    <a:xfrm>
                      <a:off x="0" y="0"/>
                      <a:ext cx="571639" cy="170835"/>
                    </a:xfrm>
                    <a:prstGeom prst="rect"/>
                  </pic:spPr>
                </pic:pic>
              </a:graphicData>
            </a:graphic>
          </wp:inline>
        </w:drawing>
      </w:r>
      <w:r>
        <w:rPr>
          <w:b w:val="0"/>
          <w:i w:val="0"/>
        </w:rPr>
        <w:t>:</w:t>
      </w:r>
    </w:p>
    <w:p>
      <w:pPr>
        <w:spacing w:after="160"/>
        <w:jc w:val="center"/>
      </w:pPr>
      <w:r>
        <w:drawing>
          <wp:inline xmlns:a="http://schemas.openxmlformats.org/drawingml/2006/main" xmlns:pic="http://schemas.openxmlformats.org/drawingml/2006/picture">
            <wp:extent cx="4233062" cy="667416"/>
            <wp:docPr id="164" name="Picture 164"/>
            <wp:cNvGraphicFramePr>
              <a:graphicFrameLocks noChangeAspect="1"/>
            </wp:cNvGraphicFramePr>
            <a:graphic>
              <a:graphicData uri="http://schemas.openxmlformats.org/drawingml/2006/picture">
                <pic:pic>
                  <pic:nvPicPr>
                    <pic:cNvPr id="0" name="eq-164.png"/>
                    <pic:cNvPicPr/>
                  </pic:nvPicPr>
                  <pic:blipFill>
                    <a:blip r:embed="rId158"/>
                    <a:stretch>
                      <a:fillRect/>
                    </a:stretch>
                  </pic:blipFill>
                  <pic:spPr>
                    <a:xfrm>
                      <a:off x="0" y="0"/>
                      <a:ext cx="4233062" cy="667416"/>
                    </a:xfrm>
                    <a:prstGeom prst="rect"/>
                  </pic:spPr>
                </pic:pic>
              </a:graphicData>
            </a:graphic>
          </wp:inline>
        </w:drawing>
      </w:r>
    </w:p>
    <w:p>
      <w:pPr>
        <w:keepNext/>
      </w:pPr>
      <w:r>
        <w:rPr>
          <w:b w:val="0"/>
          <w:i w:val="0"/>
        </w:rPr>
        <w:t xml:space="preserve">Each branch uses a π impedance representation. </w:t>
      </w:r>
      <w:r>
        <w:rPr>
          <w:rFonts w:ascii="DejaVu Sans Mono" w:hAnsi="DejaVu Sans Mono"/>
          <w:b w:val="0"/>
          <w:i w:val="0"/>
          <w:sz w:val="17"/>
        </w:rPr>
        <w:t>_ybus</w:t>
      </w:r>
      <w:r>
        <w:rPr>
          <w:b w:val="0"/>
          <w:i w:val="0"/>
        </w:rPr>
        <w:t xml:space="preserve"> computes </w:t>
      </w:r>
      <w:r>
        <w:rPr>
          <w:rFonts w:ascii="DejaVu Sans Mono" w:hAnsi="DejaVu Sans Mono"/>
          <w:b w:val="0"/>
          <w:i w:val="0"/>
          <w:sz w:val="17"/>
        </w:rPr>
        <w:t>series</w:t>
      </w:r>
      <w:r>
        <w:rPr>
          <w:b w:val="0"/>
          <w:i w:val="0"/>
        </w:rPr>
        <w:t xml:space="preserve"> as the reciprocal of </w:t>
      </w:r>
      <w:r>
        <w:rPr>
          <w:rFonts w:ascii="DejaVu Sans Mono" w:hAnsi="DejaVu Sans Mono"/>
          <w:b w:val="0"/>
          <w:i w:val="0"/>
          <w:sz w:val="17"/>
        </w:rPr>
        <w:t>resistance_pu</w:t>
      </w:r>
      <w:r>
        <w:rPr>
          <w:b w:val="0"/>
          <w:i w:val="0"/>
        </w:rPr>
        <w:t xml:space="preserve"> plus </w:t>
      </w:r>
      <w:r>
        <w:drawing>
          <wp:inline xmlns:a="http://schemas.openxmlformats.org/drawingml/2006/main" xmlns:pic="http://schemas.openxmlformats.org/drawingml/2006/picture">
            <wp:extent cx="68059" cy="142704"/>
            <wp:docPr id="165" name="Picture 165"/>
            <wp:cNvGraphicFramePr>
              <a:graphicFrameLocks noChangeAspect="1"/>
            </wp:cNvGraphicFramePr>
            <a:graphic>
              <a:graphicData uri="http://schemas.openxmlformats.org/drawingml/2006/picture">
                <pic:pic>
                  <pic:nvPicPr>
                    <pic:cNvPr id="0" name="eq-165.png"/>
                    <pic:cNvPicPr/>
                  </pic:nvPicPr>
                  <pic:blipFill>
                    <a:blip r:embed="rId159"/>
                    <a:stretch>
                      <a:fillRect/>
                    </a:stretch>
                  </pic:blipFill>
                  <pic:spPr>
                    <a:xfrm>
                      <a:off x="0" y="0"/>
                      <a:ext cx="68059" cy="142704"/>
                    </a:xfrm>
                    <a:prstGeom prst="rect"/>
                  </pic:spPr>
                </pic:pic>
              </a:graphicData>
            </a:graphic>
          </wp:inline>
        </w:drawing>
      </w:r>
      <w:r>
        <w:rPr>
          <w:b w:val="0"/>
          <w:i w:val="0"/>
        </w:rPr>
        <w:t xml:space="preserve"> times </w:t>
      </w:r>
      <w:r>
        <w:rPr>
          <w:rFonts w:ascii="DejaVu Sans Mono" w:hAnsi="DejaVu Sans Mono"/>
          <w:b w:val="0"/>
          <w:i w:val="0"/>
          <w:sz w:val="17"/>
        </w:rPr>
        <w:t>reactance_pu</w:t>
      </w:r>
      <w:r>
        <w:rPr>
          <w:b w:val="0"/>
          <w:i w:val="0"/>
        </w:rPr>
        <w:t xml:space="preserve">; </w:t>
      </w:r>
      <w:r>
        <w:rPr>
          <w:rFonts w:ascii="DejaVu Sans Mono" w:hAnsi="DejaVu Sans Mono"/>
          <w:b w:val="0"/>
          <w:i w:val="0"/>
          <w:sz w:val="17"/>
        </w:rPr>
        <w:t>charging</w:t>
      </w:r>
      <w:r>
        <w:rPr>
          <w:b w:val="0"/>
          <w:i w:val="0"/>
        </w:rPr>
        <w:t xml:space="preserve"> is half the imaginary charging susceptance; and </w:t>
      </w:r>
      <w:r>
        <w:rPr>
          <w:rFonts w:ascii="DejaVu Sans Mono" w:hAnsi="DejaVu Sans Mono"/>
          <w:b w:val="0"/>
          <w:i w:val="0"/>
          <w:sz w:val="17"/>
        </w:rPr>
        <w:t>tap</w:t>
      </w:r>
      <w:r>
        <w:rPr>
          <w:b w:val="0"/>
          <w:i w:val="0"/>
        </w:rPr>
        <w:t xml:space="preserve"> is the tap ratio multiplied by the complex phase-shift factor. The terminal admittances are</w:t>
      </w:r>
    </w:p>
    <w:p>
      <w:pPr>
        <w:spacing w:after="160"/>
        <w:jc w:val="center"/>
      </w:pPr>
      <w:r>
        <w:drawing>
          <wp:inline xmlns:a="http://schemas.openxmlformats.org/drawingml/2006/main" xmlns:pic="http://schemas.openxmlformats.org/drawingml/2006/picture">
            <wp:extent cx="3124352" cy="674238"/>
            <wp:docPr id="166" name="Picture 166"/>
            <wp:cNvGraphicFramePr>
              <a:graphicFrameLocks noChangeAspect="1"/>
            </wp:cNvGraphicFramePr>
            <a:graphic>
              <a:graphicData uri="http://schemas.openxmlformats.org/drawingml/2006/picture">
                <pic:pic>
                  <pic:nvPicPr>
                    <pic:cNvPr id="0" name="eq-166.png"/>
                    <pic:cNvPicPr/>
                  </pic:nvPicPr>
                  <pic:blipFill>
                    <a:blip r:embed="rId160"/>
                    <a:stretch>
                      <a:fillRect/>
                    </a:stretch>
                  </pic:blipFill>
                  <pic:spPr>
                    <a:xfrm>
                      <a:off x="0" y="0"/>
                      <a:ext cx="3124352" cy="674238"/>
                    </a:xfrm>
                    <a:prstGeom prst="rect"/>
                  </pic:spPr>
                </pic:pic>
              </a:graphicData>
            </a:graphic>
          </wp:inline>
        </w:drawing>
      </w:r>
    </w:p>
    <w:p>
      <w:pPr>
        <w:keepNext/>
      </w:pPr>
      <w:r>
        <w:rPr>
          <w:b w:val="0"/>
          <w:i w:val="0"/>
        </w:rPr>
        <w:t xml:space="preserve">The solver fits active balance at non-slack buses and reactive balance at PQ buses, holding PV and slack voltage magnitudes fixed. The slack asset supplies residual active power and network losses. Nodal reactive generation is checked against the sum of generator limits at that bus. Complex powers </w:t>
      </w:r>
      <w:r>
        <w:rPr>
          <w:rFonts w:ascii="DejaVu Sans Mono" w:hAnsi="DejaVu Sans Mono"/>
          <w:b w:val="0"/>
          <w:i w:val="0"/>
          <w:sz w:val="17"/>
        </w:rPr>
        <w:t>s_from</w:t>
      </w:r>
      <w:r>
        <w:rPr>
          <w:b w:val="0"/>
          <w:i w:val="0"/>
        </w:rPr>
        <w:t xml:space="preserve"> and </w:t>
      </w:r>
      <w:r>
        <w:rPr>
          <w:rFonts w:ascii="DejaVu Sans Mono" w:hAnsi="DejaVu Sans Mono"/>
          <w:b w:val="0"/>
          <w:i w:val="0"/>
          <w:sz w:val="17"/>
        </w:rPr>
        <w:t>s_to</w:t>
      </w:r>
      <w:r>
        <w:rPr>
          <w:b w:val="0"/>
          <w:i w:val="0"/>
        </w:rPr>
        <w:t xml:space="preserve"> contain MW and Mvar; </w:t>
      </w:r>
      <w:r>
        <w:rPr>
          <w:rFonts w:ascii="DejaVu Sans Mono" w:hAnsi="DejaVu Sans Mono"/>
          <w:b w:val="0"/>
          <w:i w:val="0"/>
          <w:sz w:val="17"/>
        </w:rPr>
        <w:t>losses</w:t>
      </w:r>
      <w:r>
        <w:rPr>
          <w:b w:val="0"/>
          <w:i w:val="0"/>
        </w:rPr>
        <w:t xml:space="preserve"> is MW. They use the declared endpoints </w:t>
      </w:r>
      <w:r>
        <w:drawing>
          <wp:inline xmlns:a="http://schemas.openxmlformats.org/drawingml/2006/main" xmlns:pic="http://schemas.openxmlformats.org/drawingml/2006/picture">
            <wp:extent cx="223967" cy="151507"/>
            <wp:docPr id="167" name="Picture 167"/>
            <wp:cNvGraphicFramePr>
              <a:graphicFrameLocks noChangeAspect="1"/>
            </wp:cNvGraphicFramePr>
            <a:graphic>
              <a:graphicData uri="http://schemas.openxmlformats.org/drawingml/2006/picture">
                <pic:pic>
                  <pic:nvPicPr>
                    <pic:cNvPr id="0" name="eq-167.png"/>
                    <pic:cNvPicPr/>
                  </pic:nvPicPr>
                  <pic:blipFill>
                    <a:blip r:embed="rId161"/>
                    <a:stretch>
                      <a:fillRect/>
                    </a:stretch>
                  </pic:blipFill>
                  <pic:spPr>
                    <a:xfrm>
                      <a:off x="0" y="0"/>
                      <a:ext cx="223967" cy="151507"/>
                    </a:xfrm>
                    <a:prstGeom prst="rect"/>
                  </pic:spPr>
                </pic:pic>
              </a:graphicData>
            </a:graphic>
          </wp:inline>
        </w:drawing>
      </w:r>
      <w:r>
        <w:rPr>
          <w:b w:val="0"/>
          <w:i w:val="0"/>
        </w:rPr>
        <w:t>:</w:t>
      </w:r>
    </w:p>
    <w:p>
      <w:pPr>
        <w:spacing w:after="160"/>
        <w:jc w:val="center"/>
      </w:pPr>
      <w:r>
        <w:drawing>
          <wp:inline xmlns:a="http://schemas.openxmlformats.org/drawingml/2006/main" xmlns:pic="http://schemas.openxmlformats.org/drawingml/2006/picture">
            <wp:extent cx="4493437" cy="761096"/>
            <wp:docPr id="168" name="Picture 168"/>
            <wp:cNvGraphicFramePr>
              <a:graphicFrameLocks noChangeAspect="1"/>
            </wp:cNvGraphicFramePr>
            <a:graphic>
              <a:graphicData uri="http://schemas.openxmlformats.org/drawingml/2006/picture">
                <pic:pic>
                  <pic:nvPicPr>
                    <pic:cNvPr id="0" name="eq-168.png"/>
                    <pic:cNvPicPr/>
                  </pic:nvPicPr>
                  <pic:blipFill>
                    <a:blip r:embed="rId162"/>
                    <a:stretch>
                      <a:fillRect/>
                    </a:stretch>
                  </pic:blipFill>
                  <pic:spPr>
                    <a:xfrm>
                      <a:off x="0" y="0"/>
                      <a:ext cx="4493437" cy="761096"/>
                    </a:xfrm>
                    <a:prstGeom prst="rect"/>
                  </pic:spPr>
                </pic:pic>
              </a:graphicData>
            </a:graphic>
          </wp:inline>
        </w:drawing>
      </w:r>
    </w:p>
    <w:p>
      <w:r>
        <w:rPr>
          <w:b w:val="0"/>
          <w:i w:val="0"/>
        </w:rPr>
        <w:t xml:space="preserve">Apparent power at both terminals is limited by </w:t>
      </w:r>
      <w:r>
        <w:rPr>
          <w:rFonts w:ascii="DejaVu Sans Mono" w:hAnsi="DejaVu Sans Mono"/>
          <w:b w:val="0"/>
          <w:i w:val="0"/>
          <w:sz w:val="17"/>
        </w:rPr>
        <w:t>apparent_​power_​rating_​mva</w:t>
      </w:r>
      <w:r>
        <w:rPr>
          <w:b w:val="0"/>
          <w:i w:val="0"/>
        </w:rPr>
        <w:t xml:space="preserve"> times </w:t>
      </w:r>
      <w:r>
        <w:rPr>
          <w:rFonts w:ascii="DejaVu Sans Mono" w:hAnsi="DejaVu Sans Mono"/>
          <w:b w:val="0"/>
          <w:i w:val="0"/>
          <w:sz w:val="17"/>
        </w:rPr>
        <w:t>circuits</w:t>
      </w:r>
      <w:r>
        <w:rPr>
          <w:b w:val="0"/>
          <w:i w:val="0"/>
        </w:rPr>
        <w:t>. Every in-service branch enters the admittance matrix with its declared impedance. Topology and device settings remain fixed.</w:t>
      </w:r>
    </w:p>
    <w:p>
      <w:r>
        <w:rPr>
          <w:b w:val="0"/>
          <w:i w:val="0"/>
        </w:rPr>
        <w:t xml:space="preserve">Nonlinear least squares solves from several initial voltage conditions. Converged solutions are checked for agreement, followed by generator active and reactive bounds, bus voltages, branch ratings and system balance among supply, charging, demand and losses. </w:t>
      </w:r>
      <w:r>
        <w:rPr>
          <w:rFonts w:ascii="DejaVu Sans Mono" w:hAnsi="DejaVu Sans Mono"/>
          <w:b w:val="0"/>
          <w:i w:val="0"/>
          <w:sz w:val="17"/>
        </w:rPr>
        <w:t>ReferenceACFeasibilityPSM</w:t>
      </w:r>
      <w:r>
        <w:rPr>
          <w:b w:val="0"/>
          <w:i w:val="0"/>
        </w:rPr>
        <w:t xml:space="preserve"> returns the local steady-state trajectory and feasibility checks for that schedule.</w:t>
      </w:r>
    </w:p>
    <w:p>
      <w:pPr>
        <w:pStyle w:val="Heading2"/>
      </w:pPr>
      <w:r>
        <w:rPr>
          <w:b w:val="0"/>
          <w:i w:val="0"/>
        </w:rPr>
        <w:t>Optional line expansion</w:t>
      </w:r>
    </w:p>
    <w:p>
      <w:pPr>
        <w:keepNext/>
      </w:pPr>
      <w:r>
        <w:rPr>
          <w:b w:val="0"/>
          <w:i w:val="0"/>
        </w:rPr>
        <w:t xml:space="preserve">Line expansion screens externally specified candidates using observed congestion and declared annual benefits. Candidate records contain endpoints, circuit numbers, branch parameters and limits, construction cost, fixed operation and maintenance, lifetime, discount rate, lead time, delay, planning success and budget group. </w:t>
      </w:r>
      <w:r>
        <w:rPr>
          <w:rFonts w:ascii="DejaVu Sans Mono" w:hAnsi="DejaVu Sans Mono"/>
          <w:b w:val="0"/>
          <w:i w:val="0"/>
          <w:sz w:val="17"/>
        </w:rPr>
        <w:t>ReferenceTransmissionExpansion.propose</w:t>
      </w:r>
      <w:r>
        <w:rPr>
          <w:b w:val="0"/>
          <w:i w:val="0"/>
        </w:rPr>
        <w:t xml:space="preserve"> computes peak </w:t>
      </w:r>
      <w:r>
        <w:rPr>
          <w:rFonts w:ascii="DejaVu Sans Mono" w:hAnsi="DejaVu Sans Mono"/>
          <w:b w:val="0"/>
          <w:i w:val="0"/>
          <w:sz w:val="17"/>
        </w:rPr>
        <w:t>utilisation</w:t>
      </w:r>
      <w:r>
        <w:rPr>
          <w:b w:val="0"/>
          <w:i w:val="0"/>
        </w:rPr>
        <w:t xml:space="preserve">, </w:t>
      </w:r>
      <w:r>
        <w:rPr>
          <w:rFonts w:ascii="DejaVu Sans Mono" w:hAnsi="DejaVu Sans Mono"/>
          <w:b w:val="0"/>
          <w:i w:val="0"/>
          <w:sz w:val="17"/>
        </w:rPr>
        <w:t>annual_cost</w:t>
      </w:r>
      <w:r>
        <w:rPr>
          <w:b w:val="0"/>
          <w:i w:val="0"/>
        </w:rPr>
        <w:t xml:space="preserve"> and benefit-cost </w:t>
      </w:r>
      <w:r>
        <w:rPr>
          <w:rFonts w:ascii="DejaVu Sans Mono" w:hAnsi="DejaVu Sans Mono"/>
          <w:b w:val="0"/>
          <w:i w:val="0"/>
          <w:sz w:val="17"/>
        </w:rPr>
        <w:t>ratio</w:t>
      </w:r>
      <w:r>
        <w:rPr>
          <w:b w:val="0"/>
          <w:i w:val="0"/>
        </w:rPr>
        <w:t>:</w:t>
      </w:r>
    </w:p>
    <w:p>
      <w:pPr>
        <w:spacing w:after="160"/>
        <w:jc w:val="center"/>
      </w:pPr>
      <w:r>
        <w:drawing>
          <wp:inline xmlns:a="http://schemas.openxmlformats.org/drawingml/2006/main" xmlns:pic="http://schemas.openxmlformats.org/drawingml/2006/picture">
            <wp:extent cx="6123812" cy="1088068"/>
            <wp:docPr id="169" name="Picture 169"/>
            <wp:cNvGraphicFramePr>
              <a:graphicFrameLocks noChangeAspect="1"/>
            </wp:cNvGraphicFramePr>
            <a:graphic>
              <a:graphicData uri="http://schemas.openxmlformats.org/drawingml/2006/picture">
                <pic:pic>
                  <pic:nvPicPr>
                    <pic:cNvPr id="0" name="eq-169.png"/>
                    <pic:cNvPicPr/>
                  </pic:nvPicPr>
                  <pic:blipFill>
                    <a:blip r:embed="rId163"/>
                    <a:stretch>
                      <a:fillRect/>
                    </a:stretch>
                  </pic:blipFill>
                  <pic:spPr>
                    <a:xfrm>
                      <a:off x="0" y="0"/>
                      <a:ext cx="6123812" cy="1088068"/>
                    </a:xfrm>
                    <a:prstGeom prst="rect"/>
                  </pic:spPr>
                </pic:pic>
              </a:graphicData>
            </a:graphic>
          </wp:inline>
        </w:drawing>
      </w:r>
    </w:p>
    <w:p>
      <w:pPr>
        <w:keepNext/>
      </w:pPr>
      <w:r>
        <w:rPr>
          <w:b w:val="0"/>
          <w:i w:val="0"/>
        </w:rPr>
        <w:t xml:space="preserve">The capital-recovery function </w:t>
      </w:r>
      <w:r>
        <w:rPr>
          <w:rFonts w:ascii="DejaVu Sans Mono" w:hAnsi="DejaVu Sans Mono"/>
          <w:b w:val="0"/>
          <w:i w:val="0"/>
          <w:sz w:val="17"/>
        </w:rPr>
        <w:t>_crf</w:t>
      </w:r>
      <w:r>
        <w:rPr>
          <w:b w:val="0"/>
          <w:i w:val="0"/>
        </w:rPr>
        <w:t xml:space="preserve"> uses its arguments </w:t>
      </w:r>
      <w:r>
        <w:rPr>
          <w:rFonts w:ascii="DejaVu Sans Mono" w:hAnsi="DejaVu Sans Mono"/>
          <w:b w:val="0"/>
          <w:i w:val="0"/>
          <w:sz w:val="17"/>
        </w:rPr>
        <w:t>rate</w:t>
      </w:r>
      <w:r>
        <w:rPr>
          <w:b w:val="0"/>
          <w:i w:val="0"/>
        </w:rPr>
        <w:t xml:space="preserve"> and </w:t>
      </w:r>
      <w:r>
        <w:rPr>
          <w:rFonts w:ascii="DejaVu Sans Mono" w:hAnsi="DejaVu Sans Mono"/>
          <w:b w:val="0"/>
          <w:i w:val="0"/>
          <w:sz w:val="17"/>
        </w:rPr>
        <w:t>life</w:t>
      </w:r>
      <w:r>
        <w:rPr>
          <w:b w:val="0"/>
          <w:i w:val="0"/>
        </w:rPr>
        <w:t>:</w:t>
      </w:r>
    </w:p>
    <w:p>
      <w:pPr>
        <w:spacing w:after="160"/>
        <w:jc w:val="center"/>
      </w:pPr>
      <w:r>
        <w:drawing>
          <wp:inline xmlns:a="http://schemas.openxmlformats.org/drawingml/2006/main" xmlns:pic="http://schemas.openxmlformats.org/drawingml/2006/picture">
            <wp:extent cx="3721150" cy="649144"/>
            <wp:docPr id="170" name="Picture 170"/>
            <wp:cNvGraphicFramePr>
              <a:graphicFrameLocks noChangeAspect="1"/>
            </wp:cNvGraphicFramePr>
            <a:graphic>
              <a:graphicData uri="http://schemas.openxmlformats.org/drawingml/2006/picture">
                <pic:pic>
                  <pic:nvPicPr>
                    <pic:cNvPr id="0" name="eq-170.png"/>
                    <pic:cNvPicPr/>
                  </pic:nvPicPr>
                  <pic:blipFill>
                    <a:blip r:embed="rId164"/>
                    <a:stretch>
                      <a:fillRect/>
                    </a:stretch>
                  </pic:blipFill>
                  <pic:spPr>
                    <a:xfrm>
                      <a:off x="0" y="0"/>
                      <a:ext cx="3721150" cy="649144"/>
                    </a:xfrm>
                    <a:prstGeom prst="rect"/>
                  </pic:spPr>
                </pic:pic>
              </a:graphicData>
            </a:graphic>
          </wp:inline>
        </w:drawing>
      </w:r>
    </w:p>
    <w:p>
      <w:r>
        <w:rPr>
          <w:b w:val="0"/>
          <w:i w:val="0"/>
        </w:rPr>
        <w:t xml:space="preserve">Candidates are ordered by descending </w:t>
      </w:r>
      <w:r>
        <w:rPr>
          <w:rFonts w:ascii="DejaVu Sans Mono" w:hAnsi="DejaVu Sans Mono"/>
          <w:b w:val="0"/>
          <w:i w:val="0"/>
          <w:sz w:val="17"/>
        </w:rPr>
        <w:t>ratio</w:t>
      </w:r>
      <w:r>
        <w:rPr>
          <w:b w:val="0"/>
          <w:i w:val="0"/>
        </w:rPr>
        <w:t xml:space="preserve"> and ascending identifier. Earliest decision year, minimum trigger utilisation, minimum benefit-cost ratio, total budget and budget-group allowance determine admission; zero annual cost gives an infinite ratio. The registered parameter defaults are 0 GBP for total annual funding and </w:t>
      </w:r>
      <w:r>
        <w:drawing>
          <wp:inline xmlns:a="http://schemas.openxmlformats.org/drawingml/2006/main" xmlns:pic="http://schemas.openxmlformats.org/drawingml/2006/picture">
            <wp:extent cx="295751" cy="146780"/>
            <wp:docPr id="171" name="Picture 171"/>
            <wp:cNvGraphicFramePr>
              <a:graphicFrameLocks noChangeAspect="1"/>
            </wp:cNvGraphicFramePr>
            <a:graphic>
              <a:graphicData uri="http://schemas.openxmlformats.org/drawingml/2006/picture">
                <pic:pic>
                  <pic:nvPicPr>
                    <pic:cNvPr id="0" name="eq-171.png"/>
                    <pic:cNvPicPr/>
                  </pic:nvPicPr>
                  <pic:blipFill>
                    <a:blip r:embed="rId165"/>
                    <a:stretch>
                      <a:fillRect/>
                    </a:stretch>
                  </pic:blipFill>
                  <pic:spPr>
                    <a:xfrm>
                      <a:off x="0" y="0"/>
                      <a:ext cx="295751" cy="146780"/>
                    </a:xfrm>
                    <a:prstGeom prst="rect"/>
                  </pic:spPr>
                </pic:pic>
              </a:graphicData>
            </a:graphic>
          </wp:inline>
        </w:drawing>
      </w:r>
      <w:r>
        <w:rPr>
          <w:b w:val="0"/>
          <w:i w:val="0"/>
        </w:rPr>
        <w:t xml:space="preserve"> GBP per group. Each accepted proposal deducts its complete construction cost. Expected commissioning is the decision year plus </w:t>
      </w:r>
      <w:r>
        <w:rPr>
          <w:rFonts w:ascii="DejaVu Sans Mono" w:hAnsi="DejaVu Sans Mono"/>
          <w:b w:val="0"/>
          <w:i w:val="0"/>
          <w:sz w:val="17"/>
        </w:rPr>
        <w:t>lead_time_years</w:t>
      </w:r>
      <w:r>
        <w:rPr>
          <w:b w:val="0"/>
          <w:i w:val="0"/>
        </w:rPr>
        <w:t xml:space="preserve"> and </w:t>
      </w:r>
      <w:r>
        <w:rPr>
          <w:rFonts w:ascii="DejaVu Sans Mono" w:hAnsi="DejaVu Sans Mono"/>
          <w:b w:val="0"/>
          <w:i w:val="0"/>
          <w:sz w:val="17"/>
        </w:rPr>
        <w:t>delay_years</w:t>
      </w:r>
      <w:r>
        <w:rPr>
          <w:b w:val="0"/>
          <w:i w:val="0"/>
        </w:rPr>
        <w:t>.</w:t>
      </w:r>
    </w:p>
    <w:p>
      <w:r>
        <w:rPr>
          <w:b w:val="0"/>
          <w:i w:val="0"/>
        </w:rPr>
        <w:t xml:space="preserve">Planning success compares a reproducible uniform draw with </w:t>
      </w:r>
      <w:r>
        <w:rPr>
          <w:rFonts w:ascii="DejaVu Sans Mono" w:hAnsi="DejaVu Sans Mono"/>
          <w:b w:val="0"/>
          <w:i w:val="0"/>
          <w:sz w:val="17"/>
        </w:rPr>
        <w:t>success_probability</w:t>
      </w:r>
      <w:r>
        <w:rPr>
          <w:b w:val="0"/>
          <w:i w:val="0"/>
        </w:rPr>
        <w:t xml:space="preserve">. The default seed is 0; the proposal identifier includes the run identifier, and together they define the draw. At each year's start, completed projects commission and active lines retire at commissioning year plus the ceiling of </w:t>
      </w:r>
      <w:r>
        <w:rPr>
          <w:rFonts w:ascii="DejaVu Sans Mono" w:hAnsi="DejaVu Sans Mono"/>
          <w:b w:val="0"/>
          <w:i w:val="0"/>
          <w:sz w:val="17"/>
        </w:rPr>
        <w:t>economic_life_years</w:t>
      </w:r>
      <w:r>
        <w:rPr>
          <w:b w:val="0"/>
          <w:i w:val="0"/>
        </w:rPr>
        <w:t xml:space="preserve">. </w:t>
      </w:r>
      <w:r>
        <w:rPr>
          <w:rFonts w:ascii="DejaVu Sans Mono" w:hAnsi="DejaVu Sans Mono"/>
          <w:b w:val="0"/>
          <w:i w:val="0"/>
          <w:sz w:val="17"/>
        </w:rPr>
        <w:t>apply_​commissioned_​network_​assets</w:t>
      </w:r>
      <w:r>
        <w:rPr>
          <w:b w:val="0"/>
          <w:i w:val="0"/>
        </w:rPr>
        <w:t xml:space="preserve"> inserts commissioned branches into the annual network. The 23-zone and 11-zone cases retain fixed networks; line expansion is a separately selected method.</w:t>
      </w:r>
    </w:p>
    <w:p>
      <w:pPr>
        <w:pStyle w:val="Heading2"/>
      </w:pPr>
      <w:r>
        <w:rPr>
          <w:b w:val="0"/>
          <w:i w:val="0"/>
        </w:rPr>
        <w:t>Data and implementation</w:t>
      </w:r>
    </w:p>
    <w:p>
      <w:r>
        <w:rPr>
          <w:b w:val="0"/>
          <w:i w:val="0"/>
        </w:rPr>
        <w:t xml:space="preserve">Zonal inputs comprise </w:t>
      </w:r>
      <w:r>
        <w:rPr>
          <w:rFonts w:ascii="DejaVu Sans Mono" w:hAnsi="DejaVu Sans Mono"/>
          <w:b w:val="0"/>
          <w:i w:val="0"/>
          <w:sz w:val="17"/>
        </w:rPr>
        <w:t>zones</w:t>
      </w:r>
      <w:r>
        <w:rPr>
          <w:b w:val="0"/>
          <w:i w:val="0"/>
        </w:rPr>
        <w:t xml:space="preserve">, </w:t>
      </w:r>
      <w:r>
        <w:rPr>
          <w:rFonts w:ascii="DejaVu Sans Mono" w:hAnsi="DejaVu Sans Mono"/>
          <w:b w:val="0"/>
          <w:i w:val="0"/>
          <w:sz w:val="17"/>
        </w:rPr>
        <w:t>corridors</w:t>
      </w:r>
      <w:r>
        <w:rPr>
          <w:b w:val="0"/>
          <w:i w:val="0"/>
        </w:rPr>
        <w:t xml:space="preserve">, </w:t>
      </w:r>
      <w:r>
        <w:rPr>
          <w:rFonts w:ascii="DejaVu Sans Mono" w:hAnsi="DejaVu Sans Mono"/>
          <w:b w:val="0"/>
          <w:i w:val="0"/>
          <w:sz w:val="17"/>
        </w:rPr>
        <w:t>cutsets</w:t>
      </w:r>
      <w:r>
        <w:rPr>
          <w:b w:val="0"/>
          <w:i w:val="0"/>
        </w:rPr>
        <w:t xml:space="preserve">, </w:t>
      </w:r>
      <w:r>
        <w:rPr>
          <w:rFonts w:ascii="DejaVu Sans Mono" w:hAnsi="DejaVu Sans Mono"/>
          <w:b w:val="0"/>
          <w:i w:val="0"/>
          <w:sz w:val="17"/>
        </w:rPr>
        <w:t>asset-map</w:t>
      </w:r>
      <w:r>
        <w:rPr>
          <w:b w:val="0"/>
          <w:i w:val="0"/>
        </w:rPr>
        <w:t xml:space="preserve">, </w:t>
      </w:r>
      <w:r>
        <w:rPr>
          <w:rFonts w:ascii="DejaVu Sans Mono" w:hAnsi="DejaVu Sans Mono"/>
          <w:b w:val="0"/>
          <w:i w:val="0"/>
          <w:sz w:val="17"/>
        </w:rPr>
        <w:t>demand</w:t>
      </w:r>
      <w:r>
        <w:rPr>
          <w:b w:val="0"/>
          <w:i w:val="0"/>
        </w:rPr>
        <w:t xml:space="preserve">, </w:t>
      </w:r>
      <w:r>
        <w:rPr>
          <w:rFonts w:ascii="DejaVu Sans Mono" w:hAnsi="DejaVu Sans Mono"/>
          <w:b w:val="0"/>
          <w:i w:val="0"/>
          <w:sz w:val="17"/>
        </w:rPr>
        <w:t>ratings</w:t>
      </w:r>
      <w:r>
        <w:rPr>
          <w:b w:val="0"/>
          <w:i w:val="0"/>
        </w:rPr>
        <w:t xml:space="preserve"> and </w:t>
      </w:r>
      <w:r>
        <w:rPr>
          <w:rFonts w:ascii="DejaVu Sans Mono" w:hAnsi="DejaVu Sans Mono"/>
          <w:b w:val="0"/>
          <w:i w:val="0"/>
          <w:sz w:val="17"/>
        </w:rPr>
        <w:t>interconnector-landings</w:t>
      </w:r>
      <w:r>
        <w:rPr>
          <w:b w:val="0"/>
          <w:i w:val="0"/>
        </w:rPr>
        <w:t xml:space="preserve">. </w:t>
      </w:r>
      <w:r>
        <w:rPr>
          <w:rFonts w:ascii="DejaVu Sans Mono" w:hAnsi="DejaVu Sans Mono"/>
          <w:b w:val="0"/>
          <w:i w:val="0"/>
          <w:sz w:val="17"/>
        </w:rPr>
        <w:t>align_zonal_demand</w:t>
      </w:r>
      <w:r>
        <w:rPr>
          <w:b w:val="0"/>
          <w:i w:val="0"/>
        </w:rPr>
        <w:t xml:space="preserve"> applies the two demand rules, </w:t>
      </w:r>
      <w:r>
        <w:rPr>
          <w:rFonts w:ascii="DejaVu Sans Mono" w:hAnsi="DejaVu Sans Mono"/>
          <w:b w:val="0"/>
          <w:i w:val="0"/>
          <w:sz w:val="17"/>
        </w:rPr>
        <w:t>build_​single_​period_​problem</w:t>
      </w:r>
      <w:r>
        <w:rPr>
          <w:b w:val="0"/>
          <w:i w:val="0"/>
        </w:rPr>
        <w:t xml:space="preserve"> constructs redispatch constraints, </w:t>
      </w:r>
      <w:r>
        <w:rPr>
          <w:rFonts w:ascii="DejaVu Sans Mono" w:hAnsi="DejaVu Sans Mono"/>
          <w:b w:val="0"/>
          <w:i w:val="0"/>
          <w:sz w:val="17"/>
        </w:rPr>
        <w:t>solve_lexicographic</w:t>
      </w:r>
      <w:r>
        <w:rPr>
          <w:b w:val="0"/>
          <w:i w:val="0"/>
        </w:rPr>
        <w:t xml:space="preserve"> solves the 4 objectives sequentially, and </w:t>
      </w:r>
      <w:r>
        <w:rPr>
          <w:rFonts w:ascii="DejaVu Sans Mono" w:hAnsi="DejaVu Sans Mono"/>
          <w:b w:val="0"/>
          <w:i w:val="0"/>
          <w:sz w:val="17"/>
        </w:rPr>
        <w:t>ZonalRedispatchBalancing</w:t>
      </w:r>
      <w:r>
        <w:rPr>
          <w:b w:val="0"/>
          <w:i w:val="0"/>
        </w:rPr>
        <w:t xml:space="preserve"> returns actual injections, inventory and costs. The 11-zone study uses the external research scripts </w:t>
      </w:r>
      <w:r>
        <w:rPr>
          <w:rFonts w:ascii="DejaVu Sans Mono" w:hAnsi="DejaVu Sans Mono"/>
          <w:b w:val="0"/>
          <w:i w:val="0"/>
          <w:sz w:val="17"/>
        </w:rPr>
        <w:t>build_network_data.py</w:t>
      </w:r>
      <w:r>
        <w:rPr>
          <w:b w:val="0"/>
          <w:i w:val="0"/>
        </w:rPr>
        <w:t xml:space="preserve"> and </w:t>
      </w:r>
      <w:r>
        <w:rPr>
          <w:rFonts w:ascii="DejaVu Sans Mono" w:hAnsi="DejaVu Sans Mono"/>
          <w:b w:val="0"/>
          <w:i w:val="0"/>
          <w:sz w:val="17"/>
        </w:rPr>
        <w:t>fixed_fleet_runner.py</w:t>
      </w:r>
      <w:r>
        <w:rPr>
          <w:b w:val="0"/>
          <w:i w:val="0"/>
        </w:rPr>
        <w:t xml:space="preserve">, with </w:t>
      </w:r>
      <w:r>
        <w:rPr>
          <w:rFonts w:ascii="DejaVu Sans Mono" w:hAnsi="DejaVu Sans Mono"/>
          <w:b w:val="0"/>
          <w:i w:val="0"/>
          <w:sz w:val="17"/>
        </w:rPr>
        <w:t>cutsets_2025.json</w:t>
      </w:r>
      <w:r>
        <w:rPr>
          <w:b w:val="0"/>
          <w:i w:val="0"/>
        </w:rPr>
        <w:t xml:space="preserve">, </w:t>
      </w:r>
      <w:r>
        <w:rPr>
          <w:rFonts w:ascii="DejaVu Sans Mono" w:hAnsi="DejaVu Sans Mono"/>
          <w:b w:val="0"/>
          <w:i w:val="0"/>
          <w:sz w:val="17"/>
        </w:rPr>
        <w:t>cutsets_2029.json</w:t>
      </w:r>
      <w:r>
        <w:rPr>
          <w:b w:val="0"/>
          <w:i w:val="0"/>
        </w:rPr>
        <w:t xml:space="preserve"> and summer/winter thermal files defining its scenarios. These scripts belong to the separate fixed-asset experiment described above; the packaged British network study uses the 23-zone suite.</w:t>
      </w:r>
    </w:p>
    <w:p>
      <w:r>
        <w:rPr>
          <w:rFonts w:ascii="DejaVu Sans Mono" w:hAnsi="DejaVu Sans Mono"/>
          <w:b w:val="0"/>
          <w:i w:val="0"/>
          <w:sz w:val="17"/>
        </w:rPr>
        <w:t>network_method_rules.py</w:t>
      </w:r>
      <w:r>
        <w:rPr>
          <w:b w:val="0"/>
          <w:i w:val="0"/>
        </w:rPr>
        <w:t xml:space="preserve"> defines </w:t>
      </w:r>
      <w:r>
        <w:rPr>
          <w:rFonts w:ascii="DejaVu Sans Mono" w:hAnsi="DejaVu Sans Mono"/>
          <w:b w:val="0"/>
          <w:i w:val="0"/>
          <w:sz w:val="17"/>
        </w:rPr>
        <w:t>network-economic-v2</w:t>
      </w:r>
      <w:r>
        <w:rPr>
          <w:b w:val="0"/>
          <w:i w:val="0"/>
        </w:rPr>
        <w:t xml:space="preserve">. The network-free comparison is identified by </w:t>
      </w:r>
      <w:r>
        <w:rPr>
          <w:rFonts w:ascii="DejaVu Sans Mono" w:hAnsi="DejaVu Sans Mono"/>
          <w:b w:val="0"/>
          <w:i w:val="0"/>
          <w:sz w:val="17"/>
        </w:rPr>
        <w:t>value.network-free-lp/​v1</w:t>
      </w:r>
      <w:r>
        <w:rPr>
          <w:b w:val="0"/>
          <w:i w:val="0"/>
        </w:rPr>
        <w:t xml:space="preserve">, while </w:t>
      </w:r>
      <w:r>
        <w:rPr>
          <w:rFonts w:ascii="DejaVu Sans Mono" w:hAnsi="DejaVu Sans Mono"/>
          <w:b w:val="0"/>
          <w:i w:val="0"/>
          <w:sz w:val="17"/>
        </w:rPr>
        <w:t>zonal_results.py</w:t>
      </w:r>
      <w:r>
        <w:rPr>
          <w:b w:val="0"/>
          <w:i w:val="0"/>
        </w:rPr>
        <w:t xml:space="preserve"> assembles zonal outcomes. Each year records downward-bid assumptions in </w:t>
      </w:r>
      <w:r>
        <w:rPr>
          <w:rFonts w:ascii="DejaVu Sans Mono" w:hAnsi="DejaVu Sans Mono"/>
          <w:b w:val="0"/>
          <w:i w:val="0"/>
          <w:sz w:val="17"/>
        </w:rPr>
        <w:t>extensions.downward_​restart_​economics</w:t>
      </w:r>
      <w:r>
        <w:rPr>
          <w:b w:val="0"/>
          <w:i w:val="0"/>
        </w:rPr>
        <w:t xml:space="preserve">, using schema </w:t>
      </w:r>
      <w:r>
        <w:rPr>
          <w:rFonts w:ascii="DejaVu Sans Mono" w:hAnsi="DejaVu Sans Mono"/>
          <w:b w:val="0"/>
          <w:i w:val="0"/>
          <w:sz w:val="17"/>
        </w:rPr>
        <w:t>value.network-downward-restart-economics/​v1</w:t>
      </w:r>
      <w:r>
        <w:rPr>
          <w:b w:val="0"/>
          <w:i w:val="0"/>
        </w:rPr>
        <w:t>; missing inputs and the resulting fallback basis accompany the calculation record.</w:t>
      </w:r>
    </w:p>
    <w:p>
      <w:r>
        <w:rPr>
          <w:b w:val="0"/>
          <w:i w:val="0"/>
        </w:rPr>
        <w:t xml:space="preserve">The independent network modules use buses, branches, asset-to-bus mappings and period demand. </w:t>
      </w:r>
      <w:r>
        <w:rPr>
          <w:rFonts w:ascii="DejaVu Sans Mono" w:hAnsi="DejaVu Sans Mono"/>
          <w:b w:val="0"/>
          <w:i w:val="0"/>
          <w:sz w:val="17"/>
        </w:rPr>
        <w:t>ReferenceDCNetworkPSM</w:t>
      </w:r>
      <w:r>
        <w:rPr>
          <w:b w:val="0"/>
          <w:i w:val="0"/>
        </w:rPr>
        <w:t xml:space="preserve"> and </w:t>
      </w:r>
      <w:r>
        <w:rPr>
          <w:rFonts w:ascii="DejaVu Sans Mono" w:hAnsi="DejaVu Sans Mono"/>
          <w:b w:val="0"/>
          <w:i w:val="0"/>
          <w:sz w:val="17"/>
        </w:rPr>
        <w:t>validate_dc_solution</w:t>
      </w:r>
      <w:r>
        <w:rPr>
          <w:b w:val="0"/>
          <w:i w:val="0"/>
        </w:rPr>
        <w:t xml:space="preserve"> implement linear dispatch and its physical checks; </w:t>
      </w:r>
      <w:r>
        <w:rPr>
          <w:rFonts w:ascii="DejaVu Sans Mono" w:hAnsi="DejaVu Sans Mono"/>
          <w:b w:val="0"/>
          <w:i w:val="0"/>
          <w:sz w:val="17"/>
        </w:rPr>
        <w:t>load_ac_data_from_pack</w:t>
      </w:r>
      <w:r>
        <w:rPr>
          <w:b w:val="0"/>
          <w:i w:val="0"/>
        </w:rPr>
        <w:t xml:space="preserve">, </w:t>
      </w:r>
      <w:r>
        <w:rPr>
          <w:rFonts w:ascii="DejaVu Sans Mono" w:hAnsi="DejaVu Sans Mono"/>
          <w:b w:val="0"/>
          <w:i w:val="0"/>
          <w:sz w:val="17"/>
        </w:rPr>
        <w:t>ReferenceACFeasibilityPSM</w:t>
      </w:r>
      <w:r>
        <w:rPr>
          <w:b w:val="0"/>
          <w:i w:val="0"/>
        </w:rPr>
        <w:t xml:space="preserve"> and </w:t>
      </w:r>
      <w:r>
        <w:rPr>
          <w:rFonts w:ascii="DejaVu Sans Mono" w:hAnsi="DejaVu Sans Mono"/>
          <w:b w:val="0"/>
          <w:i w:val="0"/>
          <w:sz w:val="17"/>
        </w:rPr>
        <w:t>validate_ac_result</w:t>
      </w:r>
      <w:r>
        <w:rPr>
          <w:b w:val="0"/>
          <w:i w:val="0"/>
        </w:rPr>
        <w:t xml:space="preserve"> implement AC inputs, power flow and feasibility checks. </w:t>
      </w:r>
      <w:r>
        <w:rPr>
          <w:rFonts w:ascii="DejaVu Sans Mono" w:hAnsi="DejaVu Sans Mono"/>
          <w:b w:val="0"/>
          <w:i w:val="0"/>
          <w:sz w:val="17"/>
        </w:rPr>
        <w:t>ReferenceTransmissionExpansion</w:t>
      </w:r>
      <w:r>
        <w:rPr>
          <w:b w:val="0"/>
          <w:i w:val="0"/>
        </w:rPr>
        <w:t xml:space="preserve"> reads candidates and budgets and advances construction states, while </w:t>
      </w:r>
      <w:r>
        <w:rPr>
          <w:rFonts w:ascii="DejaVu Sans Mono" w:hAnsi="DejaVu Sans Mono"/>
          <w:b w:val="0"/>
          <w:i w:val="0"/>
          <w:sz w:val="17"/>
        </w:rPr>
        <w:t>apply_​commissioned_​network_​assets</w:t>
      </w:r>
      <w:r>
        <w:rPr>
          <w:b w:val="0"/>
          <w:i w:val="0"/>
        </w:rPr>
        <w:t xml:space="preserve"> inserts active new lines into the network.</w:t>
      </w:r>
    </w:p>
    <w:p>
      <w:pPr>
        <w:pStyle w:val="Heading1"/>
      </w:pPr>
      <w:r>
        <w:rPr>
          <w:b w:val="0"/>
          <w:i w:val="0"/>
        </w:rPr>
        <w:t>8 Perfect-foresight dispatch and natural hydrology</w:t>
      </w:r>
    </w:p>
    <w:p>
      <w:pPr>
        <w:pStyle w:val="Heading2"/>
      </w:pPr>
      <w:r>
        <w:rPr>
          <w:b w:val="0"/>
          <w:i w:val="0"/>
        </w:rPr>
        <w:t>Perfect-foresight single-node dispatch</w:t>
      </w:r>
    </w:p>
    <w:p>
      <w:r>
        <w:rPr>
          <w:b w:val="0"/>
          <w:i w:val="0"/>
        </w:rPr>
        <w:t xml:space="preserve">The perfect-foresight module schedules generation, imports and storage jointly over the complete input chronology at fixed asset capacities. </w:t>
      </w:r>
      <w:r>
        <w:rPr>
          <w:rFonts w:ascii="DejaVu Sans Mono" w:hAnsi="DejaVu Sans Mono"/>
          <w:b w:val="0"/>
          <w:i w:val="0"/>
          <w:sz w:val="17"/>
        </w:rPr>
        <w:t>PerfectForesightPSM.run</w:t>
      </w:r>
      <w:r>
        <w:rPr>
          <w:b w:val="0"/>
          <w:i w:val="0"/>
        </w:rPr>
        <w:t xml:space="preserve"> reads </w:t>
      </w:r>
      <w:r>
        <w:rPr>
          <w:rFonts w:ascii="DejaVu Sans Mono" w:hAnsi="DejaVu Sans Mono"/>
          <w:b w:val="0"/>
          <w:i w:val="0"/>
          <w:sz w:val="17"/>
        </w:rPr>
        <w:t>PSMInput.chronology</w:t>
      </w:r>
      <w:r>
        <w:rPr>
          <w:b w:val="0"/>
          <w:i w:val="0"/>
        </w:rPr>
        <w:t>; the outer annual model supplies investment and the resulting capacities. Each period contains demand, resource availability and marginal costs. Storage inputs give power, energy capacity, efficiencies and initial inventory.</w:t>
      </w:r>
    </w:p>
    <w:p>
      <w:pPr>
        <w:keepNext/>
      </w:pPr>
      <w:r>
        <w:rPr>
          <w:b w:val="0"/>
          <w:i w:val="0"/>
        </w:rPr>
        <w:t xml:space="preserve">The objective minimises operating resource expenditure, storage degradation and shortage cost. The equations retain the implementation names: </w:t>
      </w:r>
      <w:r>
        <w:rPr>
          <w:rFonts w:ascii="DejaVu Sans Mono" w:hAnsi="DejaVu Sans Mono"/>
          <w:b w:val="0"/>
          <w:i w:val="0"/>
          <w:sz w:val="17"/>
        </w:rPr>
        <w:t>resource_period</w:t>
      </w:r>
      <w:r>
        <w:rPr>
          <w:b w:val="0"/>
          <w:i w:val="0"/>
        </w:rPr>
        <w:t xml:space="preserve">, </w:t>
      </w:r>
      <w:r>
        <w:rPr>
          <w:rFonts w:ascii="DejaVu Sans Mono" w:hAnsi="DejaVu Sans Mono"/>
          <w:b w:val="0"/>
          <w:i w:val="0"/>
          <w:sz w:val="17"/>
        </w:rPr>
        <w:t>charge_period</w:t>
      </w:r>
      <w:r>
        <w:rPr>
          <w:b w:val="0"/>
          <w:i w:val="0"/>
        </w:rPr>
        <w:t xml:space="preserve">, </w:t>
      </w:r>
      <w:r>
        <w:rPr>
          <w:rFonts w:ascii="DejaVu Sans Mono" w:hAnsi="DejaVu Sans Mono"/>
          <w:b w:val="0"/>
          <w:i w:val="0"/>
          <w:sz w:val="17"/>
        </w:rPr>
        <w:t>discharge_period</w:t>
      </w:r>
      <w:r>
        <w:rPr>
          <w:b w:val="0"/>
          <w:i w:val="0"/>
        </w:rPr>
        <w:t xml:space="preserve">, </w:t>
      </w:r>
      <w:r>
        <w:rPr>
          <w:rFonts w:ascii="DejaVu Sans Mono" w:hAnsi="DejaVu Sans Mono"/>
          <w:b w:val="0"/>
          <w:i w:val="0"/>
          <w:sz w:val="17"/>
        </w:rPr>
        <w:t>soc_period</w:t>
      </w:r>
      <w:r>
        <w:rPr>
          <w:b w:val="0"/>
          <w:i w:val="0"/>
        </w:rPr>
        <w:t xml:space="preserve"> and </w:t>
      </w:r>
      <w:r>
        <w:rPr>
          <w:rFonts w:ascii="DejaVu Sans Mono" w:hAnsi="DejaVu Sans Mono"/>
          <w:b w:val="0"/>
          <w:i w:val="0"/>
          <w:sz w:val="17"/>
        </w:rPr>
        <w:t>blackout</w:t>
      </w:r>
      <w:r>
        <w:rPr>
          <w:b w:val="0"/>
          <w:i w:val="0"/>
        </w:rPr>
        <w:t xml:space="preserve"> are MWh arrays, indexed by resource </w:t>
      </w:r>
      <w:r>
        <w:drawing>
          <wp:inline xmlns:a="http://schemas.openxmlformats.org/drawingml/2006/main" xmlns:pic="http://schemas.openxmlformats.org/drawingml/2006/picture">
            <wp:extent cx="57032" cy="111870"/>
            <wp:docPr id="172" name="Picture 172"/>
            <wp:cNvGraphicFramePr>
              <a:graphicFrameLocks noChangeAspect="1"/>
            </wp:cNvGraphicFramePr>
            <a:graphic>
              <a:graphicData uri="http://schemas.openxmlformats.org/drawingml/2006/picture">
                <pic:pic>
                  <pic:nvPicPr>
                    <pic:cNvPr id="0" name="eq-172.png"/>
                    <pic:cNvPicPr/>
                  </pic:nvPicPr>
                  <pic:blipFill>
                    <a:blip r:embed="rId166"/>
                    <a:stretch>
                      <a:fillRect/>
                    </a:stretch>
                  </pic:blipFill>
                  <pic:spPr>
                    <a:xfrm>
                      <a:off x="0" y="0"/>
                      <a:ext cx="57032" cy="111870"/>
                    </a:xfrm>
                    <a:prstGeom prst="rect"/>
                  </pic:spPr>
                </pic:pic>
              </a:graphicData>
            </a:graphic>
          </wp:inline>
        </w:drawing>
      </w:r>
      <w:r>
        <w:rPr>
          <w:b w:val="0"/>
          <w:i w:val="0"/>
        </w:rPr>
        <w:t xml:space="preserve">, storage asset </w:t>
      </w:r>
      <w:r>
        <w:drawing>
          <wp:inline xmlns:a="http://schemas.openxmlformats.org/drawingml/2006/main" xmlns:pic="http://schemas.openxmlformats.org/drawingml/2006/picture">
            <wp:extent cx="77479" cy="75265"/>
            <wp:docPr id="173" name="Picture 173"/>
            <wp:cNvGraphicFramePr>
              <a:graphicFrameLocks noChangeAspect="1"/>
            </wp:cNvGraphicFramePr>
            <a:graphic>
              <a:graphicData uri="http://schemas.openxmlformats.org/drawingml/2006/picture">
                <pic:pic>
                  <pic:nvPicPr>
                    <pic:cNvPr id="0" name="eq-173.png"/>
                    <pic:cNvPicPr/>
                  </pic:nvPicPr>
                  <pic:blipFill>
                    <a:blip r:embed="rId167"/>
                    <a:stretch>
                      <a:fillRect/>
                    </a:stretch>
                  </pic:blipFill>
                  <pic:spPr>
                    <a:xfrm>
                      <a:off x="0" y="0"/>
                      <a:ext cx="77479" cy="75265"/>
                    </a:xfrm>
                    <a:prstGeom prst="rect"/>
                  </pic:spPr>
                </pic:pic>
              </a:graphicData>
            </a:graphic>
          </wp:inline>
        </w:drawing>
      </w:r>
      <w:r>
        <w:rPr>
          <w:b w:val="0"/>
          <w:i w:val="0"/>
        </w:rPr>
        <w:t xml:space="preserve"> and period </w:t>
      </w:r>
      <w:r>
        <w:drawing>
          <wp:inline xmlns:a="http://schemas.openxmlformats.org/drawingml/2006/main" xmlns:pic="http://schemas.openxmlformats.org/drawingml/2006/picture">
            <wp:extent cx="59661" cy="106064"/>
            <wp:docPr id="174" name="Picture 174"/>
            <wp:cNvGraphicFramePr>
              <a:graphicFrameLocks noChangeAspect="1"/>
            </wp:cNvGraphicFramePr>
            <a:graphic>
              <a:graphicData uri="http://schemas.openxmlformats.org/drawingml/2006/picture">
                <pic:pic>
                  <pic:nvPicPr>
                    <pic:cNvPr id="0" name="eq-174.png"/>
                    <pic:cNvPicPr/>
                  </pic:nvPicPr>
                  <pic:blipFill>
                    <a:blip r:embed="rId168"/>
                    <a:stretch>
                      <a:fillRect/>
                    </a:stretch>
                  </pic:blipFill>
                  <pic:spPr>
                    <a:xfrm>
                      <a:off x="0" y="0"/>
                      <a:ext cx="59661" cy="106064"/>
                    </a:xfrm>
                    <a:prstGeom prst="rect"/>
                  </pic:spPr>
                </pic:pic>
              </a:graphicData>
            </a:graphic>
          </wp:inline>
        </w:drawing>
      </w:r>
      <w:r>
        <w:rPr>
          <w:b w:val="0"/>
          <w:i w:val="0"/>
        </w:rPr>
        <w:t xml:space="preserve">. </w:t>
      </w:r>
      <w:r>
        <w:rPr>
          <w:rFonts w:ascii="DejaVu Sans Mono" w:hAnsi="DejaVu Sans Mono"/>
          <w:b w:val="0"/>
          <w:i w:val="0"/>
          <w:sz w:val="17"/>
        </w:rPr>
        <w:t>resource_marginal_costs</w:t>
      </w:r>
      <w:r>
        <w:rPr>
          <w:b w:val="0"/>
          <w:i w:val="0"/>
        </w:rPr>
        <w:t xml:space="preserve"> and </w:t>
      </w:r>
      <w:r>
        <w:rPr>
          <w:rFonts w:ascii="DejaVu Sans Mono" w:hAnsi="DejaVu Sans Mono"/>
          <w:b w:val="0"/>
          <w:i w:val="0"/>
          <w:sz w:val="17"/>
        </w:rPr>
        <w:t>variable_​degradation_​gbp_​per_​mwh_​discharged</w:t>
      </w:r>
      <w:r>
        <w:rPr>
          <w:b w:val="0"/>
          <w:i w:val="0"/>
        </w:rPr>
        <w:t xml:space="preserve"> are GBP/MWh. With </w:t>
      </w:r>
      <w:r>
        <w:rPr>
          <w:rFonts w:ascii="DejaVu Sans Mono" w:hAnsi="DejaVu Sans Mono"/>
          <w:b w:val="0"/>
          <w:i w:val="0"/>
          <w:sz w:val="17"/>
        </w:rPr>
        <w:t>voll_gbp_per_mwh</w:t>
      </w:r>
      <w:r>
        <w:rPr>
          <w:b w:val="0"/>
          <w:i w:val="0"/>
        </w:rPr>
        <w:t xml:space="preserve"> as the shortage valuation, the objective is</w:t>
      </w:r>
    </w:p>
    <w:p>
      <w:pPr>
        <w:spacing w:after="160"/>
        <w:jc w:val="center"/>
      </w:pPr>
      <w:r>
        <w:drawing>
          <wp:inline xmlns:a="http://schemas.openxmlformats.org/drawingml/2006/main" xmlns:pic="http://schemas.openxmlformats.org/drawingml/2006/picture">
            <wp:extent cx="6150406" cy="1248372"/>
            <wp:docPr id="175" name="Picture 175"/>
            <wp:cNvGraphicFramePr>
              <a:graphicFrameLocks noChangeAspect="1"/>
            </wp:cNvGraphicFramePr>
            <a:graphic>
              <a:graphicData uri="http://schemas.openxmlformats.org/drawingml/2006/picture">
                <pic:pic>
                  <pic:nvPicPr>
                    <pic:cNvPr id="0" name="eq-175.png"/>
                    <pic:cNvPicPr/>
                  </pic:nvPicPr>
                  <pic:blipFill>
                    <a:blip r:embed="rId169"/>
                    <a:stretch>
                      <a:fillRect/>
                    </a:stretch>
                  </pic:blipFill>
                  <pic:spPr>
                    <a:xfrm>
                      <a:off x="0" y="0"/>
                      <a:ext cx="6150406" cy="1248372"/>
                    </a:xfrm>
                    <a:prstGeom prst="rect"/>
                  </pic:spPr>
                </pic:pic>
              </a:graphicData>
            </a:graphic>
          </wp:inline>
        </w:drawing>
      </w:r>
    </w:p>
    <w:p>
      <w:pPr>
        <w:keepNext/>
      </w:pPr>
      <w:r>
        <w:rPr>
          <w:b w:val="0"/>
          <w:i w:val="0"/>
        </w:rPr>
        <w:t>The single-node balance supplies demand and charging from available resources, storage discharge and recorded shortage:</w:t>
      </w:r>
    </w:p>
    <w:p>
      <w:pPr>
        <w:spacing w:after="160"/>
        <w:jc w:val="center"/>
      </w:pPr>
      <w:r>
        <w:drawing>
          <wp:inline xmlns:a="http://schemas.openxmlformats.org/drawingml/2006/main" xmlns:pic="http://schemas.openxmlformats.org/drawingml/2006/picture">
            <wp:extent cx="4421886" cy="784233"/>
            <wp:docPr id="176" name="Picture 176"/>
            <wp:cNvGraphicFramePr>
              <a:graphicFrameLocks noChangeAspect="1"/>
            </wp:cNvGraphicFramePr>
            <a:graphic>
              <a:graphicData uri="http://schemas.openxmlformats.org/drawingml/2006/picture">
                <pic:pic>
                  <pic:nvPicPr>
                    <pic:cNvPr id="0" name="eq-176.png"/>
                    <pic:cNvPicPr/>
                  </pic:nvPicPr>
                  <pic:blipFill>
                    <a:blip r:embed="rId170"/>
                    <a:stretch>
                      <a:fillRect/>
                    </a:stretch>
                  </pic:blipFill>
                  <pic:spPr>
                    <a:xfrm>
                      <a:off x="0" y="0"/>
                      <a:ext cx="4421886" cy="784233"/>
                    </a:xfrm>
                    <a:prstGeom prst="rect"/>
                  </pic:spPr>
                </pic:pic>
              </a:graphicData>
            </a:graphic>
          </wp:inline>
        </w:drawing>
      </w:r>
    </w:p>
    <w:p>
      <w:pPr>
        <w:keepNext/>
      </w:pPr>
      <w:r>
        <w:rPr>
          <w:b w:val="0"/>
          <w:i w:val="0"/>
        </w:rPr>
        <w:t xml:space="preserve">Storage inventory records internal energy. </w:t>
      </w:r>
      <w:r>
        <w:rPr>
          <w:rFonts w:ascii="DejaVu Sans Mono" w:hAnsi="DejaVu Sans Mono"/>
          <w:b w:val="0"/>
          <w:i w:val="0"/>
          <w:sz w:val="17"/>
        </w:rPr>
        <w:t>charge_efficiency</w:t>
      </w:r>
      <w:r>
        <w:rPr>
          <w:b w:val="0"/>
          <w:i w:val="0"/>
        </w:rPr>
        <w:t xml:space="preserve"> multiplies electricity absorbed from the grid, while delivered electricity is divided by </w:t>
      </w:r>
      <w:r>
        <w:rPr>
          <w:rFonts w:ascii="DejaVu Sans Mono" w:hAnsi="DejaVu Sans Mono"/>
          <w:b w:val="0"/>
          <w:i w:val="0"/>
          <w:sz w:val="17"/>
        </w:rPr>
        <w:t>discharge_efficiency</w:t>
      </w:r>
      <w:r>
        <w:rPr>
          <w:b w:val="0"/>
          <w:i w:val="0"/>
        </w:rPr>
        <w:t>:</w:t>
      </w:r>
    </w:p>
    <w:p>
      <w:pPr>
        <w:spacing w:after="160"/>
        <w:jc w:val="center"/>
      </w:pPr>
      <w:r>
        <w:drawing>
          <wp:inline xmlns:a="http://schemas.openxmlformats.org/drawingml/2006/main" xmlns:pic="http://schemas.openxmlformats.org/drawingml/2006/picture">
            <wp:extent cx="5128869" cy="441119"/>
            <wp:docPr id="177" name="Picture 177"/>
            <wp:cNvGraphicFramePr>
              <a:graphicFrameLocks noChangeAspect="1"/>
            </wp:cNvGraphicFramePr>
            <a:graphic>
              <a:graphicData uri="http://schemas.openxmlformats.org/drawingml/2006/picture">
                <pic:pic>
                  <pic:nvPicPr>
                    <pic:cNvPr id="0" name="eq-177.png"/>
                    <pic:cNvPicPr/>
                  </pic:nvPicPr>
                  <pic:blipFill>
                    <a:blip r:embed="rId171"/>
                    <a:stretch>
                      <a:fillRect/>
                    </a:stretch>
                  </pic:blipFill>
                  <pic:spPr>
                    <a:xfrm>
                      <a:off x="0" y="0"/>
                      <a:ext cx="5128869" cy="441119"/>
                    </a:xfrm>
                    <a:prstGeom prst="rect"/>
                  </pic:spPr>
                </pic:pic>
              </a:graphicData>
            </a:graphic>
          </wp:inline>
        </w:drawing>
      </w:r>
    </w:p>
    <w:p>
      <w:pPr>
        <w:keepNext/>
      </w:pPr>
      <w:r>
        <w:rPr>
          <w:b w:val="0"/>
          <w:i w:val="0"/>
        </w:rPr>
        <w:t xml:space="preserve">Capacity bounds use </w:t>
      </w:r>
      <w:r>
        <w:rPr>
          <w:rFonts w:ascii="DejaVu Sans Mono" w:hAnsi="DejaVu Sans Mono"/>
          <w:b w:val="0"/>
          <w:i w:val="0"/>
          <w:sz w:val="17"/>
        </w:rPr>
        <w:t>period_hours</w:t>
      </w:r>
      <w:r>
        <w:rPr>
          <w:b w:val="0"/>
          <w:i w:val="0"/>
        </w:rPr>
        <w:t xml:space="preserve"> to convert MW into period MWh:</w:t>
      </w:r>
    </w:p>
    <w:p>
      <w:pPr>
        <w:spacing w:after="160"/>
        <w:jc w:val="center"/>
      </w:pPr>
      <w:r>
        <w:drawing>
          <wp:inline xmlns:a="http://schemas.openxmlformats.org/drawingml/2006/main" xmlns:pic="http://schemas.openxmlformats.org/drawingml/2006/picture">
            <wp:extent cx="5133213" cy="930609"/>
            <wp:docPr id="178" name="Picture 178"/>
            <wp:cNvGraphicFramePr>
              <a:graphicFrameLocks noChangeAspect="1"/>
            </wp:cNvGraphicFramePr>
            <a:graphic>
              <a:graphicData uri="http://schemas.openxmlformats.org/drawingml/2006/picture">
                <pic:pic>
                  <pic:nvPicPr>
                    <pic:cNvPr id="0" name="eq-178.png"/>
                    <pic:cNvPicPr/>
                  </pic:nvPicPr>
                  <pic:blipFill>
                    <a:blip r:embed="rId172"/>
                    <a:stretch>
                      <a:fillRect/>
                    </a:stretch>
                  </pic:blipFill>
                  <pic:spPr>
                    <a:xfrm>
                      <a:off x="0" y="0"/>
                      <a:ext cx="5133213" cy="930609"/>
                    </a:xfrm>
                    <a:prstGeom prst="rect"/>
                  </pic:spPr>
                </pic:pic>
              </a:graphicData>
            </a:graphic>
          </wp:inline>
        </w:drawing>
      </w:r>
    </w:p>
    <w:p>
      <w:r>
        <w:rPr>
          <w:b w:val="0"/>
          <w:i w:val="0"/>
        </w:rPr>
        <w:t xml:space="preserve">Initial and terminal inventory determine net storage energy exchange across the horizon. The first transition starts from </w:t>
      </w:r>
      <w:r>
        <w:rPr>
          <w:rFonts w:ascii="DejaVu Sans Mono" w:hAnsi="DejaVu Sans Mono"/>
          <w:b w:val="0"/>
          <w:i w:val="0"/>
          <w:sz w:val="17"/>
        </w:rPr>
        <w:t>initial_soc_mwh</w:t>
      </w:r>
      <w:r>
        <w:rPr>
          <w:b w:val="0"/>
          <w:i w:val="0"/>
        </w:rPr>
        <w:t xml:space="preserve">. The default </w:t>
      </w:r>
      <w:r>
        <w:rPr>
          <w:rFonts w:ascii="DejaVu Sans Mono" w:hAnsi="DejaVu Sans Mono"/>
          <w:b w:val="0"/>
          <w:i w:val="0"/>
          <w:sz w:val="17"/>
        </w:rPr>
        <w:t>terminal_soc_rule = cyclic</w:t>
      </w:r>
      <w:r>
        <w:rPr>
          <w:b w:val="0"/>
          <w:i w:val="0"/>
        </w:rPr>
        <w:t xml:space="preserve"> equates final and initial inventory; </w:t>
      </w:r>
      <w:r>
        <w:rPr>
          <w:rFonts w:ascii="DejaVu Sans Mono" w:hAnsi="DejaVu Sans Mono"/>
          <w:b w:val="0"/>
          <w:i w:val="0"/>
          <w:sz w:val="17"/>
        </w:rPr>
        <w:t>fixed</w:t>
      </w:r>
      <w:r>
        <w:rPr>
          <w:b w:val="0"/>
          <w:i w:val="0"/>
        </w:rPr>
        <w:t xml:space="preserve"> uses </w:t>
      </w:r>
      <w:r>
        <w:rPr>
          <w:rFonts w:ascii="DejaVu Sans Mono" w:hAnsi="DejaVu Sans Mono"/>
          <w:b w:val="0"/>
          <w:i w:val="0"/>
          <w:sz w:val="17"/>
        </w:rPr>
        <w:t>terminal_​soc_​mwh_​by_​asset</w:t>
      </w:r>
      <w:r>
        <w:rPr>
          <w:b w:val="0"/>
          <w:i w:val="0"/>
        </w:rPr>
        <w:t xml:space="preserve">; </w:t>
      </w:r>
      <w:r>
        <w:rPr>
          <w:rFonts w:ascii="DejaVu Sans Mono" w:hAnsi="DejaVu Sans Mono"/>
          <w:b w:val="0"/>
          <w:i w:val="0"/>
          <w:sz w:val="17"/>
        </w:rPr>
        <w:t>free</w:t>
      </w:r>
      <w:r>
        <w:rPr>
          <w:b w:val="0"/>
          <w:i w:val="0"/>
        </w:rPr>
        <w:t xml:space="preserve"> leaves final inventory within its bounds. With </w:t>
      </w:r>
      <w:r>
        <w:rPr>
          <w:rFonts w:ascii="DejaVu Sans Mono" w:hAnsi="DejaVu Sans Mono"/>
          <w:b w:val="0"/>
          <w:i w:val="0"/>
          <w:sz w:val="17"/>
        </w:rPr>
        <w:t>allow_blackout</w:t>
      </w:r>
      <w:r>
        <w:rPr>
          <w:b w:val="0"/>
          <w:i w:val="0"/>
        </w:rPr>
        <w:t xml:space="preserve">, shortage lies between zero and </w:t>
      </w:r>
      <w:r>
        <w:rPr>
          <w:rFonts w:ascii="DejaVu Sans Mono" w:hAnsi="DejaVu Sans Mono"/>
          <w:b w:val="0"/>
          <w:i w:val="0"/>
          <w:sz w:val="17"/>
        </w:rPr>
        <w:t>demand_mwh</w:t>
      </w:r>
      <w:r>
        <w:rPr>
          <w:b w:val="0"/>
          <w:i w:val="0"/>
        </w:rPr>
        <w:t xml:space="preserve">; otherwise its upper bound is zero. Defaults are </w:t>
      </w:r>
      <w:r>
        <w:rPr>
          <w:rFonts w:ascii="DejaVu Sans Mono" w:hAnsi="DejaVu Sans Mono"/>
          <w:b w:val="0"/>
          <w:i w:val="0"/>
          <w:sz w:val="17"/>
        </w:rPr>
        <w:t>period_hours = 0.5</w:t>
      </w:r>
      <w:r>
        <w:rPr>
          <w:b w:val="0"/>
          <w:i w:val="0"/>
        </w:rPr>
        <w:t xml:space="preserve">, </w:t>
      </w:r>
      <w:r>
        <w:rPr>
          <w:rFonts w:ascii="DejaVu Sans Mono" w:hAnsi="DejaVu Sans Mono"/>
          <w:b w:val="0"/>
          <w:i w:val="0"/>
          <w:sz w:val="17"/>
        </w:rPr>
        <w:t>voll_gbp_per_mwh = 17000</w:t>
      </w:r>
      <w:r>
        <w:rPr>
          <w:b w:val="0"/>
          <w:i w:val="0"/>
        </w:rPr>
        <w:t xml:space="preserve"> and zero degradation cost. The Study parameter </w:t>
      </w:r>
      <w:r>
        <w:rPr>
          <w:rFonts w:ascii="DejaVu Sans Mono" w:hAnsi="DejaVu Sans Mono"/>
          <w:b w:val="0"/>
          <w:i w:val="0"/>
          <w:sz w:val="17"/>
        </w:rPr>
        <w:t>market.voll_gbp_per_mwh</w:t>
      </w:r>
      <w:r>
        <w:rPr>
          <w:b w:val="0"/>
          <w:i w:val="0"/>
        </w:rPr>
        <w:t xml:space="preserve"> accepts 0–1,000,000 GBP/MWh and enters the dispatch objective.</w:t>
      </w:r>
    </w:p>
    <w:p>
      <w:pPr>
        <w:keepNext/>
      </w:pPr>
      <w:r>
        <w:rPr>
          <w:b w:val="0"/>
          <w:i w:val="0"/>
        </w:rPr>
        <w:t xml:space="preserve">A second linear programme minimises storage throughput within the first solution's cost tolerance. </w:t>
      </w:r>
      <w:r>
        <w:rPr>
          <w:rFonts w:ascii="DejaVu Sans Mono" w:hAnsi="DejaVu Sans Mono"/>
          <w:b w:val="0"/>
          <w:i w:val="0"/>
          <w:sz w:val="17"/>
        </w:rPr>
        <w:t>primary.fun</w:t>
      </w:r>
      <w:r>
        <w:rPr>
          <w:b w:val="0"/>
          <w:i w:val="0"/>
        </w:rPr>
        <w:t xml:space="preserve"> is the first-stage minimum in GBP; the second stage retains all physical constraints and adds</w:t>
      </w:r>
    </w:p>
    <w:p>
      <w:pPr>
        <w:spacing w:after="160"/>
        <w:jc w:val="center"/>
      </w:pPr>
      <w:r>
        <w:drawing>
          <wp:inline xmlns:a="http://schemas.openxmlformats.org/drawingml/2006/main" xmlns:pic="http://schemas.openxmlformats.org/drawingml/2006/picture">
            <wp:extent cx="4758385" cy="886769"/>
            <wp:docPr id="179" name="Picture 179"/>
            <wp:cNvGraphicFramePr>
              <a:graphicFrameLocks noChangeAspect="1"/>
            </wp:cNvGraphicFramePr>
            <a:graphic>
              <a:graphicData uri="http://schemas.openxmlformats.org/drawingml/2006/picture">
                <pic:pic>
                  <pic:nvPicPr>
                    <pic:cNvPr id="0" name="eq-179.png"/>
                    <pic:cNvPicPr/>
                  </pic:nvPicPr>
                  <pic:blipFill>
                    <a:blip r:embed="rId173"/>
                    <a:stretch>
                      <a:fillRect/>
                    </a:stretch>
                  </pic:blipFill>
                  <pic:spPr>
                    <a:xfrm>
                      <a:off x="0" y="0"/>
                      <a:ext cx="4758385" cy="886769"/>
                    </a:xfrm>
                    <a:prstGeom prst="rect"/>
                  </pic:spPr>
                </pic:pic>
              </a:graphicData>
            </a:graphic>
          </wp:inline>
        </w:drawing>
      </w:r>
    </w:p>
    <w:p>
      <w:r>
        <w:rPr>
          <w:b w:val="0"/>
          <w:i w:val="0"/>
        </w:rPr>
        <w:t xml:space="preserve">Both stages use HiGHS with primal and dual feasibility tolerances of </w:t>
      </w:r>
      <w:r>
        <w:drawing>
          <wp:inline xmlns:a="http://schemas.openxmlformats.org/drawingml/2006/main" xmlns:pic="http://schemas.openxmlformats.org/drawingml/2006/picture">
            <wp:extent cx="328247" cy="146617"/>
            <wp:docPr id="180" name="Picture 180"/>
            <wp:cNvGraphicFramePr>
              <a:graphicFrameLocks noChangeAspect="1"/>
            </wp:cNvGraphicFramePr>
            <a:graphic>
              <a:graphicData uri="http://schemas.openxmlformats.org/drawingml/2006/picture">
                <pic:pic>
                  <pic:nvPicPr>
                    <pic:cNvPr id="0" name="eq-142.png"/>
                    <pic:cNvPicPr/>
                  </pic:nvPicPr>
                  <pic:blipFill>
                    <a:blip r:embed="rId144"/>
                    <a:stretch>
                      <a:fillRect/>
                    </a:stretch>
                  </pic:blipFill>
                  <pic:spPr>
                    <a:xfrm>
                      <a:off x="0" y="0"/>
                      <a:ext cx="328247" cy="146617"/>
                    </a:xfrm>
                    <a:prstGeom prst="rect"/>
                  </pic:spPr>
                </pic:pic>
              </a:graphicData>
            </a:graphic>
          </wp:inline>
        </w:drawing>
      </w:r>
      <w:r>
        <w:rPr>
          <w:b w:val="0"/>
          <w:i w:val="0"/>
        </w:rPr>
        <w:t xml:space="preserve">. The returned physical trajectory is </w:t>
      </w:r>
      <w:r>
        <w:rPr>
          <w:rFonts w:ascii="DejaVu Sans Mono" w:hAnsi="DejaVu Sans Mono"/>
          <w:b w:val="0"/>
          <w:i w:val="0"/>
          <w:sz w:val="17"/>
        </w:rPr>
        <w:t>secondary.x</w:t>
      </w:r>
      <w:r>
        <w:rPr>
          <w:b w:val="0"/>
          <w:i w:val="0"/>
        </w:rPr>
        <w:t xml:space="preserve">. The maximum simultaneous charge and discharge, </w:t>
      </w:r>
      <w:r>
        <w:rPr>
          <w:rFonts w:ascii="DejaVu Sans Mono" w:hAnsi="DejaVu Sans Mono"/>
          <w:b w:val="0"/>
          <w:i w:val="0"/>
          <w:sz w:val="17"/>
        </w:rPr>
        <w:t>simultaneous</w:t>
      </w:r>
      <w:r>
        <w:rPr>
          <w:b w:val="0"/>
          <w:i w:val="0"/>
        </w:rPr>
        <w:t xml:space="preserve">, must be at most </w:t>
      </w:r>
      <w:r>
        <w:drawing>
          <wp:inline xmlns:a="http://schemas.openxmlformats.org/drawingml/2006/main" xmlns:pic="http://schemas.openxmlformats.org/drawingml/2006/picture">
            <wp:extent cx="328247" cy="146617"/>
            <wp:docPr id="181" name="Picture 181"/>
            <wp:cNvGraphicFramePr>
              <a:graphicFrameLocks noChangeAspect="1"/>
            </wp:cNvGraphicFramePr>
            <a:graphic>
              <a:graphicData uri="http://schemas.openxmlformats.org/drawingml/2006/picture">
                <pic:pic>
                  <pic:nvPicPr>
                    <pic:cNvPr id="0" name="eq-181.png"/>
                    <pic:cNvPicPr/>
                  </pic:nvPicPr>
                  <pic:blipFill>
                    <a:blip r:embed="rId174"/>
                    <a:stretch>
                      <a:fillRect/>
                    </a:stretch>
                  </pic:blipFill>
                  <pic:spPr>
                    <a:xfrm>
                      <a:off x="0" y="0"/>
                      <a:ext cx="328247" cy="146617"/>
                    </a:xfrm>
                    <a:prstGeom prst="rect"/>
                  </pic:spPr>
                </pic:pic>
              </a:graphicData>
            </a:graphic>
          </wp:inline>
        </w:drawing>
      </w:r>
      <w:r>
        <w:rPr>
          <w:b w:val="0"/>
          <w:i w:val="0"/>
        </w:rPr>
        <w:t xml:space="preserve"> MWh. Unused renewable energy is availability less accepted resource supply.</w:t>
      </w:r>
    </w:p>
    <w:p>
      <w:r>
        <w:rPr>
          <w:b w:val="0"/>
          <w:i w:val="0"/>
        </w:rPr>
        <w:t xml:space="preserve">The displayed “Balance shadow price” is the first-stage marginal operating cost of period demand. Revenue multiplies the demand-balance dual in GBP/MWh by accepted MWh; storage earns the dual multiplied by discharge less charge. Consumer payment uses supplied demand. System cost adds annualised capital and the fixed operation and maintenance of non-wind, non-solar and non-storage assets to variable expenditure, degradation and shortage cost. The fixed-cost input is </w:t>
      </w:r>
      <w:r>
        <w:rPr>
          <w:rFonts w:ascii="DejaVu Sans Mono" w:hAnsi="DejaVu Sans Mono"/>
          <w:b w:val="0"/>
          <w:i w:val="0"/>
          <w:sz w:val="17"/>
        </w:rPr>
        <w:t>annual_fixed_opex_gbp</w:t>
      </w:r>
      <w:r>
        <w:rPr>
          <w:b w:val="0"/>
          <w:i w:val="0"/>
        </w:rPr>
        <w:t>; wind, solar and storage fixed operation and maintenance remains a memo line under Chapter 4.</w:t>
      </w:r>
    </w:p>
    <w:p>
      <w:pPr>
        <w:keepLines/>
        <w:spacing w:line="276" w:lineRule="auto" w:after="160"/>
      </w:pPr>
      <w:r>
        <w:rPr>
          <w:rFonts w:ascii="DejaVu Sans Mono" w:hAnsi="DejaVu Sans Mono"/>
          <w:b w:val="0"/>
          <w:i w:val="0"/>
          <w:sz w:val="17"/>
        </w:rPr>
        <w:t>PerfectForesightPSM.run(model_​input):</w:t>
        <w:br/>
        <w:t xml:space="preserve">    data = model_input.chronology</w:t>
        <w:br/>
        <w:t xml:space="preserve">    validate_​chronology(data, model_​input.period_​hours)</w:t>
        <w:br/>
        <w:t xml:space="preserve">    _availability(...) and _marginal_costs(...): expand inputs to every period</w:t>
        <w:br/>
        <w:t xml:space="preserve">    _layout(data): allocate resource, charge, discharge, soc and blackout</w:t>
        <w:br/>
        <w:t xml:space="preserve">    assemble objective, throughput_objective, equality, rhs and bounds</w:t>
        <w:br/>
        <w:t xml:space="preserve">    primary = linprog(objective, A_eq=equality, b_eq=rhs,</w:t>
        <w:br/>
        <w:t xml:space="preserve">                      bounds=bounds, method="highs")</w:t>
        <w:br/>
        <w:t xml:space="preserve">    primary_tolerance = max(1e-7, abs(primary.fun) * 1e-10)</w:t>
        <w:br/>
        <w:t xml:space="preserve">    secondary = linprog(</w:t>
        <w:br/>
        <w:t xml:space="preserve">        throughput_objective, A_​ub=objective.reshape(1, -1),</w:t>
        <w:br/>
        <w:t xml:space="preserve">        b_ub=[primary.fun + primary_tolerance], A_eq=equality, b_eq=rhs,</w:t>
        <w:br/>
        <w:t xml:space="preserve">        bounds=bounds, method="highs")</w:t>
        <w:br/>
        <w:t xml:space="preserve">    extract resource_period, charge_period and discharge_period</w:t>
        <w:br/>
        <w:t xml:space="preserve">    extract soc_period and blackout</w:t>
        <w:br/>
        <w:t xml:space="preserve">    check balance and simultaneous storage operation</w:t>
        <w:br/>
        <w:t xml:space="preserve">    return costs and demand duals</w:t>
        <w:br/>
      </w:r>
    </w:p>
    <w:p>
      <w:r>
        <w:rPr>
          <w:b w:val="0"/>
          <w:i w:val="0"/>
        </w:rPr>
        <w:t xml:space="preserve">Resource availability accepts a single-element series or a complete series, with finite values in </w:t>
      </w:r>
      <w:r>
        <w:drawing>
          <wp:inline xmlns:a="http://schemas.openxmlformats.org/drawingml/2006/main" xmlns:pic="http://schemas.openxmlformats.org/drawingml/2006/picture">
            <wp:extent cx="330511" cy="164161"/>
            <wp:docPr id="182" name="Picture 182"/>
            <wp:cNvGraphicFramePr>
              <a:graphicFrameLocks noChangeAspect="1"/>
            </wp:cNvGraphicFramePr>
            <a:graphic>
              <a:graphicData uri="http://schemas.openxmlformats.org/drawingml/2006/picture">
                <pic:pic>
                  <pic:nvPicPr>
                    <pic:cNvPr id="0" name="eq-158.png"/>
                    <pic:cNvPicPr/>
                  </pic:nvPicPr>
                  <pic:blipFill>
                    <a:blip r:embed="rId154"/>
                    <a:stretch>
                      <a:fillRect/>
                    </a:stretch>
                  </pic:blipFill>
                  <pic:spPr>
                    <a:xfrm>
                      <a:off x="0" y="0"/>
                      <a:ext cx="330511" cy="164161"/>
                    </a:xfrm>
                    <a:prstGeom prst="rect"/>
                  </pic:spPr>
                </pic:pic>
              </a:graphicData>
            </a:graphic>
          </wp:inline>
        </w:drawing>
      </w:r>
      <w:r>
        <w:rPr>
          <w:b w:val="0"/>
          <w:i w:val="0"/>
        </w:rPr>
        <w:t xml:space="preserve">. Marginal cost accepts a scalar, a single-element series or a complete series, with finite nonnegative values. The adapter checks chronology length and requires charging and discharging efficiencies in </w:t>
      </w:r>
      <w:r>
        <w:drawing>
          <wp:inline xmlns:a="http://schemas.openxmlformats.org/drawingml/2006/main" xmlns:pic="http://schemas.openxmlformats.org/drawingml/2006/picture">
            <wp:extent cx="348913" cy="164582"/>
            <wp:docPr id="183" name="Picture 183"/>
            <wp:cNvGraphicFramePr>
              <a:graphicFrameLocks noChangeAspect="1"/>
            </wp:cNvGraphicFramePr>
            <a:graphic>
              <a:graphicData uri="http://schemas.openxmlformats.org/drawingml/2006/picture">
                <pic:pic>
                  <pic:nvPicPr>
                    <pic:cNvPr id="0" name="eq-183.png"/>
                    <pic:cNvPicPr/>
                  </pic:nvPicPr>
                  <pic:blipFill>
                    <a:blip r:embed="rId175"/>
                    <a:stretch>
                      <a:fillRect/>
                    </a:stretch>
                  </pic:blipFill>
                  <pic:spPr>
                    <a:xfrm>
                      <a:off x="0" y="0"/>
                      <a:ext cx="348913" cy="164582"/>
                    </a:xfrm>
                    <a:prstGeom prst="rect"/>
                  </pic:spPr>
                </pic:pic>
              </a:graphicData>
            </a:graphic>
          </wp:inline>
        </w:drawing>
      </w:r>
      <w:r>
        <w:rPr>
          <w:b w:val="0"/>
          <w:i w:val="0"/>
        </w:rPr>
        <w:t>. Hydro supplied here is a resource with declared electrical availability. The hydrological functions below construct availability from inflow or optimise a conventional reservoir.</w:t>
      </w:r>
    </w:p>
    <w:p>
      <w:pPr>
        <w:pStyle w:val="Heading2"/>
      </w:pPr>
      <w:r>
        <w:rPr>
          <w:b w:val="0"/>
          <w:i w:val="0"/>
        </w:rPr>
        <w:t>Available run-of-river electricity</w:t>
      </w:r>
    </w:p>
    <w:p>
      <w:r>
        <w:rPr>
          <w:b w:val="0"/>
          <w:i w:val="0"/>
        </w:rPr>
        <w:t xml:space="preserve">The natural-hydrology method derives available electricity from an inflow series and site parameters. </w:t>
      </w:r>
      <w:r>
        <w:rPr>
          <w:rFonts w:ascii="DejaVu Sans Mono" w:hAnsi="DejaVu Sans Mono"/>
          <w:b w:val="0"/>
          <w:i w:val="0"/>
          <w:sz w:val="17"/>
        </w:rPr>
        <w:t>run_of_river_dispatch</w:t>
      </w:r>
      <w:r>
        <w:rPr>
          <w:b w:val="0"/>
          <w:i w:val="0"/>
        </w:rPr>
        <w:t xml:space="preserve"> reads </w:t>
      </w:r>
      <w:r>
        <w:rPr>
          <w:rFonts w:ascii="DejaVu Sans Mono" w:hAnsi="DejaVu Sans Mono"/>
          <w:b w:val="0"/>
          <w:i w:val="0"/>
          <w:sz w:val="17"/>
        </w:rPr>
        <w:t>HydroSite</w:t>
      </w:r>
      <w:r>
        <w:rPr>
          <w:b w:val="0"/>
          <w:i w:val="0"/>
        </w:rPr>
        <w:t xml:space="preserve"> and </w:t>
      </w:r>
      <w:r>
        <w:rPr>
          <w:rFonts w:ascii="DejaVu Sans Mono" w:hAnsi="DejaVu Sans Mono"/>
          <w:b w:val="0"/>
          <w:i w:val="0"/>
          <w:sz w:val="17"/>
        </w:rPr>
        <w:t>CanonicalInflow</w:t>
      </w:r>
      <w:r>
        <w:rPr>
          <w:b w:val="0"/>
          <w:i w:val="0"/>
        </w:rPr>
        <w:t>; the default national PSM uses the statistical load factor and seasonal profile in Chapter 5.</w:t>
      </w:r>
    </w:p>
    <w:p>
      <w:pPr>
        <w:keepNext/>
      </w:pPr>
      <w:r>
        <w:rPr>
          <w:b w:val="0"/>
          <w:i w:val="0"/>
        </w:rPr>
        <w:t xml:space="preserve">A normalised electrical availability input scales installed power over the period. With </w:t>
      </w:r>
      <w:r>
        <w:rPr>
          <w:rFonts w:ascii="DejaVu Sans Mono" w:hAnsi="DejaVu Sans Mono"/>
          <w:b w:val="0"/>
          <w:i w:val="0"/>
          <w:sz w:val="17"/>
        </w:rPr>
        <w:t>inflow.unit = p.u.</w:t>
      </w:r>
      <w:r>
        <w:rPr>
          <w:b w:val="0"/>
          <w:i w:val="0"/>
        </w:rPr>
        <w:t xml:space="preserve">, </w:t>
      </w:r>
      <w:r>
        <w:rPr>
          <w:rFonts w:ascii="DejaVu Sans Mono" w:hAnsi="DejaVu Sans Mono"/>
          <w:b w:val="0"/>
          <w:i w:val="0"/>
          <w:sz w:val="17"/>
        </w:rPr>
        <w:t>inflow.values</w:t>
      </w:r>
      <w:r>
        <w:rPr>
          <w:b w:val="0"/>
          <w:i w:val="0"/>
        </w:rPr>
        <w:t xml:space="preserve"> lies in </w:t>
      </w:r>
      <w:r>
        <w:drawing>
          <wp:inline xmlns:a="http://schemas.openxmlformats.org/drawingml/2006/main" xmlns:pic="http://schemas.openxmlformats.org/drawingml/2006/picture">
            <wp:extent cx="330511" cy="164161"/>
            <wp:docPr id="184" name="Picture 184"/>
            <wp:cNvGraphicFramePr>
              <a:graphicFrameLocks noChangeAspect="1"/>
            </wp:cNvGraphicFramePr>
            <a:graphic>
              <a:graphicData uri="http://schemas.openxmlformats.org/drawingml/2006/picture">
                <pic:pic>
                  <pic:nvPicPr>
                    <pic:cNvPr id="0" name="eq-158.png"/>
                    <pic:cNvPicPr/>
                  </pic:nvPicPr>
                  <pic:blipFill>
                    <a:blip r:embed="rId154"/>
                    <a:stretch>
                      <a:fillRect/>
                    </a:stretch>
                  </pic:blipFill>
                  <pic:spPr>
                    <a:xfrm>
                      <a:off x="0" y="0"/>
                      <a:ext cx="330511" cy="164161"/>
                    </a:xfrm>
                    <a:prstGeom prst="rect"/>
                  </pic:spPr>
                </pic:pic>
              </a:graphicData>
            </a:graphic>
          </wp:inline>
        </w:drawing>
      </w:r>
      <w:r>
        <w:rPr>
          <w:b w:val="0"/>
          <w:i w:val="0"/>
        </w:rPr>
        <w:t xml:space="preserve">, </w:t>
      </w:r>
      <w:r>
        <w:rPr>
          <w:rFonts w:ascii="DejaVu Sans Mono" w:hAnsi="DejaVu Sans Mono"/>
          <w:b w:val="0"/>
          <w:i w:val="0"/>
          <w:sz w:val="17"/>
        </w:rPr>
        <w:t>capacity_mw</w:t>
      </w:r>
      <w:r>
        <w:rPr>
          <w:b w:val="0"/>
          <w:i w:val="0"/>
        </w:rPr>
        <w:t xml:space="preserve"> is MW and </w:t>
      </w:r>
      <w:r>
        <w:rPr>
          <w:rFonts w:ascii="DejaVu Sans Mono" w:hAnsi="DejaVu Sans Mono"/>
          <w:b w:val="0"/>
          <w:i w:val="0"/>
          <w:sz w:val="17"/>
        </w:rPr>
        <w:t>interval_hours</w:t>
      </w:r>
      <w:r>
        <w:rPr>
          <w:b w:val="0"/>
          <w:i w:val="0"/>
        </w:rPr>
        <w:t xml:space="preserve"> is hours:</w:t>
      </w:r>
    </w:p>
    <w:p>
      <w:pPr>
        <w:spacing w:after="160"/>
        <w:jc w:val="center"/>
      </w:pPr>
      <w:r>
        <w:drawing>
          <wp:inline xmlns:a="http://schemas.openxmlformats.org/drawingml/2006/main" xmlns:pic="http://schemas.openxmlformats.org/drawingml/2006/picture">
            <wp:extent cx="3215563" cy="395375"/>
            <wp:docPr id="185" name="Picture 185"/>
            <wp:cNvGraphicFramePr>
              <a:graphicFrameLocks noChangeAspect="1"/>
            </wp:cNvGraphicFramePr>
            <a:graphic>
              <a:graphicData uri="http://schemas.openxmlformats.org/drawingml/2006/picture">
                <pic:pic>
                  <pic:nvPicPr>
                    <pic:cNvPr id="0" name="eq-185.png"/>
                    <pic:cNvPicPr/>
                  </pic:nvPicPr>
                  <pic:blipFill>
                    <a:blip r:embed="rId176"/>
                    <a:stretch>
                      <a:fillRect/>
                    </a:stretch>
                  </pic:blipFill>
                  <pic:spPr>
                    <a:xfrm>
                      <a:off x="0" y="0"/>
                      <a:ext cx="3215563" cy="395375"/>
                    </a:xfrm>
                    <a:prstGeom prst="rect"/>
                  </pic:spPr>
                </pic:pic>
              </a:graphicData>
            </a:graphic>
          </wp:inline>
        </w:drawing>
      </w:r>
    </w:p>
    <w:p>
      <w:pPr>
        <w:keepNext/>
      </w:pPr>
      <w:r>
        <w:rPr>
          <w:b w:val="0"/>
          <w:i w:val="0"/>
        </w:rPr>
        <w:t>A water-volume input is converted through the site's turbine efficiency and MWh per water unit, then limited by electric power:</w:t>
      </w:r>
    </w:p>
    <w:p>
      <w:pPr>
        <w:spacing w:after="160"/>
        <w:jc w:val="center"/>
      </w:pPr>
      <w:r>
        <w:drawing>
          <wp:inline xmlns:a="http://schemas.openxmlformats.org/drawingml/2006/main" xmlns:pic="http://schemas.openxmlformats.org/drawingml/2006/picture">
            <wp:extent cx="6217920" cy="440725"/>
            <wp:docPr id="186" name="Picture 186"/>
            <wp:cNvGraphicFramePr>
              <a:graphicFrameLocks noChangeAspect="1"/>
            </wp:cNvGraphicFramePr>
            <a:graphic>
              <a:graphicData uri="http://schemas.openxmlformats.org/drawingml/2006/picture">
                <pic:pic>
                  <pic:nvPicPr>
                    <pic:cNvPr id="0" name="eq-186.png"/>
                    <pic:cNvPicPr/>
                  </pic:nvPicPr>
                  <pic:blipFill>
                    <a:blip r:embed="rId177"/>
                    <a:stretch>
                      <a:fillRect/>
                    </a:stretch>
                  </pic:blipFill>
                  <pic:spPr>
                    <a:xfrm>
                      <a:off x="0" y="0"/>
                      <a:ext cx="6217920" cy="440725"/>
                    </a:xfrm>
                    <a:prstGeom prst="rect"/>
                  </pic:spPr>
                </pic:pic>
              </a:graphicData>
            </a:graphic>
          </wp:inline>
        </w:drawing>
      </w:r>
    </w:p>
    <w:p>
      <w:r>
        <w:rPr>
          <w:b w:val="0"/>
          <w:i w:val="0"/>
        </w:rPr>
        <w:t xml:space="preserve">Accepted generation lies between zero and </w:t>
      </w:r>
      <w:r>
        <w:rPr>
          <w:rFonts w:ascii="DejaVu Sans Mono" w:hAnsi="DejaVu Sans Mono"/>
          <w:b w:val="0"/>
          <w:i w:val="0"/>
          <w:sz w:val="17"/>
        </w:rPr>
        <w:t>available</w:t>
      </w:r>
      <w:r>
        <w:rPr>
          <w:b w:val="0"/>
          <w:i w:val="0"/>
        </w:rPr>
        <w:t xml:space="preserve">; the default accepts all available electricity. </w:t>
      </w:r>
      <w:r>
        <w:rPr>
          <w:rFonts w:ascii="DejaVu Sans Mono" w:hAnsi="DejaVu Sans Mono"/>
          <w:b w:val="0"/>
          <w:i w:val="0"/>
          <w:sz w:val="17"/>
        </w:rPr>
        <w:t>curtailed</w:t>
      </w:r>
      <w:r>
        <w:rPr>
          <w:b w:val="0"/>
          <w:i w:val="0"/>
        </w:rPr>
        <w:t xml:space="preserve"> is the remaining electrical potential. These arrays become </w:t>
      </w:r>
      <w:r>
        <w:rPr>
          <w:rFonts w:ascii="DejaVu Sans Mono" w:hAnsi="DejaVu Sans Mono"/>
          <w:b w:val="0"/>
          <w:i w:val="0"/>
          <w:sz w:val="17"/>
        </w:rPr>
        <w:t>available_energy_mwh</w:t>
      </w:r>
      <w:r>
        <w:rPr>
          <w:b w:val="0"/>
          <w:i w:val="0"/>
        </w:rPr>
        <w:t xml:space="preserve">, </w:t>
      </w:r>
      <w:r>
        <w:rPr>
          <w:rFonts w:ascii="DejaVu Sans Mono" w:hAnsi="DejaVu Sans Mono"/>
          <w:b w:val="0"/>
          <w:i w:val="0"/>
          <w:sz w:val="17"/>
        </w:rPr>
        <w:t>accepted_generation_mwh</w:t>
      </w:r>
      <w:r>
        <w:rPr>
          <w:b w:val="0"/>
          <w:i w:val="0"/>
        </w:rPr>
        <w:t xml:space="preserve"> and </w:t>
      </w:r>
      <w:r>
        <w:rPr>
          <w:rFonts w:ascii="DejaVu Sans Mono" w:hAnsi="DejaVu Sans Mono"/>
          <w:b w:val="0"/>
          <w:i w:val="0"/>
          <w:sz w:val="17"/>
        </w:rPr>
        <w:t>curtailed_energy_mwh</w:t>
      </w:r>
      <w:r>
        <w:rPr>
          <w:b w:val="0"/>
          <w:i w:val="0"/>
        </w:rPr>
        <w:t xml:space="preserve"> in the returned result. A 10 MW site over 0.5 h with factors </w:t>
      </w:r>
      <w:r>
        <w:drawing>
          <wp:inline xmlns:a="http://schemas.openxmlformats.org/drawingml/2006/main" xmlns:pic="http://schemas.openxmlformats.org/drawingml/2006/picture">
            <wp:extent cx="615162" cy="164189"/>
            <wp:docPr id="187" name="Picture 187"/>
            <wp:cNvGraphicFramePr>
              <a:graphicFrameLocks noChangeAspect="1"/>
            </wp:cNvGraphicFramePr>
            <a:graphic>
              <a:graphicData uri="http://schemas.openxmlformats.org/drawingml/2006/picture">
                <pic:pic>
                  <pic:nvPicPr>
                    <pic:cNvPr id="0" name="eq-187.png"/>
                    <pic:cNvPicPr/>
                  </pic:nvPicPr>
                  <pic:blipFill>
                    <a:blip r:embed="rId178"/>
                    <a:stretch>
                      <a:fillRect/>
                    </a:stretch>
                  </pic:blipFill>
                  <pic:spPr>
                    <a:xfrm>
                      <a:off x="0" y="0"/>
                      <a:ext cx="615162" cy="164189"/>
                    </a:xfrm>
                    <a:prstGeom prst="rect"/>
                  </pic:spPr>
                </pic:pic>
              </a:graphicData>
            </a:graphic>
          </wp:inline>
        </w:drawing>
      </w:r>
      <w:r>
        <w:rPr>
          <w:b w:val="0"/>
          <w:i w:val="0"/>
        </w:rPr>
        <w:t xml:space="preserve"> supplies </w:t>
      </w:r>
      <w:r>
        <w:drawing>
          <wp:inline xmlns:a="http://schemas.openxmlformats.org/drawingml/2006/main" xmlns:pic="http://schemas.openxmlformats.org/drawingml/2006/picture">
            <wp:extent cx="615162" cy="164189"/>
            <wp:docPr id="188" name="Picture 188"/>
            <wp:cNvGraphicFramePr>
              <a:graphicFrameLocks noChangeAspect="1"/>
            </wp:cNvGraphicFramePr>
            <a:graphic>
              <a:graphicData uri="http://schemas.openxmlformats.org/drawingml/2006/picture">
                <pic:pic>
                  <pic:nvPicPr>
                    <pic:cNvPr id="0" name="eq-188.png"/>
                    <pic:cNvPicPr/>
                  </pic:nvPicPr>
                  <pic:blipFill>
                    <a:blip r:embed="rId179"/>
                    <a:stretch>
                      <a:fillRect/>
                    </a:stretch>
                  </pic:blipFill>
                  <pic:spPr>
                    <a:xfrm>
                      <a:off x="0" y="0"/>
                      <a:ext cx="615162" cy="164189"/>
                    </a:xfrm>
                    <a:prstGeom prst="rect"/>
                  </pic:spPr>
                </pic:pic>
              </a:graphicData>
            </a:graphic>
          </wp:inline>
        </w:drawing>
      </w:r>
      <w:r>
        <w:rPr>
          <w:b w:val="0"/>
          <w:i w:val="0"/>
        </w:rPr>
        <w:t xml:space="preserve"> MWh. This calculation operates independently in each period.</w:t>
      </w:r>
    </w:p>
    <w:p>
      <w:pPr>
        <w:pStyle w:val="Heading2"/>
      </w:pPr>
      <w:r>
        <w:rPr>
          <w:b w:val="0"/>
          <w:i w:val="0"/>
        </w:rPr>
        <w:t>Conventional reservoir dispatch</w:t>
      </w:r>
    </w:p>
    <w:p>
      <w:pPr>
        <w:keepNext/>
      </w:pPr>
      <w:r>
        <w:rPr>
          <w:b w:val="0"/>
          <w:i w:val="0"/>
        </w:rPr>
        <w:t xml:space="preserve">A conventional reservoir allocates water across the complete inflow and electricity-value chronology to maximise generation value. </w:t>
      </w:r>
      <w:r>
        <w:rPr>
          <w:rFonts w:ascii="DejaVu Sans Mono" w:hAnsi="DejaVu Sans Mono"/>
          <w:b w:val="0"/>
          <w:i w:val="0"/>
          <w:sz w:val="17"/>
        </w:rPr>
        <w:t>reservoir_dispatch</w:t>
      </w:r>
      <w:r>
        <w:rPr>
          <w:b w:val="0"/>
          <w:i w:val="0"/>
        </w:rPr>
        <w:t xml:space="preserve"> uses four period variables: turbine release </w:t>
      </w:r>
      <w:r>
        <w:rPr>
          <w:rFonts w:ascii="DejaVu Sans Mono" w:hAnsi="DejaVu Sans Mono"/>
          <w:b w:val="0"/>
          <w:i w:val="0"/>
          <w:sz w:val="17"/>
        </w:rPr>
        <w:t>q</w:t>
      </w:r>
      <w:r>
        <w:rPr>
          <w:b w:val="0"/>
          <w:i w:val="0"/>
        </w:rPr>
        <w:t xml:space="preserve">, ecological </w:t>
      </w:r>
      <w:r>
        <w:rPr>
          <w:rFonts w:ascii="DejaVu Sans Mono" w:hAnsi="DejaVu Sans Mono"/>
          <w:b w:val="0"/>
          <w:i w:val="0"/>
          <w:sz w:val="17"/>
        </w:rPr>
        <w:t>bypass</w:t>
      </w:r>
      <w:r>
        <w:rPr>
          <w:b w:val="0"/>
          <w:i w:val="0"/>
        </w:rPr>
        <w:t xml:space="preserve">, </w:t>
      </w:r>
      <w:r>
        <w:rPr>
          <w:rFonts w:ascii="DejaVu Sans Mono" w:hAnsi="DejaVu Sans Mono"/>
          <w:b w:val="0"/>
          <w:i w:val="0"/>
          <w:sz w:val="17"/>
        </w:rPr>
        <w:t>spill</w:t>
      </w:r>
      <w:r>
        <w:rPr>
          <w:b w:val="0"/>
          <w:i w:val="0"/>
        </w:rPr>
        <w:t xml:space="preserve"> and end-period </w:t>
      </w:r>
      <w:r>
        <w:rPr>
          <w:rFonts w:ascii="DejaVu Sans Mono" w:hAnsi="DejaVu Sans Mono"/>
          <w:b w:val="0"/>
          <w:i w:val="0"/>
          <w:sz w:val="17"/>
        </w:rPr>
        <w:t>storage</w:t>
      </w:r>
      <w:r>
        <w:rPr>
          <w:b w:val="0"/>
          <w:i w:val="0"/>
        </w:rPr>
        <w:t>. All four use the declared water unit; the first three are volumes within the period. The conversion to electricity is</w:t>
      </w:r>
    </w:p>
    <w:p>
      <w:pPr>
        <w:spacing w:after="160"/>
        <w:jc w:val="center"/>
      </w:pPr>
      <w:r>
        <w:drawing>
          <wp:inline xmlns:a="http://schemas.openxmlformats.org/drawingml/2006/main" xmlns:pic="http://schemas.openxmlformats.org/drawingml/2006/picture">
            <wp:extent cx="6217920" cy="135540"/>
            <wp:docPr id="189" name="Picture 189"/>
            <wp:cNvGraphicFramePr>
              <a:graphicFrameLocks noChangeAspect="1"/>
            </wp:cNvGraphicFramePr>
            <a:graphic>
              <a:graphicData uri="http://schemas.openxmlformats.org/drawingml/2006/picture">
                <pic:pic>
                  <pic:nvPicPr>
                    <pic:cNvPr id="0" name="eq-189.png"/>
                    <pic:cNvPicPr/>
                  </pic:nvPicPr>
                  <pic:blipFill>
                    <a:blip r:embed="rId180"/>
                    <a:stretch>
                      <a:fillRect/>
                    </a:stretch>
                  </pic:blipFill>
                  <pic:spPr>
                    <a:xfrm>
                      <a:off x="0" y="0"/>
                      <a:ext cx="6217920" cy="135540"/>
                    </a:xfrm>
                    <a:prstGeom prst="rect"/>
                  </pic:spPr>
                </pic:pic>
              </a:graphicData>
            </a:graphic>
          </wp:inline>
        </w:drawing>
      </w:r>
    </w:p>
    <w:p>
      <w:pPr>
        <w:keepNext/>
      </w:pPr>
      <w:r>
        <w:rPr>
          <w:b w:val="0"/>
          <w:i w:val="0"/>
        </w:rPr>
        <w:t xml:space="preserve">The linear programme minimises the negative value of generation plus a small spill penalty. </w:t>
      </w:r>
      <w:r>
        <w:rPr>
          <w:rFonts w:ascii="DejaVu Sans Mono" w:hAnsi="DejaVu Sans Mono"/>
          <w:b w:val="0"/>
          <w:i w:val="0"/>
          <w:sz w:val="17"/>
        </w:rPr>
        <w:t>energy_​value_​gbp_​per_​mwh</w:t>
      </w:r>
      <w:r>
        <w:rPr>
          <w:b w:val="0"/>
          <w:i w:val="0"/>
        </w:rPr>
        <w:t xml:space="preserve"> is an externally supplied electricity-value series:</w:t>
      </w:r>
    </w:p>
    <w:p>
      <w:pPr>
        <w:spacing w:after="160"/>
        <w:jc w:val="center"/>
      </w:pPr>
      <w:r>
        <w:drawing>
          <wp:inline xmlns:a="http://schemas.openxmlformats.org/drawingml/2006/main" xmlns:pic="http://schemas.openxmlformats.org/drawingml/2006/picture">
            <wp:extent cx="5587974" cy="365825"/>
            <wp:docPr id="190" name="Picture 190"/>
            <wp:cNvGraphicFramePr>
              <a:graphicFrameLocks noChangeAspect="1"/>
            </wp:cNvGraphicFramePr>
            <a:graphic>
              <a:graphicData uri="http://schemas.openxmlformats.org/drawingml/2006/picture">
                <pic:pic>
                  <pic:nvPicPr>
                    <pic:cNvPr id="0" name="eq-190.png"/>
                    <pic:cNvPicPr/>
                  </pic:nvPicPr>
                  <pic:blipFill>
                    <a:blip r:embed="rId181"/>
                    <a:stretch>
                      <a:fillRect/>
                    </a:stretch>
                  </pic:blipFill>
                  <pic:spPr>
                    <a:xfrm>
                      <a:off x="0" y="0"/>
                      <a:ext cx="5587974" cy="365825"/>
                    </a:xfrm>
                    <a:prstGeom prst="rect"/>
                  </pic:spPr>
                </pic:pic>
              </a:graphicData>
            </a:graphic>
          </wp:inline>
        </w:drawing>
      </w:r>
    </w:p>
    <w:p>
      <w:pPr>
        <w:keepNext/>
      </w:pPr>
      <w:r>
        <w:rPr>
          <w:b w:val="0"/>
          <w:i w:val="0"/>
        </w:rPr>
        <w:t xml:space="preserve">Water continuity links successive inventories and inflows. The first period starts from </w:t>
      </w:r>
      <w:r>
        <w:rPr>
          <w:rFonts w:ascii="DejaVu Sans Mono" w:hAnsi="DejaVu Sans Mono"/>
          <w:b w:val="0"/>
          <w:i w:val="0"/>
          <w:sz w:val="17"/>
        </w:rPr>
        <w:t>initial_volume</w:t>
      </w:r>
      <w:r>
        <w:rPr>
          <w:b w:val="0"/>
          <w:i w:val="0"/>
        </w:rPr>
        <w:t>:</w:t>
      </w:r>
    </w:p>
    <w:p>
      <w:pPr>
        <w:spacing w:after="160"/>
        <w:jc w:val="center"/>
      </w:pPr>
      <w:r>
        <w:drawing>
          <wp:inline xmlns:a="http://schemas.openxmlformats.org/drawingml/2006/main" xmlns:pic="http://schemas.openxmlformats.org/drawingml/2006/picture">
            <wp:extent cx="4691405" cy="404668"/>
            <wp:docPr id="191" name="Picture 191"/>
            <wp:cNvGraphicFramePr>
              <a:graphicFrameLocks noChangeAspect="1"/>
            </wp:cNvGraphicFramePr>
            <a:graphic>
              <a:graphicData uri="http://schemas.openxmlformats.org/drawingml/2006/picture">
                <pic:pic>
                  <pic:nvPicPr>
                    <pic:cNvPr id="0" name="eq-191.png"/>
                    <pic:cNvPicPr/>
                  </pic:nvPicPr>
                  <pic:blipFill>
                    <a:blip r:embed="rId182"/>
                    <a:stretch>
                      <a:fillRect/>
                    </a:stretch>
                  </pic:blipFill>
                  <pic:spPr>
                    <a:xfrm>
                      <a:off x="0" y="0"/>
                      <a:ext cx="4691405" cy="404668"/>
                    </a:xfrm>
                    <a:prstGeom prst="rect"/>
                  </pic:spPr>
                </pic:pic>
              </a:graphicData>
            </a:graphic>
          </wp:inline>
        </w:drawing>
      </w:r>
    </w:p>
    <w:p>
      <w:pPr>
        <w:keepNext/>
      </w:pPr>
      <w:r>
        <w:rPr>
          <w:b w:val="0"/>
          <w:i w:val="0"/>
        </w:rPr>
        <w:t>Turbine, ordinary-release and ecological bounds restrict the use of water:</w:t>
      </w:r>
    </w:p>
    <w:p>
      <w:pPr>
        <w:spacing w:after="160"/>
        <w:jc w:val="center"/>
      </w:pPr>
      <w:r>
        <w:drawing>
          <wp:inline xmlns:a="http://schemas.openxmlformats.org/drawingml/2006/main" xmlns:pic="http://schemas.openxmlformats.org/drawingml/2006/picture">
            <wp:extent cx="6217920" cy="498607"/>
            <wp:docPr id="192" name="Picture 192"/>
            <wp:cNvGraphicFramePr>
              <a:graphicFrameLocks noChangeAspect="1"/>
            </wp:cNvGraphicFramePr>
            <a:graphic>
              <a:graphicData uri="http://schemas.openxmlformats.org/drawingml/2006/picture">
                <pic:pic>
                  <pic:nvPicPr>
                    <pic:cNvPr id="0" name="eq-192.png"/>
                    <pic:cNvPicPr/>
                  </pic:nvPicPr>
                  <pic:blipFill>
                    <a:blip r:embed="rId183"/>
                    <a:stretch>
                      <a:fillRect/>
                    </a:stretch>
                  </pic:blipFill>
                  <pic:spPr>
                    <a:xfrm>
                      <a:off x="0" y="0"/>
                      <a:ext cx="6217920" cy="498607"/>
                    </a:xfrm>
                    <a:prstGeom prst="rect"/>
                  </pic:spPr>
                </pic:pic>
              </a:graphicData>
            </a:graphic>
          </wp:inline>
        </w:drawing>
      </w:r>
    </w:p>
    <w:p>
      <w:r>
        <w:rPr>
          <w:b w:val="0"/>
          <w:i w:val="0"/>
        </w:rPr>
        <w:t xml:space="preserve">The ordinary-release bound and ecological minimum apply to turbine release plus bypass; spill enters water balance separately. A supplied </w:t>
      </w:r>
      <w:r>
        <w:rPr>
          <w:rFonts w:ascii="DejaVu Sans Mono" w:hAnsi="DejaVu Sans Mono"/>
          <w:b w:val="0"/>
          <w:i w:val="0"/>
          <w:sz w:val="17"/>
        </w:rPr>
        <w:t>terminal_volume</w:t>
      </w:r>
      <w:r>
        <w:rPr>
          <w:b w:val="0"/>
          <w:i w:val="0"/>
        </w:rPr>
        <w:t xml:space="preserve"> fixes final inventory. The parameter check requires maximum total release to be at least maximum turbine release and electricity from maximum turbine release to be at most </w:t>
      </w:r>
      <w:r>
        <w:rPr>
          <w:rFonts w:ascii="DejaVu Sans Mono" w:hAnsi="DejaVu Sans Mono"/>
          <w:b w:val="0"/>
          <w:i w:val="0"/>
          <w:sz w:val="17"/>
        </w:rPr>
        <w:t>turbine_capacity_mw</w:t>
      </w:r>
      <w:r>
        <w:rPr>
          <w:b w:val="0"/>
          <w:i w:val="0"/>
        </w:rPr>
        <w:t xml:space="preserve"> multiplied by </w:t>
      </w:r>
      <w:r>
        <w:rPr>
          <w:rFonts w:ascii="DejaVu Sans Mono" w:hAnsi="DejaVu Sans Mono"/>
          <w:b w:val="0"/>
          <w:i w:val="0"/>
          <w:sz w:val="17"/>
        </w:rPr>
        <w:t>interval_hours</w:t>
      </w:r>
      <w:r>
        <w:rPr>
          <w:b w:val="0"/>
          <w:i w:val="0"/>
        </w:rPr>
        <w:t xml:space="preserve">, with tolerance </w:t>
      </w:r>
      <w:r>
        <w:drawing>
          <wp:inline xmlns:a="http://schemas.openxmlformats.org/drawingml/2006/main" xmlns:pic="http://schemas.openxmlformats.org/drawingml/2006/picture">
            <wp:extent cx="328247" cy="146617"/>
            <wp:docPr id="193" name="Picture 193"/>
            <wp:cNvGraphicFramePr>
              <a:graphicFrameLocks noChangeAspect="1"/>
            </wp:cNvGraphicFramePr>
            <a:graphic>
              <a:graphicData uri="http://schemas.openxmlformats.org/drawingml/2006/picture">
                <pic:pic>
                  <pic:nvPicPr>
                    <pic:cNvPr id="0" name="eq-147.png"/>
                    <pic:cNvPicPr/>
                  </pic:nvPicPr>
                  <pic:blipFill>
                    <a:blip r:embed="rId147"/>
                    <a:stretch>
                      <a:fillRect/>
                    </a:stretch>
                  </pic:blipFill>
                  <pic:spPr>
                    <a:xfrm>
                      <a:off x="0" y="0"/>
                      <a:ext cx="328247" cy="146617"/>
                    </a:xfrm>
                    <a:prstGeom prst="rect"/>
                  </pic:spPr>
                </pic:pic>
              </a:graphicData>
            </a:graphic>
          </wp:inline>
        </w:drawing>
      </w:r>
      <w:r>
        <w:rPr>
          <w:b w:val="0"/>
          <w:i w:val="0"/>
        </w:rPr>
        <w:t xml:space="preserve"> MWh.</w:t>
      </w:r>
    </w:p>
    <w:p>
      <w:r>
        <w:rPr>
          <w:b w:val="0"/>
          <w:i w:val="0"/>
        </w:rPr>
        <w:t xml:space="preserve">The solver reads the complete inflow and value series, solves one SciPy/HiGHS linear programme and returns water trajectories, generation and conservation residuals. </w:t>
      </w:r>
      <w:r>
        <w:rPr>
          <w:rFonts w:ascii="DejaVu Sans Mono" w:hAnsi="DejaVu Sans Mono"/>
          <w:b w:val="0"/>
          <w:i w:val="0"/>
          <w:sz w:val="17"/>
        </w:rPr>
        <w:t>objective_gbp</w:t>
      </w:r>
      <w:r>
        <w:rPr>
          <w:b w:val="0"/>
          <w:i w:val="0"/>
        </w:rPr>
        <w:t xml:space="preserve"> includes the small spill penalty. The input labels </w:t>
      </w:r>
      <w:r>
        <w:rPr>
          <w:rFonts w:ascii="DejaVu Sans Mono" w:hAnsi="DejaVu Sans Mono"/>
          <w:b w:val="0"/>
          <w:i w:val="0"/>
          <w:sz w:val="17"/>
        </w:rPr>
        <w:t>myopic</w:t>
      </w:r>
      <w:r>
        <w:rPr>
          <w:b w:val="0"/>
          <w:i w:val="0"/>
        </w:rPr>
        <w:t xml:space="preserve">, </w:t>
      </w:r>
      <w:r>
        <w:rPr>
          <w:rFonts w:ascii="DejaVu Sans Mono" w:hAnsi="DejaVu Sans Mono"/>
          <w:b w:val="0"/>
          <w:i w:val="0"/>
          <w:sz w:val="17"/>
        </w:rPr>
        <w:t>rolling_horizon</w:t>
      </w:r>
      <w:r>
        <w:rPr>
          <w:b w:val="0"/>
          <w:i w:val="0"/>
        </w:rPr>
        <w:t xml:space="preserve"> and </w:t>
      </w:r>
      <w:r>
        <w:rPr>
          <w:rFonts w:ascii="DejaVu Sans Mono" w:hAnsi="DejaVu Sans Mono"/>
          <w:b w:val="0"/>
          <w:i w:val="0"/>
          <w:sz w:val="17"/>
        </w:rPr>
        <w:t>perfect_foresight</w:t>
      </w:r>
      <w:r>
        <w:rPr>
          <w:b w:val="0"/>
          <w:i w:val="0"/>
        </w:rPr>
        <w:t xml:space="preserve"> all call this full-horizon algorithm and are returned as metadata.</w:t>
      </w:r>
    </w:p>
    <w:p>
      <w:pPr>
        <w:keepLines/>
        <w:spacing w:line="276" w:lineRule="auto" w:after="160"/>
      </w:pPr>
      <w:r>
        <w:rPr>
          <w:rFonts w:ascii="DejaVu Sans Mono" w:hAnsi="DejaVu Sans Mono"/>
          <w:b w:val="0"/>
          <w:i w:val="0"/>
          <w:sz w:val="17"/>
        </w:rPr>
        <w:t>reservoir_​dispatch(parameters, inflow, energy_​value_​gbp_​per_​mwh):</w:t>
        <w:br/>
        <w:t xml:space="preserve">    inflow.validate(); parameters.validate(inflow.interval_​hours)</w:t>
        <w:br/>
        <w:t xml:space="preserve">    conversion = (parameters.conversion_​mwh_​per_​water_​unit</w:t>
        <w:br/>
        <w:t xml:space="preserve">                  * parameters.turbine_​efficiency)</w:t>
        <w:br/>
        <w:t xml:space="preserve">    allocate q, bypass, spill and storage for every period</w:t>
        <w:br/>
        <w:t xml:space="preserve">    assemble objective, water equalities, release inequalities and bounds</w:t>
        <w:br/>
        <w:t xml:space="preserve">    use parameters.terminal_​volume as the final storage bound when supplied</w:t>
        <w:br/>
        <w:t xml:space="preserve">    solved = linprog(objective, A_ub=inequalities, b_ub=upper,</w:t>
        <w:br/>
        <w:t xml:space="preserve">                     A_eq=equalities, b_eq=rhs, bounds=bounds, method="highs")</w:t>
        <w:br/>
        <w:t xml:space="preserve">    generation = q * conversion</w:t>
        <w:br/>
        <w:t xml:space="preserve">    check previous + inflow.values[period] - q - bypass - spill - storage</w:t>
        <w:br/>
        <w:t xml:space="preserve">    return generation, water trajectories and residuals</w:t>
        <w:br/>
      </w:r>
    </w:p>
    <w:p>
      <w:pPr>
        <w:pStyle w:val="Heading2"/>
      </w:pPr>
      <w:r>
        <w:rPr>
          <w:b w:val="0"/>
          <w:i w:val="0"/>
        </w:rPr>
        <w:t>Hydrological inputs and module connection</w:t>
      </w:r>
    </w:p>
    <w:p>
      <w:r>
        <w:rPr>
          <w:b w:val="0"/>
          <w:i w:val="0"/>
        </w:rPr>
        <w:t xml:space="preserve">Natural-hydrology inputs comprise the site table, asset-to-site mapping, run-of-river inflow, reservoir inflow and reservoir parameters. Sites declare technology, capacity, turbine efficiency, bus, source and licence. Pumped storage uses the electrical-storage model. Each asset is assigned to a site, with mapping shares in </w:t>
      </w:r>
      <w:r>
        <w:drawing>
          <wp:inline xmlns:a="http://schemas.openxmlformats.org/drawingml/2006/main" xmlns:pic="http://schemas.openxmlformats.org/drawingml/2006/picture">
            <wp:extent cx="348913" cy="164582"/>
            <wp:docPr id="194" name="Picture 194"/>
            <wp:cNvGraphicFramePr>
              <a:graphicFrameLocks noChangeAspect="1"/>
            </wp:cNvGraphicFramePr>
            <a:graphic>
              <a:graphicData uri="http://schemas.openxmlformats.org/drawingml/2006/picture">
                <pic:pic>
                  <pic:nvPicPr>
                    <pic:cNvPr id="0" name="eq-183.png"/>
                    <pic:cNvPicPr/>
                  </pic:nvPicPr>
                  <pic:blipFill>
                    <a:blip r:embed="rId175"/>
                    <a:stretch>
                      <a:fillRect/>
                    </a:stretch>
                  </pic:blipFill>
                  <pic:spPr>
                    <a:xfrm>
                      <a:off x="0" y="0"/>
                      <a:ext cx="348913" cy="164582"/>
                    </a:xfrm>
                    <a:prstGeom prst="rect"/>
                  </pic:spPr>
                </pic:pic>
              </a:graphicData>
            </a:graphic>
          </wp:inline>
        </w:drawing>
      </w:r>
      <w:r>
        <w:rPr>
          <w:b w:val="0"/>
          <w:i w:val="0"/>
        </w:rPr>
        <w:t xml:space="preserve"> and total shares per asset at most 1.</w:t>
      </w:r>
    </w:p>
    <w:p>
      <w:r>
        <w:rPr>
          <w:b w:val="0"/>
          <w:i w:val="0"/>
        </w:rPr>
        <w:t xml:space="preserve">Inflow CSV files provide timezone-aware timestamps, interval length, site identifiers, values and water or electrical-availability units. The adapter requires finite nonnegative values, unique timestamps and consistent units; a supplied expected chronology is checked period by period. Site, mapping and parameter tables accept JSON or CSV. The declared missing-value treatment is </w:t>
      </w:r>
      <w:r>
        <w:rPr>
          <w:rFonts w:ascii="DejaVu Sans Mono" w:hAnsi="DejaVu Sans Mono"/>
          <w:b w:val="0"/>
          <w:i w:val="0"/>
          <w:sz w:val="17"/>
        </w:rPr>
        <w:t>none</w:t>
      </w:r>
      <w:r>
        <w:rPr>
          <w:b w:val="0"/>
          <w:i w:val="0"/>
        </w:rPr>
        <w:t>.</w:t>
      </w:r>
    </w:p>
    <w:p>
      <w:r>
        <w:rPr>
          <w:b w:val="0"/>
          <w:i w:val="0"/>
        </w:rPr>
        <w:t xml:space="preserve">The input and operating functions can be called independently. </w:t>
      </w:r>
      <w:r>
        <w:rPr>
          <w:rFonts w:ascii="DejaVu Sans Mono" w:hAnsi="DejaVu Sans Mono"/>
          <w:b w:val="0"/>
          <w:i w:val="0"/>
          <w:sz w:val="17"/>
        </w:rPr>
        <w:t>load_​hydrology_​inputs_​from_​pack</w:t>
      </w:r>
      <w:r>
        <w:rPr>
          <w:b w:val="0"/>
          <w:i w:val="0"/>
        </w:rPr>
        <w:t xml:space="preserve"> assembles inputs, </w:t>
      </w:r>
      <w:r>
        <w:rPr>
          <w:rFonts w:ascii="DejaVu Sans Mono" w:hAnsi="DejaVu Sans Mono"/>
          <w:b w:val="0"/>
          <w:i w:val="0"/>
          <w:sz w:val="17"/>
        </w:rPr>
        <w:t>adapt_hydrology_csv</w:t>
      </w:r>
      <w:r>
        <w:rPr>
          <w:b w:val="0"/>
          <w:i w:val="0"/>
        </w:rPr>
        <w:t xml:space="preserve"> reads inflow, </w:t>
      </w:r>
      <w:r>
        <w:rPr>
          <w:rFonts w:ascii="DejaVu Sans Mono" w:hAnsi="DejaVu Sans Mono"/>
          <w:b w:val="0"/>
          <w:i w:val="0"/>
          <w:sz w:val="17"/>
        </w:rPr>
        <w:t>validate_site_mapping</w:t>
      </w:r>
      <w:r>
        <w:rPr>
          <w:b w:val="0"/>
          <w:i w:val="0"/>
        </w:rPr>
        <w:t xml:space="preserve"> checks mapping, </w:t>
      </w:r>
      <w:r>
        <w:rPr>
          <w:rFonts w:ascii="DejaVu Sans Mono" w:hAnsi="DejaVu Sans Mono"/>
          <w:b w:val="0"/>
          <w:i w:val="0"/>
          <w:sz w:val="17"/>
        </w:rPr>
        <w:t>run_of_river_dispatch</w:t>
      </w:r>
      <w:r>
        <w:rPr>
          <w:b w:val="0"/>
          <w:i w:val="0"/>
        </w:rPr>
        <w:t xml:space="preserve"> calculates run-of-river electricity and </w:t>
      </w:r>
      <w:r>
        <w:rPr>
          <w:rFonts w:ascii="DejaVu Sans Mono" w:hAnsi="DejaVu Sans Mono"/>
          <w:b w:val="0"/>
          <w:i w:val="0"/>
          <w:sz w:val="17"/>
        </w:rPr>
        <w:t>reservoir_dispatch</w:t>
      </w:r>
      <w:r>
        <w:rPr>
          <w:b w:val="0"/>
          <w:i w:val="0"/>
        </w:rPr>
        <w:t xml:space="preserve"> optimises reservoir releases. An annual market application requires an adapter connecting these inputs and outputs to its dispatch workflow, together with the relevant site, inflow, abstraction, conversion, storage and terminal parameters.</w:t>
      </w:r>
    </w:p>
    <w:p>
      <w:pPr>
        <w:pStyle w:val="Heading1"/>
      </w:pPr>
      <w:r>
        <w:rPr>
          <w:b w:val="0"/>
          <w:i w:val="0"/>
        </w:rPr>
        <w:t>9 Carbon accounting parameters</w:t>
      </w:r>
    </w:p>
    <w:p>
      <w:r>
        <w:rPr>
          <w:b w:val="0"/>
          <w:i w:val="0"/>
        </w:rPr>
        <w:t xml:space="preserve">VALUE calculates operational emissions and equipment-construction emissions separately before combining them under the selected accounting scenario. Operational emissions vary with generation and imported electricity, while construction emissions vary with installed capacity and the annualisation rule. Current physical accounting uses the </w:t>
      </w:r>
      <w:r>
        <w:rPr>
          <w:rFonts w:ascii="DejaVu Sans Mono" w:hAnsi="DejaVu Sans Mono"/>
          <w:b w:val="0"/>
          <w:i w:val="0"/>
          <w:sz w:val="17"/>
        </w:rPr>
        <w:t>value_​current_​authoritative_​v1</w:t>
      </w:r>
      <w:r>
        <w:rPr>
          <w:b w:val="0"/>
          <w:i w:val="0"/>
        </w:rPr>
        <w:t xml:space="preserve"> factor set. The doctoral-reproduction reference configuration selects </w:t>
      </w:r>
      <w:r>
        <w:rPr>
          <w:rFonts w:ascii="DejaVu Sans Mono" w:hAnsi="DejaVu Sans Mono"/>
          <w:b w:val="0"/>
          <w:i w:val="0"/>
          <w:sz w:val="17"/>
        </w:rPr>
        <w:t>doctoral_​reproduction_​2026_​07_​18</w:t>
      </w:r>
      <w:r>
        <w:rPr>
          <w:b w:val="0"/>
          <w:i w:val="0"/>
        </w:rPr>
        <w:t xml:space="preserve">, retaining historical storage scalars in their original units and recording the carbon result as </w:t>
      </w:r>
      <w:r>
        <w:rPr>
          <w:rFonts w:ascii="DejaVu Sans Mono" w:hAnsi="DejaVu Sans Mono"/>
          <w:b w:val="0"/>
          <w:i w:val="0"/>
          <w:sz w:val="17"/>
        </w:rPr>
        <w:t>not_​physically_​interpretable</w:t>
      </w:r>
      <w:r>
        <w:rPr>
          <w:b w:val="0"/>
          <w:i w:val="0"/>
        </w:rPr>
        <w:t>.</w:t>
      </w:r>
    </w:p>
    <w:p>
      <w:pPr>
        <w:pStyle w:val="Heading2"/>
      </w:pPr>
      <w:r>
        <w:rPr>
          <w:b w:val="0"/>
          <w:i w:val="0"/>
        </w:rPr>
        <w:t>Generation and imported electricity</w:t>
      </w:r>
    </w:p>
    <w:p>
      <w:pPr>
        <w:keepNext/>
      </w:pPr>
      <w:r>
        <w:rPr>
          <w:b w:val="0"/>
          <w:i w:val="0"/>
        </w:rPr>
        <w:t xml:space="preserve">Operational emissions multiply generated or imported electricity by its selected factor. In </w:t>
      </w:r>
      <w:r>
        <w:rPr>
          <w:rFonts w:ascii="DejaVu Sans Mono" w:hAnsi="DejaVu Sans Mono"/>
          <w:b w:val="0"/>
          <w:i w:val="0"/>
          <w:sz w:val="17"/>
        </w:rPr>
        <w:t>build_​operational_​carbon_​ledger</w:t>
      </w:r>
      <w:r>
        <w:rPr>
          <w:b w:val="0"/>
          <w:i w:val="0"/>
        </w:rPr>
        <w:t xml:space="preserve">, </w:t>
      </w:r>
      <w:r>
        <w:rPr>
          <w:rFonts w:ascii="DejaVu Sans Mono" w:hAnsi="DejaVu Sans Mono"/>
          <w:b w:val="0"/>
          <w:i w:val="0"/>
          <w:sz w:val="17"/>
        </w:rPr>
        <w:t>activity</w:t>
      </w:r>
      <w:r>
        <w:rPr>
          <w:b w:val="0"/>
          <w:i w:val="0"/>
        </w:rPr>
        <w:t xml:space="preserve"> is the MWh read from </w:t>
      </w:r>
      <w:r>
        <w:rPr>
          <w:rFonts w:ascii="DejaVu Sans Mono" w:hAnsi="DejaVu Sans Mono"/>
          <w:b w:val="0"/>
          <w:i w:val="0"/>
          <w:sz w:val="17"/>
        </w:rPr>
        <w:t>generation_mwh_by_asset</w:t>
      </w:r>
      <w:r>
        <w:rPr>
          <w:b w:val="0"/>
          <w:i w:val="0"/>
        </w:rPr>
        <w:t xml:space="preserve"> for each </w:t>
      </w:r>
      <w:r>
        <w:rPr>
          <w:rFonts w:ascii="DejaVu Sans Mono" w:hAnsi="DejaVu Sans Mono"/>
          <w:b w:val="0"/>
          <w:i w:val="0"/>
          <w:sz w:val="17"/>
        </w:rPr>
        <w:t>asset_id</w:t>
      </w:r>
      <w:r>
        <w:rPr>
          <w:b w:val="0"/>
          <w:i w:val="0"/>
        </w:rPr>
        <w:t xml:space="preserve">; </w:t>
      </w:r>
      <w:r>
        <w:rPr>
          <w:rFonts w:ascii="DejaVu Sans Mono" w:hAnsi="DejaVu Sans Mono"/>
          <w:b w:val="0"/>
          <w:i w:val="0"/>
          <w:sz w:val="17"/>
        </w:rPr>
        <w:t>kg</w:t>
      </w:r>
      <w:r>
        <w:rPr>
          <w:b w:val="0"/>
          <w:i w:val="0"/>
        </w:rPr>
        <w:t xml:space="preserve"> is the factor converted to kg/MWh. Each </w:t>
      </w:r>
      <w:r>
        <w:rPr>
          <w:rFonts w:ascii="DejaVu Sans Mono" w:hAnsi="DejaVu Sans Mono"/>
          <w:b w:val="0"/>
          <w:i w:val="0"/>
          <w:sz w:val="17"/>
        </w:rPr>
        <w:t>emissions_tco2e</w:t>
      </w:r>
      <w:r>
        <w:rPr>
          <w:b w:val="0"/>
          <w:i w:val="0"/>
        </w:rPr>
        <w:t xml:space="preserve"> entry records the resulting tonnes, and </w:t>
      </w:r>
      <w:r>
        <w:rPr>
          <w:rFonts w:ascii="DejaVu Sans Mono" w:hAnsi="DejaVu Sans Mono"/>
          <w:b w:val="0"/>
          <w:i w:val="0"/>
          <w:sz w:val="17"/>
        </w:rPr>
        <w:t>operational</w:t>
      </w:r>
      <w:r>
        <w:rPr>
          <w:b w:val="0"/>
          <w:i w:val="0"/>
        </w:rPr>
        <w:t xml:space="preserve"> sums these entries:</w:t>
      </w:r>
    </w:p>
    <w:p>
      <w:pPr>
        <w:spacing w:after="160"/>
        <w:jc w:val="center"/>
      </w:pPr>
      <w:r>
        <w:drawing>
          <wp:inline xmlns:a="http://schemas.openxmlformats.org/drawingml/2006/main" xmlns:pic="http://schemas.openxmlformats.org/drawingml/2006/picture">
            <wp:extent cx="4586478" cy="788801"/>
            <wp:docPr id="195" name="Picture 195"/>
            <wp:cNvGraphicFramePr>
              <a:graphicFrameLocks noChangeAspect="1"/>
            </wp:cNvGraphicFramePr>
            <a:graphic>
              <a:graphicData uri="http://schemas.openxmlformats.org/drawingml/2006/picture">
                <pic:pic>
                  <pic:nvPicPr>
                    <pic:cNvPr id="0" name="eq-195.png"/>
                    <pic:cNvPicPr/>
                  </pic:nvPicPr>
                  <pic:blipFill>
                    <a:blip r:embed="rId184"/>
                    <a:stretch>
                      <a:fillRect/>
                    </a:stretch>
                  </pic:blipFill>
                  <pic:spPr>
                    <a:xfrm>
                      <a:off x="0" y="0"/>
                      <a:ext cx="4586478" cy="788801"/>
                    </a:xfrm>
                    <a:prstGeom prst="rect"/>
                  </pic:spPr>
                </pic:pic>
              </a:graphicData>
            </a:graphic>
          </wp:inline>
        </w:drawing>
      </w:r>
    </w:p>
    <w:p>
      <w:r>
        <w:rPr>
          <w:b w:val="0"/>
          <w:i w:val="0"/>
        </w:rPr>
        <w:t>The result is in tonnes, retaining the CO₂ or CO₂e definition of the selected factor. Zero values in the table refer to the direct operational generation boundary. Equipment-construction emissions are calculated using the capacity-based emissions factors in the next section. Import factors use fixed national averages or fallback values.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95"/>
        <w:gridCol w:w="1805"/>
        <w:gridCol w:w="1598"/>
        <w:gridCol w:w="3195"/>
      </w:tblGrid>
      <w:tr>
        <w:trPr>
          <w:cantSplit/>
          <w:tblHeader w:val="true"/>
        </w:trPr>
        <w:tc>
          <w:tcPr>
            <w:tcW w:type="dxa" w:w="3195"/>
            <w:vAlign w:val="center"/>
            <w:tcMar>
              <w:top w:w="60" w:type="dxa"/>
              <w:left w:w="90" w:type="dxa"/>
              <w:bottom w:w="60" w:type="dxa"/>
              <w:right w:w="90" w:type="dxa"/>
            </w:tcMar>
            <w:shd w:fill="EEEEEE"/>
          </w:tcPr>
          <w:p>
            <w:pPr>
              <w:spacing w:after="40" w:line="276" w:lineRule="auto"/>
            </w:pPr>
            <w:r>
              <w:rPr>
                <w:b/>
                <w:i w:val="0"/>
                <w:sz w:val="18"/>
              </w:rPr>
              <w:t>Generation technology or import source</w:t>
            </w:r>
          </w:p>
        </w:tc>
        <w:tc>
          <w:tcPr>
            <w:tcW w:type="dxa" w:w="1805"/>
            <w:vAlign w:val="center"/>
            <w:tcMar>
              <w:top w:w="60" w:type="dxa"/>
              <w:left w:w="90" w:type="dxa"/>
              <w:bottom w:w="60" w:type="dxa"/>
              <w:right w:w="90" w:type="dxa"/>
            </w:tcMar>
            <w:shd w:fill="EEEEEE"/>
          </w:tcPr>
          <w:p>
            <w:pPr>
              <w:spacing w:after="40" w:line="276" w:lineRule="auto"/>
            </w:pPr>
            <w:r>
              <w:rPr>
                <w:b/>
                <w:i w:val="0"/>
                <w:sz w:val="18"/>
              </w:rPr>
              <w:t>Factor kg/MWh</w:t>
            </w:r>
          </w:p>
        </w:tc>
        <w:tc>
          <w:tcPr>
            <w:tcW w:type="dxa" w:w="1598"/>
            <w:vAlign w:val="center"/>
            <w:tcMar>
              <w:top w:w="60" w:type="dxa"/>
              <w:left w:w="90" w:type="dxa"/>
              <w:bottom w:w="60" w:type="dxa"/>
              <w:right w:w="90" w:type="dxa"/>
            </w:tcMar>
            <w:shd w:fill="EEEEEE"/>
          </w:tcPr>
          <w:p>
            <w:pPr>
              <w:spacing w:after="40" w:line="276" w:lineRule="auto"/>
            </w:pPr>
            <w:r>
              <w:rPr>
                <w:b/>
                <w:i w:val="0"/>
                <w:sz w:val="18"/>
              </w:rPr>
              <w:t>Gas basis</w:t>
            </w:r>
          </w:p>
        </w:tc>
        <w:tc>
          <w:tcPr>
            <w:tcW w:type="dxa" w:w="3195"/>
            <w:vAlign w:val="center"/>
            <w:tcMar>
              <w:top w:w="60" w:type="dxa"/>
              <w:left w:w="90" w:type="dxa"/>
              <w:bottom w:w="60" w:type="dxa"/>
              <w:right w:w="90" w:type="dxa"/>
            </w:tcMar>
            <w:shd w:fill="EEEEEE"/>
          </w:tcPr>
          <w:p>
            <w:pPr>
              <w:spacing w:after="40" w:line="276" w:lineRule="auto"/>
            </w:pPr>
            <w:r>
              <w:rPr>
                <w:b/>
                <w:i w:val="0"/>
                <w:sz w:val="18"/>
              </w:rPr>
              <w:t>Data basis</w:t>
            </w:r>
          </w:p>
        </w:tc>
      </w:tr>
      <w:tr>
        <w:trPr>
          <w:cantSplit/>
        </w:trPr>
        <w:tc>
          <w:tcPr>
            <w:tcW w:type="dxa" w:w="3195"/>
            <w:vAlign w:val="center"/>
            <w:tcMar>
              <w:top w:w="60" w:type="dxa"/>
              <w:left w:w="90" w:type="dxa"/>
              <w:bottom w:w="60" w:type="dxa"/>
              <w:right w:w="90" w:type="dxa"/>
            </w:tcMar>
          </w:tcPr>
          <w:p>
            <w:pPr>
              <w:spacing w:after="40" w:line="276" w:lineRule="auto"/>
            </w:pPr>
            <w:r>
              <w:rPr>
                <w:b w:val="0"/>
                <w:i w:val="0"/>
                <w:sz w:val="18"/>
              </w:rPr>
              <w:t>Combined-cycle gas</w:t>
            </w:r>
          </w:p>
        </w:tc>
        <w:tc>
          <w:tcPr>
            <w:tcW w:type="dxa" w:w="1805"/>
            <w:vAlign w:val="center"/>
            <w:tcMar>
              <w:top w:w="60" w:type="dxa"/>
              <w:left w:w="90" w:type="dxa"/>
              <w:bottom w:w="60" w:type="dxa"/>
              <w:right w:w="90" w:type="dxa"/>
            </w:tcMar>
          </w:tcPr>
          <w:p>
            <w:pPr>
              <w:spacing w:after="40" w:line="276" w:lineRule="auto"/>
            </w:pPr>
            <w:r>
              <w:rPr>
                <w:b w:val="0"/>
                <w:i w:val="0"/>
                <w:sz w:val="18"/>
              </w:rPr>
              <w:t>394</w:t>
            </w:r>
          </w:p>
        </w:tc>
        <w:tc>
          <w:tcPr>
            <w:tcW w:type="dxa" w:w="1598"/>
            <w:vAlign w:val="center"/>
            <w:tcMar>
              <w:top w:w="60" w:type="dxa"/>
              <w:left w:w="90" w:type="dxa"/>
              <w:bottom w:w="60" w:type="dxa"/>
              <w:right w:w="90" w:type="dxa"/>
            </w:tcMar>
          </w:tcPr>
          <w:p>
            <w:pPr>
              <w:spacing w:after="40" w:line="276" w:lineRule="auto"/>
            </w:pPr>
            <w:r>
              <w:rPr>
                <w:b w:val="0"/>
                <w:i w:val="0"/>
                <w:sz w:val="18"/>
              </w:rPr>
              <w:t>CO₂</w:t>
            </w:r>
          </w:p>
        </w:tc>
        <w:tc>
          <w:tcPr>
            <w:tcW w:type="dxa" w:w="3195"/>
            <w:vAlign w:val="center"/>
            <w:tcMar>
              <w:top w:w="60" w:type="dxa"/>
              <w:left w:w="90" w:type="dxa"/>
              <w:bottom w:w="60" w:type="dxa"/>
              <w:right w:w="90" w:type="dxa"/>
            </w:tcMar>
          </w:tcPr>
          <w:p>
            <w:pPr>
              <w:spacing w:after="40" w:line="276" w:lineRule="auto"/>
            </w:pPr>
            <w:r>
              <w:rPr>
                <w:b w:val="0"/>
                <w:i w:val="0"/>
                <w:sz w:val="18"/>
              </w:rPr>
              <w:t>NESO regional carbon-intensity methodology 2024</w:t>
            </w:r>
          </w:p>
        </w:tc>
      </w:tr>
      <w:tr>
        <w:trPr>
          <w:cantSplit/>
        </w:trPr>
        <w:tc>
          <w:tcPr>
            <w:tcW w:type="dxa" w:w="3195"/>
            <w:vAlign w:val="center"/>
            <w:tcMar>
              <w:top w:w="60" w:type="dxa"/>
              <w:left w:w="90" w:type="dxa"/>
              <w:bottom w:w="60" w:type="dxa"/>
              <w:right w:w="90" w:type="dxa"/>
            </w:tcMar>
          </w:tcPr>
          <w:p>
            <w:pPr>
              <w:spacing w:after="40" w:line="276" w:lineRule="auto"/>
            </w:pPr>
            <w:r>
              <w:rPr>
                <w:b w:val="0"/>
                <w:i w:val="0"/>
                <w:sz w:val="18"/>
              </w:rPr>
              <w:t>Open-cycle gas</w:t>
            </w:r>
          </w:p>
        </w:tc>
        <w:tc>
          <w:tcPr>
            <w:tcW w:type="dxa" w:w="1805"/>
            <w:vAlign w:val="center"/>
            <w:tcMar>
              <w:top w:w="60" w:type="dxa"/>
              <w:left w:w="90" w:type="dxa"/>
              <w:bottom w:w="60" w:type="dxa"/>
              <w:right w:w="90" w:type="dxa"/>
            </w:tcMar>
          </w:tcPr>
          <w:p>
            <w:pPr>
              <w:spacing w:after="40" w:line="276" w:lineRule="auto"/>
            </w:pPr>
            <w:r>
              <w:rPr>
                <w:b w:val="0"/>
                <w:i w:val="0"/>
                <w:sz w:val="18"/>
              </w:rPr>
              <w:t>651</w:t>
            </w:r>
          </w:p>
        </w:tc>
        <w:tc>
          <w:tcPr>
            <w:tcW w:type="dxa" w:w="1598"/>
            <w:vAlign w:val="center"/>
            <w:tcMar>
              <w:top w:w="60" w:type="dxa"/>
              <w:left w:w="90" w:type="dxa"/>
              <w:bottom w:w="60" w:type="dxa"/>
              <w:right w:w="90" w:type="dxa"/>
            </w:tcMar>
          </w:tcPr>
          <w:p>
            <w:pPr>
              <w:spacing w:after="40" w:line="276" w:lineRule="auto"/>
            </w:pPr>
            <w:r>
              <w:rPr>
                <w:b w:val="0"/>
                <w:i w:val="0"/>
                <w:sz w:val="18"/>
              </w:rPr>
              <w:t>CO₂</w:t>
            </w:r>
          </w:p>
        </w:tc>
        <w:tc>
          <w:tcPr>
            <w:tcW w:type="dxa" w:w="3195"/>
            <w:vAlign w:val="center"/>
            <w:tcMar>
              <w:top w:w="60" w:type="dxa"/>
              <w:left w:w="90" w:type="dxa"/>
              <w:bottom w:w="60" w:type="dxa"/>
              <w:right w:w="90" w:type="dxa"/>
            </w:tcMar>
          </w:tcPr>
          <w:p>
            <w:pPr>
              <w:spacing w:after="40" w:line="276" w:lineRule="auto"/>
            </w:pPr>
            <w:r>
              <w:rPr>
                <w:b w:val="0"/>
                <w:i w:val="0"/>
                <w:sz w:val="18"/>
              </w:rPr>
              <w:t>NESO regional carbon-intensity methodology 2024</w:t>
            </w:r>
          </w:p>
        </w:tc>
      </w:tr>
      <w:tr>
        <w:trPr>
          <w:cantSplit/>
        </w:trPr>
        <w:tc>
          <w:tcPr>
            <w:tcW w:type="dxa" w:w="3195"/>
            <w:vAlign w:val="center"/>
            <w:tcMar>
              <w:top w:w="60" w:type="dxa"/>
              <w:left w:w="90" w:type="dxa"/>
              <w:bottom w:w="60" w:type="dxa"/>
              <w:right w:w="90" w:type="dxa"/>
            </w:tcMar>
          </w:tcPr>
          <w:p>
            <w:pPr>
              <w:spacing w:after="40" w:line="276" w:lineRule="auto"/>
            </w:pPr>
            <w:r>
              <w:rPr>
                <w:b w:val="0"/>
                <w:i w:val="0"/>
                <w:sz w:val="18"/>
              </w:rPr>
              <w:t>Biomass</w:t>
            </w:r>
          </w:p>
        </w:tc>
        <w:tc>
          <w:tcPr>
            <w:tcW w:type="dxa" w:w="1805"/>
            <w:vAlign w:val="center"/>
            <w:tcMar>
              <w:top w:w="60" w:type="dxa"/>
              <w:left w:w="90" w:type="dxa"/>
              <w:bottom w:w="60" w:type="dxa"/>
              <w:right w:w="90" w:type="dxa"/>
            </w:tcMar>
          </w:tcPr>
          <w:p>
            <w:pPr>
              <w:spacing w:after="40" w:line="276" w:lineRule="auto"/>
            </w:pPr>
            <w:r>
              <w:rPr>
                <w:b w:val="0"/>
                <w:i w:val="0"/>
                <w:sz w:val="18"/>
              </w:rPr>
              <w:t>120</w:t>
            </w:r>
          </w:p>
        </w:tc>
        <w:tc>
          <w:tcPr>
            <w:tcW w:type="dxa" w:w="1598"/>
            <w:vAlign w:val="center"/>
            <w:tcMar>
              <w:top w:w="60" w:type="dxa"/>
              <w:left w:w="90" w:type="dxa"/>
              <w:bottom w:w="60" w:type="dxa"/>
              <w:right w:w="90" w:type="dxa"/>
            </w:tcMar>
          </w:tcPr>
          <w:p>
            <w:pPr>
              <w:spacing w:after="40" w:line="276" w:lineRule="auto"/>
            </w:pPr>
            <w:r>
              <w:rPr>
                <w:b w:val="0"/>
                <w:i w:val="0"/>
                <w:sz w:val="18"/>
              </w:rPr>
              <w:t>CO₂e</w:t>
            </w:r>
          </w:p>
        </w:tc>
        <w:tc>
          <w:tcPr>
            <w:tcW w:type="dxa" w:w="3195"/>
            <w:vAlign w:val="center"/>
            <w:tcMar>
              <w:top w:w="60" w:type="dxa"/>
              <w:left w:w="90" w:type="dxa"/>
              <w:bottom w:w="60" w:type="dxa"/>
              <w:right w:w="90" w:type="dxa"/>
            </w:tcMar>
          </w:tcPr>
          <w:p>
            <w:pPr>
              <w:spacing w:after="40" w:line="276" w:lineRule="auto"/>
            </w:pPr>
            <w:r>
              <w:rPr>
                <w:b w:val="0"/>
                <w:i w:val="0"/>
                <w:sz w:val="18"/>
              </w:rPr>
              <w:t>NESO regional carbon-intensity methodology 2024</w:t>
            </w:r>
          </w:p>
        </w:tc>
      </w:tr>
      <w:tr>
        <w:trPr>
          <w:cantSplit/>
        </w:trPr>
        <w:tc>
          <w:tcPr>
            <w:tcW w:type="dxa" w:w="3195"/>
            <w:vAlign w:val="center"/>
            <w:tcMar>
              <w:top w:w="60" w:type="dxa"/>
              <w:left w:w="90" w:type="dxa"/>
              <w:bottom w:w="60" w:type="dxa"/>
              <w:right w:w="90" w:type="dxa"/>
            </w:tcMar>
          </w:tcPr>
          <w:p>
            <w:pPr>
              <w:spacing w:after="40" w:line="276" w:lineRule="auto"/>
            </w:pPr>
            <w:r>
              <w:rPr>
                <w:b w:val="0"/>
                <w:i w:val="0"/>
                <w:sz w:val="18"/>
              </w:rPr>
              <w:t>Wind Solar Nuclear Conventional hydro Pumped hydro</w:t>
            </w:r>
          </w:p>
        </w:tc>
        <w:tc>
          <w:tcPr>
            <w:tcW w:type="dxa" w:w="1805"/>
            <w:vAlign w:val="center"/>
            <w:tcMar>
              <w:top w:w="60" w:type="dxa"/>
              <w:left w:w="90" w:type="dxa"/>
              <w:bottom w:w="60" w:type="dxa"/>
              <w:right w:w="90" w:type="dxa"/>
            </w:tcMar>
          </w:tcPr>
          <w:p>
            <w:pPr>
              <w:spacing w:after="40" w:line="276" w:lineRule="auto"/>
            </w:pPr>
            <w:r>
              <w:rPr>
                <w:b w:val="0"/>
                <w:i w:val="0"/>
                <w:sz w:val="18"/>
              </w:rPr>
              <w:t>0</w:t>
            </w:r>
          </w:p>
        </w:tc>
        <w:tc>
          <w:tcPr>
            <w:tcW w:type="dxa" w:w="1598"/>
            <w:vAlign w:val="center"/>
            <w:tcMar>
              <w:top w:w="60" w:type="dxa"/>
              <w:left w:w="90" w:type="dxa"/>
              <w:bottom w:w="60" w:type="dxa"/>
              <w:right w:w="90" w:type="dxa"/>
            </w:tcMar>
          </w:tcPr>
          <w:p>
            <w:pPr>
              <w:spacing w:after="40" w:line="276" w:lineRule="auto"/>
            </w:pPr>
            <w:r>
              <w:rPr>
                <w:b w:val="0"/>
                <w:i w:val="0"/>
                <w:sz w:val="18"/>
              </w:rPr>
              <w:t>CO₂</w:t>
            </w:r>
          </w:p>
        </w:tc>
        <w:tc>
          <w:tcPr>
            <w:tcW w:type="dxa" w:w="3195"/>
            <w:vAlign w:val="center"/>
            <w:tcMar>
              <w:top w:w="60" w:type="dxa"/>
              <w:left w:w="90" w:type="dxa"/>
              <w:bottom w:w="60" w:type="dxa"/>
              <w:right w:w="90" w:type="dxa"/>
            </w:tcMar>
          </w:tcPr>
          <w:p>
            <w:pPr>
              <w:spacing w:after="40" w:line="276" w:lineRule="auto"/>
            </w:pPr>
            <w:r>
              <w:rPr>
                <w:b w:val="0"/>
                <w:i w:val="0"/>
                <w:sz w:val="18"/>
              </w:rPr>
              <w:t>NESO generation boundary</w:t>
            </w:r>
          </w:p>
        </w:tc>
      </w:tr>
      <w:tr>
        <w:trPr>
          <w:cantSplit/>
        </w:trPr>
        <w:tc>
          <w:tcPr>
            <w:tcW w:type="dxa" w:w="3195"/>
            <w:vAlign w:val="center"/>
            <w:tcMar>
              <w:top w:w="60" w:type="dxa"/>
              <w:left w:w="90" w:type="dxa"/>
              <w:bottom w:w="60" w:type="dxa"/>
              <w:right w:w="90" w:type="dxa"/>
            </w:tcMar>
          </w:tcPr>
          <w:p>
            <w:pPr>
              <w:spacing w:after="40" w:line="276" w:lineRule="auto"/>
            </w:pPr>
            <w:r>
              <w:rPr>
                <w:b w:val="0"/>
                <w:i w:val="0"/>
                <w:sz w:val="18"/>
              </w:rPr>
              <w:t>Imports from France</w:t>
            </w:r>
          </w:p>
        </w:tc>
        <w:tc>
          <w:tcPr>
            <w:tcW w:type="dxa" w:w="1805"/>
            <w:vAlign w:val="center"/>
            <w:tcMar>
              <w:top w:w="60" w:type="dxa"/>
              <w:left w:w="90" w:type="dxa"/>
              <w:bottom w:w="60" w:type="dxa"/>
              <w:right w:w="90" w:type="dxa"/>
            </w:tcMar>
          </w:tcPr>
          <w:p>
            <w:pPr>
              <w:spacing w:after="40" w:line="276" w:lineRule="auto"/>
            </w:pPr>
            <w:r>
              <w:rPr>
                <w:b w:val="0"/>
                <w:i w:val="0"/>
                <w:sz w:val="18"/>
              </w:rPr>
              <w:t>53</w:t>
            </w:r>
          </w:p>
        </w:tc>
        <w:tc>
          <w:tcPr>
            <w:tcW w:type="dxa" w:w="1598"/>
            <w:vAlign w:val="center"/>
            <w:tcMar>
              <w:top w:w="60" w:type="dxa"/>
              <w:left w:w="90" w:type="dxa"/>
              <w:bottom w:w="60" w:type="dxa"/>
              <w:right w:w="90" w:type="dxa"/>
            </w:tcMar>
          </w:tcPr>
          <w:p>
            <w:pPr>
              <w:spacing w:after="40" w:line="276" w:lineRule="auto"/>
            </w:pPr>
            <w:r>
              <w:rPr>
                <w:b w:val="0"/>
                <w:i w:val="0"/>
                <w:sz w:val="18"/>
              </w:rPr>
              <w:t>CO₂</w:t>
            </w:r>
          </w:p>
        </w:tc>
        <w:tc>
          <w:tcPr>
            <w:tcW w:type="dxa" w:w="3195"/>
            <w:vAlign w:val="center"/>
            <w:tcMar>
              <w:top w:w="60" w:type="dxa"/>
              <w:left w:w="90" w:type="dxa"/>
              <w:bottom w:w="60" w:type="dxa"/>
              <w:right w:w="90" w:type="dxa"/>
            </w:tcMar>
          </w:tcPr>
          <w:p>
            <w:pPr>
              <w:spacing w:after="40" w:line="276" w:lineRule="auto"/>
            </w:pPr>
            <w:r>
              <w:rPr>
                <w:b w:val="0"/>
                <w:i w:val="0"/>
                <w:sz w:val="18"/>
              </w:rPr>
              <w:t>NESO fixed fallback factor</w:t>
            </w:r>
          </w:p>
        </w:tc>
      </w:tr>
      <w:tr>
        <w:trPr>
          <w:cantSplit/>
        </w:trPr>
        <w:tc>
          <w:tcPr>
            <w:tcW w:type="dxa" w:w="3195"/>
            <w:vAlign w:val="center"/>
            <w:tcMar>
              <w:top w:w="60" w:type="dxa"/>
              <w:left w:w="90" w:type="dxa"/>
              <w:bottom w:w="60" w:type="dxa"/>
              <w:right w:w="90" w:type="dxa"/>
            </w:tcMar>
          </w:tcPr>
          <w:p>
            <w:pPr>
              <w:spacing w:after="40" w:line="276" w:lineRule="auto"/>
            </w:pPr>
            <w:r>
              <w:rPr>
                <w:b w:val="0"/>
                <w:i w:val="0"/>
                <w:sz w:val="18"/>
              </w:rPr>
              <w:t>Imports from the Netherlands</w:t>
            </w:r>
          </w:p>
        </w:tc>
        <w:tc>
          <w:tcPr>
            <w:tcW w:type="dxa" w:w="1805"/>
            <w:vAlign w:val="center"/>
            <w:tcMar>
              <w:top w:w="60" w:type="dxa"/>
              <w:left w:w="90" w:type="dxa"/>
              <w:bottom w:w="60" w:type="dxa"/>
              <w:right w:w="90" w:type="dxa"/>
            </w:tcMar>
          </w:tcPr>
          <w:p>
            <w:pPr>
              <w:spacing w:after="40" w:line="276" w:lineRule="auto"/>
            </w:pPr>
            <w:r>
              <w:rPr>
                <w:b w:val="0"/>
                <w:i w:val="0"/>
                <w:sz w:val="18"/>
              </w:rPr>
              <w:t>474</w:t>
            </w:r>
          </w:p>
        </w:tc>
        <w:tc>
          <w:tcPr>
            <w:tcW w:type="dxa" w:w="1598"/>
            <w:vAlign w:val="center"/>
            <w:tcMar>
              <w:top w:w="60" w:type="dxa"/>
              <w:left w:w="90" w:type="dxa"/>
              <w:bottom w:w="60" w:type="dxa"/>
              <w:right w:w="90" w:type="dxa"/>
            </w:tcMar>
          </w:tcPr>
          <w:p>
            <w:pPr>
              <w:spacing w:after="40" w:line="276" w:lineRule="auto"/>
            </w:pPr>
            <w:r>
              <w:rPr>
                <w:b w:val="0"/>
                <w:i w:val="0"/>
                <w:sz w:val="18"/>
              </w:rPr>
              <w:t>CO₂</w:t>
            </w:r>
          </w:p>
        </w:tc>
        <w:tc>
          <w:tcPr>
            <w:tcW w:type="dxa" w:w="3195"/>
            <w:vAlign w:val="center"/>
            <w:tcMar>
              <w:top w:w="60" w:type="dxa"/>
              <w:left w:w="90" w:type="dxa"/>
              <w:bottom w:w="60" w:type="dxa"/>
              <w:right w:w="90" w:type="dxa"/>
            </w:tcMar>
          </w:tcPr>
          <w:p>
            <w:pPr>
              <w:spacing w:after="40" w:line="276" w:lineRule="auto"/>
            </w:pPr>
            <w:r>
              <w:rPr>
                <w:b w:val="0"/>
                <w:i w:val="0"/>
                <w:sz w:val="18"/>
              </w:rPr>
              <w:t>NESO fixed fallback factor</w:t>
            </w:r>
          </w:p>
        </w:tc>
      </w:tr>
      <w:tr>
        <w:trPr>
          <w:cantSplit/>
        </w:trPr>
        <w:tc>
          <w:tcPr>
            <w:tcW w:type="dxa" w:w="3195"/>
            <w:vAlign w:val="center"/>
            <w:tcMar>
              <w:top w:w="60" w:type="dxa"/>
              <w:left w:w="90" w:type="dxa"/>
              <w:bottom w:w="60" w:type="dxa"/>
              <w:right w:w="90" w:type="dxa"/>
            </w:tcMar>
          </w:tcPr>
          <w:p>
            <w:pPr>
              <w:spacing w:after="40" w:line="276" w:lineRule="auto"/>
            </w:pPr>
            <w:r>
              <w:rPr>
                <w:b w:val="0"/>
                <w:i w:val="0"/>
                <w:sz w:val="18"/>
              </w:rPr>
              <w:t>Imports from Belgium</w:t>
            </w:r>
          </w:p>
        </w:tc>
        <w:tc>
          <w:tcPr>
            <w:tcW w:type="dxa" w:w="1805"/>
            <w:vAlign w:val="center"/>
            <w:tcMar>
              <w:top w:w="60" w:type="dxa"/>
              <w:left w:w="90" w:type="dxa"/>
              <w:bottom w:w="60" w:type="dxa"/>
              <w:right w:w="90" w:type="dxa"/>
            </w:tcMar>
          </w:tcPr>
          <w:p>
            <w:pPr>
              <w:spacing w:after="40" w:line="276" w:lineRule="auto"/>
            </w:pPr>
            <w:r>
              <w:rPr>
                <w:b w:val="0"/>
                <w:i w:val="0"/>
                <w:sz w:val="18"/>
              </w:rPr>
              <w:t>179</w:t>
            </w:r>
          </w:p>
        </w:tc>
        <w:tc>
          <w:tcPr>
            <w:tcW w:type="dxa" w:w="1598"/>
            <w:vAlign w:val="center"/>
            <w:tcMar>
              <w:top w:w="60" w:type="dxa"/>
              <w:left w:w="90" w:type="dxa"/>
              <w:bottom w:w="60" w:type="dxa"/>
              <w:right w:w="90" w:type="dxa"/>
            </w:tcMar>
          </w:tcPr>
          <w:p>
            <w:pPr>
              <w:spacing w:after="40" w:line="276" w:lineRule="auto"/>
            </w:pPr>
            <w:r>
              <w:rPr>
                <w:b w:val="0"/>
                <w:i w:val="0"/>
                <w:sz w:val="18"/>
              </w:rPr>
              <w:t>CO₂</w:t>
            </w:r>
          </w:p>
        </w:tc>
        <w:tc>
          <w:tcPr>
            <w:tcW w:type="dxa" w:w="3195"/>
            <w:vAlign w:val="center"/>
            <w:tcMar>
              <w:top w:w="60" w:type="dxa"/>
              <w:left w:w="90" w:type="dxa"/>
              <w:bottom w:w="60" w:type="dxa"/>
              <w:right w:w="90" w:type="dxa"/>
            </w:tcMar>
          </w:tcPr>
          <w:p>
            <w:pPr>
              <w:spacing w:after="40" w:line="276" w:lineRule="auto"/>
            </w:pPr>
            <w:r>
              <w:rPr>
                <w:b w:val="0"/>
                <w:i w:val="0"/>
                <w:sz w:val="18"/>
              </w:rPr>
              <w:t>NESO fixed fallback factor</w:t>
            </w:r>
          </w:p>
        </w:tc>
      </w:tr>
      <w:tr>
        <w:trPr>
          <w:cantSplit/>
        </w:trPr>
        <w:tc>
          <w:tcPr>
            <w:tcW w:type="dxa" w:w="3195"/>
            <w:vAlign w:val="center"/>
            <w:tcMar>
              <w:top w:w="60" w:type="dxa"/>
              <w:left w:w="90" w:type="dxa"/>
              <w:bottom w:w="60" w:type="dxa"/>
              <w:right w:w="90" w:type="dxa"/>
            </w:tcMar>
          </w:tcPr>
          <w:p>
            <w:pPr>
              <w:spacing w:after="40" w:line="276" w:lineRule="auto"/>
            </w:pPr>
            <w:r>
              <w:rPr>
                <w:b w:val="0"/>
                <w:i w:val="0"/>
                <w:sz w:val="18"/>
              </w:rPr>
              <w:t>Imports from Ireland</w:t>
            </w:r>
          </w:p>
        </w:tc>
        <w:tc>
          <w:tcPr>
            <w:tcW w:type="dxa" w:w="1805"/>
            <w:vAlign w:val="center"/>
            <w:tcMar>
              <w:top w:w="60" w:type="dxa"/>
              <w:left w:w="90" w:type="dxa"/>
              <w:bottom w:w="60" w:type="dxa"/>
              <w:right w:w="90" w:type="dxa"/>
            </w:tcMar>
          </w:tcPr>
          <w:p>
            <w:pPr>
              <w:spacing w:after="40" w:line="276" w:lineRule="auto"/>
            </w:pPr>
            <w:r>
              <w:rPr>
                <w:b w:val="0"/>
                <w:i w:val="0"/>
                <w:sz w:val="18"/>
              </w:rPr>
              <w:t>458</w:t>
            </w:r>
          </w:p>
        </w:tc>
        <w:tc>
          <w:tcPr>
            <w:tcW w:type="dxa" w:w="1598"/>
            <w:vAlign w:val="center"/>
            <w:tcMar>
              <w:top w:w="60" w:type="dxa"/>
              <w:left w:w="90" w:type="dxa"/>
              <w:bottom w:w="60" w:type="dxa"/>
              <w:right w:w="90" w:type="dxa"/>
            </w:tcMar>
          </w:tcPr>
          <w:p>
            <w:pPr>
              <w:spacing w:after="40" w:line="276" w:lineRule="auto"/>
            </w:pPr>
            <w:r>
              <w:rPr>
                <w:b w:val="0"/>
                <w:i w:val="0"/>
                <w:sz w:val="18"/>
              </w:rPr>
              <w:t>CO₂</w:t>
            </w:r>
          </w:p>
        </w:tc>
        <w:tc>
          <w:tcPr>
            <w:tcW w:type="dxa" w:w="3195"/>
            <w:vAlign w:val="center"/>
            <w:tcMar>
              <w:top w:w="60" w:type="dxa"/>
              <w:left w:w="90" w:type="dxa"/>
              <w:bottom w:w="60" w:type="dxa"/>
              <w:right w:w="90" w:type="dxa"/>
            </w:tcMar>
          </w:tcPr>
          <w:p>
            <w:pPr>
              <w:spacing w:after="40" w:line="276" w:lineRule="auto"/>
            </w:pPr>
            <w:r>
              <w:rPr>
                <w:b w:val="0"/>
                <w:i w:val="0"/>
                <w:sz w:val="18"/>
              </w:rPr>
              <w:t>NESO fixed fallback factor</w:t>
            </w:r>
          </w:p>
        </w:tc>
      </w:tr>
      <w:tr>
        <w:trPr>
          <w:cantSplit/>
        </w:trPr>
        <w:tc>
          <w:tcPr>
            <w:tcW w:type="dxa" w:w="3195"/>
            <w:vAlign w:val="center"/>
            <w:tcMar>
              <w:top w:w="60" w:type="dxa"/>
              <w:left w:w="90" w:type="dxa"/>
              <w:bottom w:w="60" w:type="dxa"/>
              <w:right w:w="90" w:type="dxa"/>
            </w:tcMar>
          </w:tcPr>
          <w:p>
            <w:pPr>
              <w:spacing w:after="40" w:line="276" w:lineRule="auto"/>
            </w:pPr>
            <w:r>
              <w:rPr>
                <w:b w:val="0"/>
                <w:i w:val="0"/>
                <w:sz w:val="18"/>
              </w:rPr>
              <w:t>Imports from Norway</w:t>
            </w:r>
          </w:p>
        </w:tc>
        <w:tc>
          <w:tcPr>
            <w:tcW w:type="dxa" w:w="1805"/>
            <w:vAlign w:val="center"/>
            <w:tcMar>
              <w:top w:w="60" w:type="dxa"/>
              <w:left w:w="90" w:type="dxa"/>
              <w:bottom w:w="60" w:type="dxa"/>
              <w:right w:w="90" w:type="dxa"/>
            </w:tcMar>
          </w:tcPr>
          <w:p>
            <w:pPr>
              <w:spacing w:after="40" w:line="276" w:lineRule="auto"/>
            </w:pPr>
            <w:r>
              <w:rPr>
                <w:b w:val="0"/>
                <w:i w:val="0"/>
                <w:sz w:val="18"/>
              </w:rPr>
              <w:t>11.9</w:t>
            </w:r>
          </w:p>
        </w:tc>
        <w:tc>
          <w:tcPr>
            <w:tcW w:type="dxa" w:w="1598"/>
            <w:vAlign w:val="center"/>
            <w:tcMar>
              <w:top w:w="60" w:type="dxa"/>
              <w:left w:w="90" w:type="dxa"/>
              <w:bottom w:w="60" w:type="dxa"/>
              <w:right w:w="90" w:type="dxa"/>
            </w:tcMar>
          </w:tcPr>
          <w:p>
            <w:pPr>
              <w:spacing w:after="40" w:line="276" w:lineRule="auto"/>
            </w:pPr>
            <w:r>
              <w:rPr>
                <w:b w:val="0"/>
                <w:i w:val="0"/>
                <w:sz w:val="18"/>
              </w:rPr>
              <w:t>CO₂e</w:t>
            </w:r>
          </w:p>
        </w:tc>
        <w:tc>
          <w:tcPr>
            <w:tcW w:type="dxa" w:w="3195"/>
            <w:vAlign w:val="center"/>
            <w:tcMar>
              <w:top w:w="60" w:type="dxa"/>
              <w:left w:w="90" w:type="dxa"/>
              <w:bottom w:w="60" w:type="dxa"/>
              <w:right w:w="90" w:type="dxa"/>
            </w:tcMar>
          </w:tcPr>
          <w:p>
            <w:pPr>
              <w:spacing w:after="40" w:line="276" w:lineRule="auto"/>
            </w:pPr>
            <w:r>
              <w:rPr>
                <w:b w:val="0"/>
                <w:i w:val="0"/>
                <w:sz w:val="18"/>
              </w:rPr>
              <w:t>NVE annual mean for physical electricity delivery in 2024</w:t>
            </w:r>
          </w:p>
        </w:tc>
      </w:tr>
    </w:tbl>
    <w:p>
      <w:pPr>
        <w:spacing w:after="20"/>
      </w:pPr>
    </w:p>
    <w:p>
      <w:r>
        <w:rPr>
          <w:b w:val="0"/>
          <w:i w:val="0"/>
        </w:rPr>
        <w:t>The source factors are converted to kg/MWh, with 1 g/kWh numerically equal to 1 kg/MWh. The original unit of Norway's factor is gCO₂e/kWh.</w:t>
      </w:r>
    </w:p>
    <w:p>
      <w:r>
        <w:rPr>
          <w:b w:val="0"/>
          <w:i w:val="0"/>
        </w:rPr>
        <w:t>The biomass calculation uses the fixed factor of 120 kgCO₂e/MWh in the table. Its source reports an uncertainty range of ±120 gCO₂/kWh.</w:t>
      </w:r>
    </w:p>
    <w:p>
      <w:pPr>
        <w:pStyle w:val="Heading2"/>
      </w:pPr>
      <w:r>
        <w:rPr>
          <w:b w:val="0"/>
          <w:i w:val="0"/>
        </w:rPr>
        <w:t>Construction emissions annualised by power capacity</w:t>
      </w:r>
    </w:p>
    <w:p>
      <w:pPr>
        <w:keepNext/>
      </w:pPr>
      <w:r>
        <w:rPr>
          <w:b w:val="0"/>
          <w:i w:val="0"/>
        </w:rPr>
        <w:t xml:space="preserve">Construction emissions are annualised for each operating asset. In </w:t>
      </w:r>
      <w:r>
        <w:rPr>
          <w:rFonts w:ascii="DejaVu Sans Mono" w:hAnsi="DejaVu Sans Mono"/>
          <w:b w:val="0"/>
          <w:i w:val="0"/>
          <w:sz w:val="17"/>
        </w:rPr>
        <w:t>_asset_embodied_lines</w:t>
      </w:r>
      <w:r>
        <w:rPr>
          <w:b w:val="0"/>
          <w:i w:val="0"/>
        </w:rPr>
        <w:t xml:space="preserve">, </w:t>
      </w:r>
      <w:r>
        <w:rPr>
          <w:rFonts w:ascii="DejaVu Sans Mono" w:hAnsi="DejaVu Sans Mono"/>
          <w:b w:val="0"/>
          <w:i w:val="0"/>
          <w:sz w:val="17"/>
        </w:rPr>
        <w:t>capacity_mw</w:t>
      </w:r>
      <w:r>
        <w:rPr>
          <w:b w:val="0"/>
          <w:i w:val="0"/>
        </w:rPr>
        <w:t xml:space="preserve"> is operating power in MW and </w:t>
      </w:r>
      <w:r>
        <w:rPr>
          <w:rFonts w:ascii="DejaVu Sans Mono" w:hAnsi="DejaVu Sans Mono"/>
          <w:b w:val="0"/>
          <w:i w:val="0"/>
          <w:sz w:val="17"/>
        </w:rPr>
        <w:t>factor.value</w:t>
      </w:r>
      <w:r>
        <w:rPr>
          <w:b w:val="0"/>
          <w:i w:val="0"/>
        </w:rPr>
        <w:t xml:space="preserve"> is its selected annual factor in tCO₂e/(MW·year). The per-asset value </w:t>
      </w:r>
      <w:r>
        <w:rPr>
          <w:rFonts w:ascii="DejaVu Sans Mono" w:hAnsi="DejaVu Sans Mono"/>
          <w:b w:val="0"/>
          <w:i w:val="0"/>
          <w:sz w:val="17"/>
        </w:rPr>
        <w:t>emissions</w:t>
      </w:r>
      <w:r>
        <w:rPr>
          <w:b w:val="0"/>
          <w:i w:val="0"/>
        </w:rPr>
        <w:t xml:space="preserve"> becomes </w:t>
      </w:r>
      <w:r>
        <w:rPr>
          <w:rFonts w:ascii="DejaVu Sans Mono" w:hAnsi="DejaVu Sans Mono"/>
          <w:b w:val="0"/>
          <w:i w:val="0"/>
          <w:sz w:val="17"/>
        </w:rPr>
        <w:t>line.emissions_tco2e</w:t>
      </w:r>
      <w:r>
        <w:rPr>
          <w:b w:val="0"/>
          <w:i w:val="0"/>
        </w:rPr>
        <w:t xml:space="preserve">; </w:t>
      </w:r>
      <w:r>
        <w:rPr>
          <w:rFonts w:ascii="DejaVu Sans Mono" w:hAnsi="DejaVu Sans Mono"/>
          <w:b w:val="0"/>
          <w:i w:val="0"/>
          <w:sz w:val="17"/>
        </w:rPr>
        <w:t>embodied</w:t>
      </w:r>
      <w:r>
        <w:rPr>
          <w:b w:val="0"/>
          <w:i w:val="0"/>
        </w:rPr>
        <w:t xml:space="preserve"> sums the construction entries:</w:t>
      </w:r>
    </w:p>
    <w:p>
      <w:pPr>
        <w:spacing w:after="160"/>
        <w:jc w:val="center"/>
      </w:pPr>
      <w:r>
        <w:drawing>
          <wp:inline xmlns:a="http://schemas.openxmlformats.org/drawingml/2006/main" xmlns:pic="http://schemas.openxmlformats.org/drawingml/2006/picture">
            <wp:extent cx="3413607" cy="466427"/>
            <wp:docPr id="196" name="Picture 196"/>
            <wp:cNvGraphicFramePr>
              <a:graphicFrameLocks noChangeAspect="1"/>
            </wp:cNvGraphicFramePr>
            <a:graphic>
              <a:graphicData uri="http://schemas.openxmlformats.org/drawingml/2006/picture">
                <pic:pic>
                  <pic:nvPicPr>
                    <pic:cNvPr id="0" name="eq-196.png"/>
                    <pic:cNvPicPr/>
                  </pic:nvPicPr>
                  <pic:blipFill>
                    <a:blip r:embed="rId185"/>
                    <a:stretch>
                      <a:fillRect/>
                    </a:stretch>
                  </pic:blipFill>
                  <pic:spPr>
                    <a:xfrm>
                      <a:off x="0" y="0"/>
                      <a:ext cx="3413607" cy="466427"/>
                    </a:xfrm>
                    <a:prstGeom prst="rect"/>
                  </pic:spPr>
                </pic:pic>
              </a:graphicData>
            </a:graphic>
          </wp:inline>
        </w:drawing>
      </w:r>
    </w:p>
    <w:p>
      <w:r>
        <w:rPr>
          <w:b w:val="0"/>
          <w:i w:val="0"/>
        </w:rPr>
        <w:t xml:space="preserve">The following annual factors are those used in the research postprocessing input </w:t>
      </w:r>
      <w:r>
        <w:rPr>
          <w:rFonts w:ascii="DejaVu Sans Mono" w:hAnsi="DejaVu Sans Mono"/>
          <w:b w:val="0"/>
          <w:i w:val="0"/>
          <w:sz w:val="17"/>
        </w:rPr>
        <w:t>embodied_​factors_​desnz_​unece.csv</w:t>
      </w:r>
      <w:r>
        <w:rPr>
          <w:b w:val="0"/>
          <w:i w:val="0"/>
        </w:rPr>
        <w:t>. The study configuration fixes the factor selection. Open-cycle gas uses the combined-cycle gas construction factor, and the electrolyser uses the literature proxy recorded in that input table.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97"/>
        <w:gridCol w:w="5595"/>
      </w:tblGrid>
      <w:tr>
        <w:trPr>
          <w:cantSplit/>
          <w:tblHeader w:val="true"/>
        </w:trPr>
        <w:tc>
          <w:tcPr>
            <w:tcW w:type="dxa" w:w="4197"/>
            <w:vAlign w:val="center"/>
            <w:tcMar>
              <w:top w:w="60" w:type="dxa"/>
              <w:left w:w="90" w:type="dxa"/>
              <w:bottom w:w="60" w:type="dxa"/>
              <w:right w:w="90" w:type="dxa"/>
            </w:tcMar>
            <w:shd w:fill="EEEEEE"/>
          </w:tcPr>
          <w:p>
            <w:pPr>
              <w:spacing w:after="40" w:line="276" w:lineRule="auto"/>
            </w:pPr>
            <w:r>
              <w:rPr>
                <w:b/>
                <w:i w:val="0"/>
                <w:sz w:val="18"/>
              </w:rPr>
              <w:t>Technology</w:t>
            </w:r>
          </w:p>
        </w:tc>
        <w:tc>
          <w:tcPr>
            <w:tcW w:type="dxa" w:w="5595"/>
            <w:vAlign w:val="center"/>
            <w:tcMar>
              <w:top w:w="60" w:type="dxa"/>
              <w:left w:w="90" w:type="dxa"/>
              <w:bottom w:w="60" w:type="dxa"/>
              <w:right w:w="90" w:type="dxa"/>
            </w:tcMar>
            <w:shd w:fill="EEEEEE"/>
          </w:tcPr>
          <w:p>
            <w:pPr>
              <w:spacing w:after="40" w:line="276" w:lineRule="auto"/>
            </w:pPr>
            <w:r>
              <w:rPr>
                <w:b/>
                <w:i w:val="0"/>
                <w:sz w:val="18"/>
              </w:rPr>
              <w:t>Annual factor tCO₂e/(MW·year)</w:t>
            </w:r>
          </w:p>
        </w:tc>
      </w:tr>
      <w:tr>
        <w:trPr>
          <w:cantSplit/>
        </w:trPr>
        <w:tc>
          <w:tcPr>
            <w:tcW w:type="dxa" w:w="4197"/>
            <w:vAlign w:val="center"/>
            <w:tcMar>
              <w:top w:w="60" w:type="dxa"/>
              <w:left w:w="90" w:type="dxa"/>
              <w:bottom w:w="60" w:type="dxa"/>
              <w:right w:w="90" w:type="dxa"/>
            </w:tcMar>
          </w:tcPr>
          <w:p>
            <w:pPr>
              <w:spacing w:after="40" w:line="276" w:lineRule="auto"/>
            </w:pPr>
            <w:r>
              <w:rPr>
                <w:b w:val="0"/>
                <w:i w:val="0"/>
                <w:sz w:val="18"/>
              </w:rPr>
              <w:t>Solar</w:t>
            </w:r>
          </w:p>
        </w:tc>
        <w:tc>
          <w:tcPr>
            <w:tcW w:type="dxa" w:w="5595"/>
            <w:vAlign w:val="center"/>
            <w:tcMar>
              <w:top w:w="60" w:type="dxa"/>
              <w:left w:w="90" w:type="dxa"/>
              <w:bottom w:w="60" w:type="dxa"/>
              <w:right w:w="90" w:type="dxa"/>
            </w:tcMar>
          </w:tcPr>
          <w:p>
            <w:pPr>
              <w:spacing w:after="40" w:line="276" w:lineRule="auto"/>
            </w:pPr>
            <w:r>
              <w:rPr>
                <w:b w:val="0"/>
                <w:i w:val="0"/>
                <w:sz w:val="18"/>
              </w:rPr>
              <w:t>38.544</w:t>
            </w:r>
          </w:p>
        </w:tc>
      </w:tr>
      <w:tr>
        <w:trPr>
          <w:cantSplit/>
        </w:trPr>
        <w:tc>
          <w:tcPr>
            <w:tcW w:type="dxa" w:w="4197"/>
            <w:vAlign w:val="center"/>
            <w:tcMar>
              <w:top w:w="60" w:type="dxa"/>
              <w:left w:w="90" w:type="dxa"/>
              <w:bottom w:w="60" w:type="dxa"/>
              <w:right w:w="90" w:type="dxa"/>
            </w:tcMar>
          </w:tcPr>
          <w:p>
            <w:pPr>
              <w:spacing w:after="40" w:line="276" w:lineRule="auto"/>
            </w:pPr>
            <w:r>
              <w:rPr>
                <w:b w:val="0"/>
                <w:i w:val="0"/>
                <w:sz w:val="18"/>
              </w:rPr>
              <w:t>Onshore wind</w:t>
            </w:r>
          </w:p>
        </w:tc>
        <w:tc>
          <w:tcPr>
            <w:tcW w:type="dxa" w:w="5595"/>
            <w:vAlign w:val="center"/>
            <w:tcMar>
              <w:top w:w="60" w:type="dxa"/>
              <w:left w:w="90" w:type="dxa"/>
              <w:bottom w:w="60" w:type="dxa"/>
              <w:right w:w="90" w:type="dxa"/>
            </w:tcMar>
          </w:tcPr>
          <w:p>
            <w:pPr>
              <w:spacing w:after="40" w:line="276" w:lineRule="auto"/>
            </w:pPr>
            <w:r>
              <w:rPr>
                <w:b w:val="0"/>
                <w:i w:val="0"/>
                <w:sz w:val="18"/>
              </w:rPr>
              <w:t>47.304</w:t>
            </w:r>
          </w:p>
        </w:tc>
      </w:tr>
      <w:tr>
        <w:trPr>
          <w:cantSplit/>
        </w:trPr>
        <w:tc>
          <w:tcPr>
            <w:tcW w:type="dxa" w:w="4197"/>
            <w:vAlign w:val="center"/>
            <w:tcMar>
              <w:top w:w="60" w:type="dxa"/>
              <w:left w:w="90" w:type="dxa"/>
              <w:bottom w:w="60" w:type="dxa"/>
              <w:right w:w="90" w:type="dxa"/>
            </w:tcMar>
          </w:tcPr>
          <w:p>
            <w:pPr>
              <w:spacing w:after="40" w:line="276" w:lineRule="auto"/>
            </w:pPr>
            <w:r>
              <w:rPr>
                <w:b w:val="0"/>
                <w:i w:val="0"/>
                <w:sz w:val="18"/>
              </w:rPr>
              <w:t>Offshore wind</w:t>
            </w:r>
          </w:p>
        </w:tc>
        <w:tc>
          <w:tcPr>
            <w:tcW w:type="dxa" w:w="5595"/>
            <w:vAlign w:val="center"/>
            <w:tcMar>
              <w:top w:w="60" w:type="dxa"/>
              <w:left w:w="90" w:type="dxa"/>
              <w:bottom w:w="60" w:type="dxa"/>
              <w:right w:w="90" w:type="dxa"/>
            </w:tcMar>
          </w:tcPr>
          <w:p>
            <w:pPr>
              <w:spacing w:after="40" w:line="276" w:lineRule="auto"/>
            </w:pPr>
            <w:r>
              <w:rPr>
                <w:b w:val="0"/>
                <w:i w:val="0"/>
                <w:sz w:val="18"/>
              </w:rPr>
              <w:t>96.1848</w:t>
            </w:r>
          </w:p>
        </w:tc>
      </w:tr>
      <w:tr>
        <w:trPr>
          <w:cantSplit/>
        </w:trPr>
        <w:tc>
          <w:tcPr>
            <w:tcW w:type="dxa" w:w="4197"/>
            <w:vAlign w:val="center"/>
            <w:tcMar>
              <w:top w:w="60" w:type="dxa"/>
              <w:left w:w="90" w:type="dxa"/>
              <w:bottom w:w="60" w:type="dxa"/>
              <w:right w:w="90" w:type="dxa"/>
            </w:tcMar>
          </w:tcPr>
          <w:p>
            <w:pPr>
              <w:spacing w:after="40" w:line="276" w:lineRule="auto"/>
            </w:pPr>
            <w:r>
              <w:rPr>
                <w:b w:val="0"/>
                <w:i w:val="0"/>
                <w:sz w:val="18"/>
              </w:rPr>
              <w:t>Nuclear</w:t>
            </w:r>
          </w:p>
        </w:tc>
        <w:tc>
          <w:tcPr>
            <w:tcW w:type="dxa" w:w="5595"/>
            <w:vAlign w:val="center"/>
            <w:tcMar>
              <w:top w:w="60" w:type="dxa"/>
              <w:left w:w="90" w:type="dxa"/>
              <w:bottom w:w="60" w:type="dxa"/>
              <w:right w:w="90" w:type="dxa"/>
            </w:tcMar>
          </w:tcPr>
          <w:p>
            <w:pPr>
              <w:spacing w:after="40" w:line="276" w:lineRule="auto"/>
            </w:pPr>
            <w:r>
              <w:rPr>
                <w:b w:val="0"/>
                <w:i w:val="0"/>
                <w:sz w:val="18"/>
              </w:rPr>
              <w:t>43.362</w:t>
            </w:r>
          </w:p>
        </w:tc>
      </w:tr>
      <w:tr>
        <w:trPr>
          <w:cantSplit/>
        </w:trPr>
        <w:tc>
          <w:tcPr>
            <w:tcW w:type="dxa" w:w="4197"/>
            <w:vAlign w:val="center"/>
            <w:tcMar>
              <w:top w:w="60" w:type="dxa"/>
              <w:left w:w="90" w:type="dxa"/>
              <w:bottom w:w="60" w:type="dxa"/>
              <w:right w:w="90" w:type="dxa"/>
            </w:tcMar>
          </w:tcPr>
          <w:p>
            <w:pPr>
              <w:spacing w:after="40" w:line="276" w:lineRule="auto"/>
            </w:pPr>
            <w:r>
              <w:rPr>
                <w:b w:val="0"/>
                <w:i w:val="0"/>
                <w:sz w:val="18"/>
              </w:rPr>
              <w:t>Conventional hydro</w:t>
            </w:r>
          </w:p>
        </w:tc>
        <w:tc>
          <w:tcPr>
            <w:tcW w:type="dxa" w:w="5595"/>
            <w:vAlign w:val="center"/>
            <w:tcMar>
              <w:top w:w="60" w:type="dxa"/>
              <w:left w:w="90" w:type="dxa"/>
              <w:bottom w:w="60" w:type="dxa"/>
              <w:right w:w="90" w:type="dxa"/>
            </w:tcMar>
          </w:tcPr>
          <w:p>
            <w:pPr>
              <w:spacing w:after="40" w:line="276" w:lineRule="auto"/>
            </w:pPr>
            <w:r>
              <w:rPr>
                <w:b w:val="0"/>
                <w:i w:val="0"/>
                <w:sz w:val="18"/>
              </w:rPr>
              <w:t>61.32</w:t>
            </w:r>
          </w:p>
        </w:tc>
      </w:tr>
      <w:tr>
        <w:trPr>
          <w:cantSplit/>
        </w:trPr>
        <w:tc>
          <w:tcPr>
            <w:tcW w:type="dxa" w:w="4197"/>
            <w:vAlign w:val="center"/>
            <w:tcMar>
              <w:top w:w="60" w:type="dxa"/>
              <w:left w:w="90" w:type="dxa"/>
              <w:bottom w:w="60" w:type="dxa"/>
              <w:right w:w="90" w:type="dxa"/>
            </w:tcMar>
          </w:tcPr>
          <w:p>
            <w:pPr>
              <w:spacing w:after="40" w:line="276" w:lineRule="auto"/>
            </w:pPr>
            <w:r>
              <w:rPr>
                <w:b w:val="0"/>
                <w:i w:val="0"/>
                <w:sz w:val="18"/>
              </w:rPr>
              <w:t>Pumped hydro</w:t>
            </w:r>
          </w:p>
        </w:tc>
        <w:tc>
          <w:tcPr>
            <w:tcW w:type="dxa" w:w="5595"/>
            <w:vAlign w:val="center"/>
            <w:tcMar>
              <w:top w:w="60" w:type="dxa"/>
              <w:left w:w="90" w:type="dxa"/>
              <w:bottom w:w="60" w:type="dxa"/>
              <w:right w:w="90" w:type="dxa"/>
            </w:tcMar>
          </w:tcPr>
          <w:p>
            <w:pPr>
              <w:spacing w:after="40" w:line="276" w:lineRule="auto"/>
            </w:pPr>
            <w:r>
              <w:rPr>
                <w:b w:val="0"/>
                <w:i w:val="0"/>
                <w:sz w:val="18"/>
              </w:rPr>
              <w:t>98.55</w:t>
            </w:r>
          </w:p>
        </w:tc>
      </w:tr>
      <w:tr>
        <w:trPr>
          <w:cantSplit/>
        </w:trPr>
        <w:tc>
          <w:tcPr>
            <w:tcW w:type="dxa" w:w="4197"/>
            <w:vAlign w:val="center"/>
            <w:tcMar>
              <w:top w:w="60" w:type="dxa"/>
              <w:left w:w="90" w:type="dxa"/>
              <w:bottom w:w="60" w:type="dxa"/>
              <w:right w:w="90" w:type="dxa"/>
            </w:tcMar>
          </w:tcPr>
          <w:p>
            <w:pPr>
              <w:spacing w:after="40" w:line="276" w:lineRule="auto"/>
            </w:pPr>
            <w:r>
              <w:rPr>
                <w:b w:val="0"/>
                <w:i w:val="0"/>
                <w:sz w:val="18"/>
              </w:rPr>
              <w:t>Combined-cycle gas</w:t>
            </w:r>
          </w:p>
        </w:tc>
        <w:tc>
          <w:tcPr>
            <w:tcW w:type="dxa" w:w="5595"/>
            <w:vAlign w:val="center"/>
            <w:tcMar>
              <w:top w:w="60" w:type="dxa"/>
              <w:left w:w="90" w:type="dxa"/>
              <w:bottom w:w="60" w:type="dxa"/>
              <w:right w:w="90" w:type="dxa"/>
            </w:tcMar>
          </w:tcPr>
          <w:p>
            <w:pPr>
              <w:spacing w:after="40" w:line="276" w:lineRule="auto"/>
            </w:pPr>
            <w:r>
              <w:rPr>
                <w:b w:val="0"/>
                <w:i w:val="0"/>
                <w:sz w:val="18"/>
              </w:rPr>
              <w:t>16.2936</w:t>
            </w:r>
          </w:p>
        </w:tc>
      </w:tr>
      <w:tr>
        <w:trPr>
          <w:cantSplit/>
        </w:trPr>
        <w:tc>
          <w:tcPr>
            <w:tcW w:type="dxa" w:w="4197"/>
            <w:vAlign w:val="center"/>
            <w:tcMar>
              <w:top w:w="60" w:type="dxa"/>
              <w:left w:w="90" w:type="dxa"/>
              <w:bottom w:w="60" w:type="dxa"/>
              <w:right w:w="90" w:type="dxa"/>
            </w:tcMar>
          </w:tcPr>
          <w:p>
            <w:pPr>
              <w:spacing w:after="40" w:line="276" w:lineRule="auto"/>
            </w:pPr>
            <w:r>
              <w:rPr>
                <w:b w:val="0"/>
                <w:i w:val="0"/>
                <w:sz w:val="18"/>
              </w:rPr>
              <w:t>Open-cycle gas</w:t>
            </w:r>
          </w:p>
        </w:tc>
        <w:tc>
          <w:tcPr>
            <w:tcW w:type="dxa" w:w="5595"/>
            <w:vAlign w:val="center"/>
            <w:tcMar>
              <w:top w:w="60" w:type="dxa"/>
              <w:left w:w="90" w:type="dxa"/>
              <w:bottom w:w="60" w:type="dxa"/>
              <w:right w:w="90" w:type="dxa"/>
            </w:tcMar>
          </w:tcPr>
          <w:p>
            <w:pPr>
              <w:spacing w:after="40" w:line="276" w:lineRule="auto"/>
            </w:pPr>
            <w:r>
              <w:rPr>
                <w:b w:val="0"/>
                <w:i w:val="0"/>
                <w:sz w:val="18"/>
              </w:rPr>
              <w:t>16.2936</w:t>
            </w:r>
          </w:p>
        </w:tc>
      </w:tr>
      <w:tr>
        <w:trPr>
          <w:cantSplit/>
        </w:trPr>
        <w:tc>
          <w:tcPr>
            <w:tcW w:type="dxa" w:w="4197"/>
            <w:vAlign w:val="center"/>
            <w:tcMar>
              <w:top w:w="60" w:type="dxa"/>
              <w:left w:w="90" w:type="dxa"/>
              <w:bottom w:w="60" w:type="dxa"/>
              <w:right w:w="90" w:type="dxa"/>
            </w:tcMar>
          </w:tcPr>
          <w:p>
            <w:pPr>
              <w:spacing w:after="40" w:line="276" w:lineRule="auto"/>
            </w:pPr>
            <w:r>
              <w:rPr>
                <w:b w:val="0"/>
                <w:i w:val="0"/>
                <w:sz w:val="18"/>
              </w:rPr>
              <w:t>Biomass</w:t>
            </w:r>
          </w:p>
        </w:tc>
        <w:tc>
          <w:tcPr>
            <w:tcW w:type="dxa" w:w="5595"/>
            <w:vAlign w:val="center"/>
            <w:tcMar>
              <w:top w:w="60" w:type="dxa"/>
              <w:left w:w="90" w:type="dxa"/>
              <w:bottom w:w="60" w:type="dxa"/>
              <w:right w:w="90" w:type="dxa"/>
            </w:tcMar>
          </w:tcPr>
          <w:p>
            <w:pPr>
              <w:spacing w:after="40" w:line="276" w:lineRule="auto"/>
            </w:pPr>
            <w:r>
              <w:rPr>
                <w:b w:val="0"/>
                <w:i w:val="0"/>
                <w:sz w:val="18"/>
              </w:rPr>
              <w:t>22.0752</w:t>
            </w:r>
          </w:p>
        </w:tc>
      </w:tr>
      <w:tr>
        <w:trPr>
          <w:cantSplit/>
        </w:trPr>
        <w:tc>
          <w:tcPr>
            <w:tcW w:type="dxa" w:w="4197"/>
            <w:vAlign w:val="center"/>
            <w:tcMar>
              <w:top w:w="60" w:type="dxa"/>
              <w:left w:w="90" w:type="dxa"/>
              <w:bottom w:w="60" w:type="dxa"/>
              <w:right w:w="90" w:type="dxa"/>
            </w:tcMar>
          </w:tcPr>
          <w:p>
            <w:pPr>
              <w:spacing w:after="40" w:line="276" w:lineRule="auto"/>
            </w:pPr>
            <w:r>
              <w:rPr>
                <w:b w:val="0"/>
                <w:i w:val="0"/>
                <w:sz w:val="18"/>
              </w:rPr>
              <w:t>Electrolyser</w:t>
            </w:r>
          </w:p>
        </w:tc>
        <w:tc>
          <w:tcPr>
            <w:tcW w:type="dxa" w:w="5595"/>
            <w:vAlign w:val="center"/>
            <w:tcMar>
              <w:top w:w="60" w:type="dxa"/>
              <w:left w:w="90" w:type="dxa"/>
              <w:bottom w:w="60" w:type="dxa"/>
              <w:right w:w="90" w:type="dxa"/>
            </w:tcMar>
          </w:tcPr>
          <w:p>
            <w:pPr>
              <w:spacing w:after="40" w:line="276" w:lineRule="auto"/>
            </w:pPr>
            <w:r>
              <w:rPr>
                <w:b w:val="0"/>
                <w:i w:val="0"/>
                <w:sz w:val="18"/>
              </w:rPr>
              <w:t>1.25</w:t>
            </w:r>
          </w:p>
        </w:tc>
      </w:tr>
    </w:tbl>
    <w:p>
      <w:pPr>
        <w:spacing w:after="20"/>
      </w:pPr>
    </w:p>
    <w:p>
      <w:pPr>
        <w:pStyle w:val="Heading2"/>
      </w:pPr>
      <w:r>
        <w:rPr>
          <w:b w:val="0"/>
          <w:i w:val="0"/>
        </w:rPr>
        <w:t>Storage emissions measured by energy capacity</w:t>
      </w:r>
    </w:p>
    <w:p>
      <w:pPr>
        <w:keepNext/>
      </w:pPr>
      <w:r>
        <w:rPr>
          <w:b w:val="0"/>
          <w:i w:val="0"/>
        </w:rPr>
        <w:t xml:space="preserve">Battery manufacturing emissions are annualised by rated energy capacity and equipment life. The selected factor is 89 kgCO₂e/kWh of capacity, the midpoint applied in the Longfield Solar Farm environmental statement of 2022. </w:t>
      </w:r>
      <w:r>
        <w:rPr>
          <w:rFonts w:ascii="DejaVu Sans Mono" w:hAnsi="DejaVu Sans Mono"/>
          <w:b w:val="0"/>
          <w:i w:val="0"/>
          <w:sz w:val="17"/>
        </w:rPr>
        <w:t>_asset_embodied_lines</w:t>
      </w:r>
      <w:r>
        <w:rPr>
          <w:b w:val="0"/>
          <w:i w:val="0"/>
        </w:rPr>
        <w:t xml:space="preserve"> reads </w:t>
      </w:r>
      <w:r>
        <w:rPr>
          <w:rFonts w:ascii="DejaVu Sans Mono" w:hAnsi="DejaVu Sans Mono"/>
          <w:b w:val="0"/>
          <w:i w:val="0"/>
          <w:sz w:val="17"/>
        </w:rPr>
        <w:t>asset.energy_​capacity_​mwh</w:t>
      </w:r>
      <w:r>
        <w:rPr>
          <w:b w:val="0"/>
          <w:i w:val="0"/>
        </w:rPr>
        <w:t xml:space="preserve"> in MWh and </w:t>
      </w:r>
      <w:r>
        <w:rPr>
          <w:rFonts w:ascii="DejaVu Sans Mono" w:hAnsi="DejaVu Sans Mono"/>
          <w:b w:val="0"/>
          <w:i w:val="0"/>
          <w:sz w:val="17"/>
        </w:rPr>
        <w:t>economic_life</w:t>
      </w:r>
      <w:r>
        <w:rPr>
          <w:b w:val="0"/>
          <w:i w:val="0"/>
        </w:rPr>
        <w:t xml:space="preserve"> in years from </w:t>
      </w:r>
      <w:r>
        <w:rPr>
          <w:rFonts w:ascii="DejaVu Sans Mono" w:hAnsi="DejaVu Sans Mono"/>
          <w:b w:val="0"/>
          <w:i w:val="0"/>
          <w:sz w:val="17"/>
        </w:rPr>
        <w:t>economic_lifetime_years</w:t>
      </w:r>
      <w:r>
        <w:rPr>
          <w:b w:val="0"/>
          <w:i w:val="0"/>
        </w:rPr>
        <w:t>. Annual manufacturing emissions are</w:t>
      </w:r>
    </w:p>
    <w:p>
      <w:pPr>
        <w:spacing w:after="160"/>
        <w:jc w:val="center"/>
      </w:pPr>
      <w:r>
        <w:drawing>
          <wp:inline xmlns:a="http://schemas.openxmlformats.org/drawingml/2006/main" xmlns:pic="http://schemas.openxmlformats.org/drawingml/2006/picture">
            <wp:extent cx="4900269" cy="367977"/>
            <wp:docPr id="197" name="Picture 197"/>
            <wp:cNvGraphicFramePr>
              <a:graphicFrameLocks noChangeAspect="1"/>
            </wp:cNvGraphicFramePr>
            <a:graphic>
              <a:graphicData uri="http://schemas.openxmlformats.org/drawingml/2006/picture">
                <pic:pic>
                  <pic:nvPicPr>
                    <pic:cNvPr id="0" name="eq-197.png"/>
                    <pic:cNvPicPr/>
                  </pic:nvPicPr>
                  <pic:blipFill>
                    <a:blip r:embed="rId186"/>
                    <a:stretch>
                      <a:fillRect/>
                    </a:stretch>
                  </pic:blipFill>
                  <pic:spPr>
                    <a:xfrm>
                      <a:off x="0" y="0"/>
                      <a:ext cx="4900269" cy="367977"/>
                    </a:xfrm>
                    <a:prstGeom prst="rect"/>
                  </pic:spPr>
                </pic:pic>
              </a:graphicData>
            </a:graphic>
          </wp:inline>
        </w:drawing>
      </w:r>
    </w:p>
    <w:p>
      <w:r>
        <w:rPr>
          <w:b w:val="0"/>
          <w:i w:val="0"/>
        </w:rPr>
        <w:t xml:space="preserve">Hydrogen storage accounts separately for power equipment and energy storage. The energy-storage component uses a lifetime factor of 0.0006 tCO₂e/MWh of capacity, annualised over the asset's declared economic life. It is stored as </w:t>
      </w:r>
      <w:r>
        <w:rPr>
          <w:rFonts w:ascii="DejaVu Sans Mono" w:hAnsi="DejaVu Sans Mono"/>
          <w:b w:val="0"/>
          <w:i w:val="0"/>
          <w:sz w:val="17"/>
        </w:rPr>
        <w:t>ch4_h2_store_lifetime</w:t>
      </w:r>
      <w:r>
        <w:rPr>
          <w:b w:val="0"/>
          <w:i w:val="0"/>
        </w:rPr>
        <w:t xml:space="preserve"> in </w:t>
      </w:r>
      <w:r>
        <w:rPr>
          <w:rFonts w:ascii="DejaVu Sans Mono" w:hAnsi="DejaVu Sans Mono"/>
          <w:b w:val="0"/>
          <w:i w:val="0"/>
          <w:sz w:val="17"/>
        </w:rPr>
        <w:t>factor_catalog.csv</w:t>
      </w:r>
      <w:r>
        <w:rPr>
          <w:b w:val="0"/>
          <w:i w:val="0"/>
        </w:rPr>
        <w:t>, with the original thesis Chapter 4 storage parameters and their 10-year source lifetime retained in the factor record. The electrolyser power component uses the annual factor in the preceding section.</w:t>
      </w:r>
    </w:p>
    <w:p>
      <w:pPr>
        <w:pStyle w:val="Heading2"/>
      </w:pPr>
      <w:r>
        <w:rPr>
          <w:b w:val="0"/>
          <w:i w:val="0"/>
        </w:rPr>
        <w:t>Data and implementation</w:t>
      </w:r>
    </w:p>
    <w:p>
      <w:r>
        <w:rPr>
          <w:rFonts w:ascii="DejaVu Sans Mono" w:hAnsi="DejaVu Sans Mono"/>
          <w:b w:val="0"/>
          <w:i w:val="0"/>
          <w:sz w:val="17"/>
        </w:rPr>
        <w:t>factor_catalog.csv</w:t>
      </w:r>
      <w:r>
        <w:rPr>
          <w:b w:val="0"/>
          <w:i w:val="0"/>
        </w:rPr>
        <w:t xml:space="preserve"> stores the factors, units, accounting boundaries and source locations, while </w:t>
      </w:r>
      <w:r>
        <w:rPr>
          <w:rFonts w:ascii="DejaVu Sans Mono" w:hAnsi="DejaVu Sans Mono"/>
          <w:b w:val="0"/>
          <w:i w:val="0"/>
          <w:sz w:val="17"/>
        </w:rPr>
        <w:t>sources.csv</w:t>
      </w:r>
      <w:r>
        <w:rPr>
          <w:b w:val="0"/>
          <w:i w:val="0"/>
        </w:rPr>
        <w:t xml:space="preserve"> stores source names. </w:t>
      </w:r>
      <w:r>
        <w:rPr>
          <w:rFonts w:ascii="DejaVu Sans Mono" w:hAnsi="DejaVu Sans Mono"/>
          <w:b w:val="0"/>
          <w:i w:val="0"/>
          <w:sz w:val="17"/>
        </w:rPr>
        <w:t>CarbonFactorDatabase</w:t>
      </w:r>
      <w:r>
        <w:rPr>
          <w:b w:val="0"/>
          <w:i w:val="0"/>
        </w:rPr>
        <w:t xml:space="preserve"> reads </w:t>
      </w:r>
      <w:r>
        <w:rPr>
          <w:rFonts w:ascii="DejaVu Sans Mono" w:hAnsi="DejaVu Sans Mono"/>
          <w:b w:val="0"/>
          <w:i w:val="0"/>
          <w:sz w:val="17"/>
        </w:rPr>
        <w:t>value_​carbon_​factors.sqlite</w:t>
      </w:r>
      <w:r>
        <w:rPr>
          <w:b w:val="0"/>
          <w:i w:val="0"/>
        </w:rPr>
        <w:t xml:space="preserve">. </w:t>
      </w:r>
      <w:r>
        <w:rPr>
          <w:rFonts w:ascii="DejaVu Sans Mono" w:hAnsi="DejaVu Sans Mono"/>
          <w:b w:val="0"/>
          <w:i w:val="0"/>
          <w:sz w:val="17"/>
        </w:rPr>
        <w:t>build_​operational_​carbon_​ledger</w:t>
      </w:r>
      <w:r>
        <w:rPr>
          <w:b w:val="0"/>
          <w:i w:val="0"/>
        </w:rPr>
        <w:t xml:space="preserve"> connects dispatched electricity and operating assets to the selected factor set, and </w:t>
      </w:r>
      <w:r>
        <w:rPr>
          <w:rFonts w:ascii="DejaVu Sans Mono" w:hAnsi="DejaVu Sans Mono"/>
          <w:b w:val="0"/>
          <w:i w:val="0"/>
          <w:sz w:val="17"/>
        </w:rPr>
        <w:t>_asset_embodied_lines</w:t>
      </w:r>
      <w:r>
        <w:rPr>
          <w:b w:val="0"/>
          <w:i w:val="0"/>
        </w:rPr>
        <w:t xml:space="preserve"> calculates annualised equipment-construction emissions.</w:t>
      </w:r>
    </w:p>
    <w:sectPr w:rsidR="00FC693F" w:rsidRPr="0006063C" w:rsidSect="00034616">
      <w:headerReference w:type="default" r:id="rId9"/>
      <w:footerReference w:type="default" r:id="rId10"/>
      <w:pgSz w:w="11909" w:h="16834"/>
      <w:pgMar w:top="979" w:right="965" w:bottom="936" w:left="965"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Edition 0.4.1   9 October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VALUE Model Methodology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5" w:lineRule="auto" w:after="120"/>
    </w:pPr>
    <w:rPr>
      <w:rFonts w:ascii="Liberation Serif" w:hAnsi="Liberation Serif" w:eastAsia="Noto Serif CJK SC"/>
      <w:color w:val="000000"/>
      <w:sz w:val="23"/>
      <w:lang w:val="en-GB"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Liberation Serif" w:hAnsi="Liberation Serif" w:eastAsia="Noto Serif CJK SC"/>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Liberation Serif" w:hAnsi="Liberation Serif" w:eastAsia="Noto Serif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Liberation Serif" w:hAnsi="Liberation Serif" w:eastAsia="Noto Serif CJK S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60" w:after="140"/>
      <w:outlineLvl w:val="3"/>
    </w:pPr>
    <w:rPr>
      <w:rFonts w:asciiTheme="majorHAnsi" w:eastAsiaTheme="majorEastAsia" w:hAnsiTheme="majorHAnsi" w:cstheme="majorBidi" w:ascii="Liberation Serif" w:hAnsi="Liberation Serif" w:eastAsia="Noto Serif CJK SC"/>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Liberation Serif" w:hAnsi="Liberation Serif" w:eastAsia="Noto Serif CJK SC"/>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40"/>
    </w:pPr>
    <w:rPr>
      <w:rFonts w:asciiTheme="majorHAnsi" w:eastAsiaTheme="majorEastAsia" w:hAnsiTheme="majorHAnsi" w:cstheme="majorBidi" w:ascii="Liberation Serif" w:hAnsi="Liberation Serif" w:eastAsia="Noto Serif CJK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Liberation Serif" w:hAnsi="Liberation Serif" w:eastAsia="Noto Serif CJK SC"/>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image" Target="media/image114.png"/><Relationship Id="rId125" Type="http://schemas.openxmlformats.org/officeDocument/2006/relationships/image" Target="media/image115.png"/><Relationship Id="rId126" Type="http://schemas.openxmlformats.org/officeDocument/2006/relationships/image" Target="media/image116.png"/><Relationship Id="rId127" Type="http://schemas.openxmlformats.org/officeDocument/2006/relationships/image" Target="media/image117.png"/><Relationship Id="rId128" Type="http://schemas.openxmlformats.org/officeDocument/2006/relationships/image" Target="media/image118.png"/><Relationship Id="rId129" Type="http://schemas.openxmlformats.org/officeDocument/2006/relationships/image" Target="media/image119.png"/><Relationship Id="rId130" Type="http://schemas.openxmlformats.org/officeDocument/2006/relationships/image" Target="media/image120.png"/><Relationship Id="rId131" Type="http://schemas.openxmlformats.org/officeDocument/2006/relationships/image" Target="media/image121.png"/><Relationship Id="rId132" Type="http://schemas.openxmlformats.org/officeDocument/2006/relationships/image" Target="media/image122.png"/><Relationship Id="rId133" Type="http://schemas.openxmlformats.org/officeDocument/2006/relationships/image" Target="media/image123.png"/><Relationship Id="rId134" Type="http://schemas.openxmlformats.org/officeDocument/2006/relationships/image" Target="media/image124.png"/><Relationship Id="rId135" Type="http://schemas.openxmlformats.org/officeDocument/2006/relationships/image" Target="media/image125.png"/><Relationship Id="rId136" Type="http://schemas.openxmlformats.org/officeDocument/2006/relationships/image" Target="media/image126.png"/><Relationship Id="rId137" Type="http://schemas.openxmlformats.org/officeDocument/2006/relationships/image" Target="media/image127.png"/><Relationship Id="rId138" Type="http://schemas.openxmlformats.org/officeDocument/2006/relationships/image" Target="media/image128.png"/><Relationship Id="rId139" Type="http://schemas.openxmlformats.org/officeDocument/2006/relationships/image" Target="media/image129.png"/><Relationship Id="rId140" Type="http://schemas.openxmlformats.org/officeDocument/2006/relationships/image" Target="media/image130.png"/><Relationship Id="rId141" Type="http://schemas.openxmlformats.org/officeDocument/2006/relationships/image" Target="media/image131.png"/><Relationship Id="rId142" Type="http://schemas.openxmlformats.org/officeDocument/2006/relationships/image" Target="media/image132.png"/><Relationship Id="rId143" Type="http://schemas.openxmlformats.org/officeDocument/2006/relationships/image" Target="media/image133.png"/><Relationship Id="rId144" Type="http://schemas.openxmlformats.org/officeDocument/2006/relationships/image" Target="media/image134.png"/><Relationship Id="rId145" Type="http://schemas.openxmlformats.org/officeDocument/2006/relationships/image" Target="media/image135.png"/><Relationship Id="rId146" Type="http://schemas.openxmlformats.org/officeDocument/2006/relationships/image" Target="media/image136.png"/><Relationship Id="rId147" Type="http://schemas.openxmlformats.org/officeDocument/2006/relationships/image" Target="media/image137.png"/><Relationship Id="rId148" Type="http://schemas.openxmlformats.org/officeDocument/2006/relationships/image" Target="media/image138.png"/><Relationship Id="rId149" Type="http://schemas.openxmlformats.org/officeDocument/2006/relationships/image" Target="media/image139.png"/><Relationship Id="rId150" Type="http://schemas.openxmlformats.org/officeDocument/2006/relationships/image" Target="media/image140.png"/><Relationship Id="rId151" Type="http://schemas.openxmlformats.org/officeDocument/2006/relationships/image" Target="media/image141.png"/><Relationship Id="rId152" Type="http://schemas.openxmlformats.org/officeDocument/2006/relationships/image" Target="media/image142.png"/><Relationship Id="rId153" Type="http://schemas.openxmlformats.org/officeDocument/2006/relationships/image" Target="media/image143.png"/><Relationship Id="rId154" Type="http://schemas.openxmlformats.org/officeDocument/2006/relationships/image" Target="media/image144.png"/><Relationship Id="rId155" Type="http://schemas.openxmlformats.org/officeDocument/2006/relationships/image" Target="media/image145.png"/><Relationship Id="rId156" Type="http://schemas.openxmlformats.org/officeDocument/2006/relationships/image" Target="media/image146.png"/><Relationship Id="rId157" Type="http://schemas.openxmlformats.org/officeDocument/2006/relationships/image" Target="media/image147.png"/><Relationship Id="rId158" Type="http://schemas.openxmlformats.org/officeDocument/2006/relationships/image" Target="media/image148.png"/><Relationship Id="rId159" Type="http://schemas.openxmlformats.org/officeDocument/2006/relationships/image" Target="media/image149.png"/><Relationship Id="rId160" Type="http://schemas.openxmlformats.org/officeDocument/2006/relationships/image" Target="media/image150.png"/><Relationship Id="rId161" Type="http://schemas.openxmlformats.org/officeDocument/2006/relationships/image" Target="media/image151.png"/><Relationship Id="rId162" Type="http://schemas.openxmlformats.org/officeDocument/2006/relationships/image" Target="media/image152.png"/><Relationship Id="rId163" Type="http://schemas.openxmlformats.org/officeDocument/2006/relationships/image" Target="media/image153.png"/><Relationship Id="rId164" Type="http://schemas.openxmlformats.org/officeDocument/2006/relationships/image" Target="media/image154.png"/><Relationship Id="rId165" Type="http://schemas.openxmlformats.org/officeDocument/2006/relationships/image" Target="media/image155.png"/><Relationship Id="rId166" Type="http://schemas.openxmlformats.org/officeDocument/2006/relationships/image" Target="media/image156.png"/><Relationship Id="rId167" Type="http://schemas.openxmlformats.org/officeDocument/2006/relationships/image" Target="media/image157.png"/><Relationship Id="rId168" Type="http://schemas.openxmlformats.org/officeDocument/2006/relationships/image" Target="media/image158.png"/><Relationship Id="rId169" Type="http://schemas.openxmlformats.org/officeDocument/2006/relationships/image" Target="media/image159.png"/><Relationship Id="rId170" Type="http://schemas.openxmlformats.org/officeDocument/2006/relationships/image" Target="media/image160.png"/><Relationship Id="rId171" Type="http://schemas.openxmlformats.org/officeDocument/2006/relationships/image" Target="media/image161.png"/><Relationship Id="rId172" Type="http://schemas.openxmlformats.org/officeDocument/2006/relationships/image" Target="media/image162.png"/><Relationship Id="rId173" Type="http://schemas.openxmlformats.org/officeDocument/2006/relationships/image" Target="media/image163.png"/><Relationship Id="rId174" Type="http://schemas.openxmlformats.org/officeDocument/2006/relationships/image" Target="media/image164.png"/><Relationship Id="rId175" Type="http://schemas.openxmlformats.org/officeDocument/2006/relationships/image" Target="media/image165.png"/><Relationship Id="rId176" Type="http://schemas.openxmlformats.org/officeDocument/2006/relationships/image" Target="media/image166.png"/><Relationship Id="rId177" Type="http://schemas.openxmlformats.org/officeDocument/2006/relationships/image" Target="media/image167.png"/><Relationship Id="rId178" Type="http://schemas.openxmlformats.org/officeDocument/2006/relationships/image" Target="media/image168.png"/><Relationship Id="rId179" Type="http://schemas.openxmlformats.org/officeDocument/2006/relationships/image" Target="media/image169.png"/><Relationship Id="rId180" Type="http://schemas.openxmlformats.org/officeDocument/2006/relationships/image" Target="media/image170.png"/><Relationship Id="rId181" Type="http://schemas.openxmlformats.org/officeDocument/2006/relationships/image" Target="media/image171.png"/><Relationship Id="rId182" Type="http://schemas.openxmlformats.org/officeDocument/2006/relationships/image" Target="media/image172.png"/><Relationship Id="rId183" Type="http://schemas.openxmlformats.org/officeDocument/2006/relationships/image" Target="media/image173.png"/><Relationship Id="rId184" Type="http://schemas.openxmlformats.org/officeDocument/2006/relationships/image" Target="media/image174.png"/><Relationship Id="rId185" Type="http://schemas.openxmlformats.org/officeDocument/2006/relationships/image" Target="media/image175.png"/><Relationship Id="rId186" Type="http://schemas.openxmlformats.org/officeDocument/2006/relationships/image" Target="media/image1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VALUE Model Methodology</dc:title>
  <dc:subject>Mathematical formulation  Algorithms  Input data</dc:subject>
  <dc:creator>VALUE</dc:creator>
  <cp:keywords/>
  <dc:description>generated by python-docx</dc:description>
  <cp:lastModifiedBy/>
  <cp:revision>1</cp:revision>
  <dcterms:created xsi:type="dcterms:W3CDTF">2013-12-23T23:15:00Z</dcterms:created>
  <dcterms:modified xsi:type="dcterms:W3CDTF">2013-12-23T23:15:00Z</dcterms:modified>
  <cp:category/>
</cp:coreProperties>
</file>