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  <w:t xml:space="preserve">assessment checklist</w:t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</w:p>
    <w:p>
      <w:pPr>
        <w:pBdr/>
        <w:shd w:val="nil" w:color="000000"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</w:p>
    <w:tbl>
      <w:tblPr>
        <w:tblStyle w:val="1_1249"/>
        <w:tblW w:w="93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1740"/>
        <w:gridCol w:w="1605"/>
      </w:tblGrid>
      <w:tr>
        <w:trPr>
          <w:cantSplit w:val="false"/>
          <w:trHeight w:val="440"/>
          <w:tblHeader/>
        </w:trPr>
        <w:tc>
          <w:tcPr>
            <w:gridSpan w:val="4"/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Administrative Controls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Control name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Control type and explanation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Needs to be implemented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(X)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highlight w:val="none"/>
                <w:rtl w:val="0"/>
                <w:lang w:val="pt-BR"/>
              </w:rPr>
              <w:t xml:space="preserve">Already implemented ( 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Priority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Password policies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Manual Monitoring for legacy systems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Preventive; Refers to the process of actively overseeing old systems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Disaster Recovery Plan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Corrective; A strategy that outlines how recover from a disruptive event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Least Privilage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Preventive; A policy-driven practice that ensures only the needed access will be granted to authorized people.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Separation of Duties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Preventive; Distributes access in a way that avoids the centralization of power in one individual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</w:tbl>
    <w:p>
      <w:pPr>
        <w:pBdr/>
        <w:shd w:val="nil" w:color="000000"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</w:p>
    <w:tbl>
      <w:tblPr>
        <w:tblStyle w:val="1_1250"/>
        <w:tblW w:w="94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510"/>
        <w:gridCol w:w="1800"/>
        <w:gridCol w:w="1650"/>
      </w:tblGrid>
      <w:tr>
        <w:trPr>
          <w:cantSplit w:val="false"/>
          <w:trHeight w:val="440"/>
        </w:trPr>
        <w:tc>
          <w:tcPr>
            <w:gridSpan w:val="4"/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Technical Controls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Control Name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Control type and explanation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Needs to be implemented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(X)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highlight w:val="none"/>
                <w:rtl w:val="0"/>
                <w:lang w:val="pt-BR"/>
              </w:rPr>
              <w:t xml:space="preserve">Already implemented ( 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highlight w:val="none"/>
                <w:rtl w:val="0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Priority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Intrusion Detection System (IDS)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Detective; allows IT team to identify possible intrusions (i.e., anomalous traffic) quickly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tabs>
                <w:tab w:val="center" w:leader="none" w:pos="725"/>
              </w:tabs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Encryption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Deterrent; makes confidential information/data more secure (i.e., website payment transactions)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Network Firewall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Preventive; Protects a network from unauthorized acces by monitoring and controlling network traffic.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Antivírus Software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Preventive, Detective and Corrective; Software used to prevent, detect and eliminate malware and viruses.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Backup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Corrective control; Prevent permanent data loss by saving copies.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Password management system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Preventive; A tool that helps protect, acess and manage passwords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Disabling unused ports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Before an incident occurs, to prevent malicious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actors from entering the network through the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open port. Can be used after an incident to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 future attacks from happening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through unused open ports</w:t>
            </w:r>
            <w:r/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Multifactor authentication (MFA)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Can help protect against brute force attacks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and similar security events. MFA can be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implemented at any time, and is mostly a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technique that is set up once then maintained.</w:t>
            </w:r>
            <w:r/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Network log analysis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Can be configured to alert the security team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when there is abnormal traffic on the network.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This can be used either before an incident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occurs, during to track network traffic, and can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be configured in the response of a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cybersecurity attack. A common tool used for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analyzing network logs is a SIEM.</w:t>
            </w:r>
            <w:r/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Patch updates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Patch updates often contain fixes to security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problems. It is important to keep systems up to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date with the latest security patches because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attackers will be alerted to the security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vulnerability when patches are released.</w:t>
            </w:r>
            <w:r/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Penetration test (pen test)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Pen tests are used to protect and prevent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against potential attacks.</w:t>
            </w:r>
            <w:r/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Port filtering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Port filtering is used to control network traffic</w:t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and can prevent potential attackers from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entering a private network.</w:t>
            </w:r>
            <w:r/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</w:tr>
    </w:tbl>
    <w:p>
      <w:pPr>
        <w:pBdr/>
        <w:shd w:val="nil" w:color="000000"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</w:p>
    <w:tbl>
      <w:tblPr>
        <w:tblStyle w:val="1_1251"/>
        <w:tblW w:w="9390" w:type="dxa"/>
        <w:tblInd w:w="-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525"/>
        <w:gridCol w:w="1800"/>
        <w:gridCol w:w="1605"/>
      </w:tblGrid>
      <w:tr>
        <w:trPr>
          <w:cantSplit w:val="false"/>
          <w:trHeight w:val="440"/>
        </w:trPr>
        <w:tc>
          <w:tcPr>
            <w:gridSpan w:val="4"/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Physical Controls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Control Name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Control type and explanation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Needs to be implemented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(X)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highlight w:val="none"/>
                <w:rtl w:val="0"/>
                <w:lang w:val="pt-BR"/>
              </w:rPr>
              <w:t xml:space="preserve">Already implemented ( 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highlight w:val="none"/>
                <w:rtl w:val="0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Priority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Closed-circuit television (CCTV) surveillance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Locks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Fire Dectetion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Preventive; Provides early warnings of fire hazards that could disrupt or damage assets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</w:tbl>
    <w:p>
      <w:pPr>
        <w:pBdr/>
        <w:shd w:val="nil" w:color="000000"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sz w:val="56"/>
          <w:szCs w:val="56"/>
          <w:highlight w:val="none"/>
          <w14:ligatures w14:val="none"/>
        </w:rPr>
      </w:r>
    </w:p>
    <w:tbl>
      <w:tblPr>
        <w:tblStyle w:val="1_1251"/>
        <w:tblW w:w="9390" w:type="dxa"/>
        <w:tblInd w:w="-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525"/>
        <w:gridCol w:w="1800"/>
        <w:gridCol w:w="1605"/>
      </w:tblGrid>
      <w:tr>
        <w:trPr>
          <w:cantSplit w:val="false"/>
          <w:trHeight w:val="440"/>
        </w:trPr>
        <w:tc>
          <w:tcPr>
            <w:gridSpan w:val="4"/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  <w:lang w:val="pt-BR"/>
              </w:rPr>
              <w:t xml:space="preserve">Compliance Checklist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  <w:lang w:val="pt-BR"/>
              </w:rPr>
              <w:t xml:space="preserve">Compliance Name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  <w:lang w:val="pt-BR"/>
              </w:rPr>
              <w:t xml:space="preserve">E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xplanation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Needs to be implemented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(X)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highlight w:val="none"/>
                <w:rtl w:val="0"/>
                <w:lang w:val="pt-BR"/>
              </w:rPr>
              <w:t xml:space="preserve">Already implemented ( )</w:t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highlight w:val="none"/>
                <w:rtl w:val="0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bCs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sz w:val="24"/>
                <w:szCs w:val="24"/>
                <w:rtl w:val="0"/>
              </w:rPr>
              <w:t xml:space="preserve">Priority</w:t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Payment Card Industry Data Security Standards (PCI DSS)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A set of security standards designed to ensure the correct handling of credit card information and payment data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General Data Protection Regulation (GDPR)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Privacy and data regulation implemented by the European Union.</w:t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System and Organizations Controls (SOC Type1, SOC Type 2)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  <w:t xml:space="preserve">Developed by American Institute of Certified Public Accountants, they are used to evaluate internal controls and pratices of organizations providing services to third parties.</w:t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  <w:lang w:val="pt-BR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  <w:r>
              <w:rPr>
                <w:rFonts w:ascii="Google Sans" w:hAnsi="Google Sans" w:eastAsia="Google Sans" w:cs="Google Sans"/>
                <w:sz w:val="24"/>
                <w:szCs w:val="24"/>
                <w:rtl w:val="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oogle San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  <w:style w:type="table" w:styleId="1_1249" w:customStyle="1">
    <w:name w:val="StGen0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250" w:customStyle="1">
    <w:name w:val="StGen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251" w:customStyle="1">
    <w:name w:val="StGen2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2024-11-14T20:25:13Z</dcterms:modified>
</cp:coreProperties>
</file>