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063240" cy="884936"/>
            <wp:docPr id="1" name="Picture 1"/>
            <wp:cNvGraphicFramePr>
              <a:graphicFrameLocks noChangeAspect="1"/>
            </wp:cNvGraphicFramePr>
            <a:graphic>
              <a:graphicData uri="http://schemas.openxmlformats.org/drawingml/2006/picture">
                <pic:pic>
                  <pic:nvPicPr>
                    <pic:cNvPr id="0" name="lrdl_logo_lockup.png"/>
                    <pic:cNvPicPr/>
                  </pic:nvPicPr>
                  <pic:blipFill>
                    <a:blip r:embed="rId11"/>
                    <a:stretch>
                      <a:fillRect/>
                    </a:stretch>
                  </pic:blipFill>
                  <pic:spPr>
                    <a:xfrm>
                      <a:off x="0" y="0"/>
                      <a:ext cx="3063240" cy="884936"/>
                    </a:xfrm>
                    <a:prstGeom prst="rect"/>
                  </pic:spPr>
                </pic:pic>
              </a:graphicData>
            </a:graphic>
          </wp:inline>
        </w:drawing>
      </w:r>
    </w:p>
    <w:p>
      <w:pPr>
        <w:jc w:val="center"/>
      </w:pPr>
      <w:r>
        <w:rPr>
          <w:rFonts w:ascii="Calibri" w:hAnsi="Calibri"/>
          <w:b/>
          <w:color w:val="0F766E"/>
          <w:sz w:val="20"/>
        </w:rPr>
        <w:t>QUANTITATIVE PSYCHOLOGY AND STATISTICS REPORT</w:t>
      </w:r>
    </w:p>
    <w:p>
      <w:pPr>
        <w:jc w:val="center"/>
      </w:pPr>
      <w:r>
        <w:rPr>
          <w:rFonts w:ascii="Calibri" w:hAnsi="Calibri"/>
          <w:b/>
          <w:color w:val="122033"/>
          <w:sz w:val="56"/>
        </w:rPr>
        <w:t>Loneliness, Social Connection, and Risk Decisions</w:t>
      </w:r>
    </w:p>
    <w:p>
      <w:pPr>
        <w:jc w:val="center"/>
      </w:pPr>
      <w:r>
        <w:rPr>
          <w:rFonts w:ascii="Calibri" w:hAnsi="Calibri"/>
          <w:color w:val="555E6C"/>
          <w:sz w:val="24"/>
        </w:rPr>
        <w:t>A research-product system for measuring how perceived isolation relates to immediate rewards, impulsive spending, risky choice, and conflict response.</w:t>
      </w:r>
    </w:p>
    <w:p>
      <w:pPr>
        <w:jc w:val="center"/>
      </w:pPr>
      <w:r>
        <w:rPr>
          <w:rFonts w:ascii="Calibri" w:hAnsi="Calibri"/>
          <w:b/>
          <w:color w:val="0F766E"/>
          <w:sz w:val="22"/>
        </w:rPr>
        <w:t>Developed by He Haoze (何昊泽)</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Field</w:t>
            </w:r>
          </w:p>
        </w:tc>
        <w:tc>
          <w:tcPr>
            <w:tcW w:type="dxa" w:w="6840"/>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Value</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Developer</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He Haoze (何昊泽)</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Logo / IP mark</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LRDL-HHZ Connection Lens</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Target population</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Late adolescents and emerging adults, ages 16-24</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Data status</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420 synthetic pilot rows plus separated live submissions</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Current public survey</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https://haobosun940-crypto.github.io/loneliness-risk-decision-lab/survey</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GitHub repository</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https://github.com/haobosun940-crypto/loneliness-risk-decision-lab</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Permanent deployment path</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https://dashboard.render.com/blueprint/new?repo=https://github.com/haobosun940-crypto/loneliness-risk-decision-lab</w:t>
            </w:r>
          </w:p>
        </w:tc>
      </w:tr>
    </w:tbl>
    <w:p/>
    <w:p>
      <w:pPr>
        <w:pStyle w:val="Heading1"/>
      </w:pPr>
      <w:r>
        <w:t>Abstract</w:t>
      </w:r>
    </w:p>
    <w:p>
      <w:pPr>
        <w:pStyle w:val="BodyText"/>
        <w:jc w:val="both"/>
      </w:pPr>
      <w:r>
        <w:t>This report presents a complete research design and pilot analysis for the question of whether loneliness predicts risk-oriented decision making. The study boundary combines social psychology, behavioral decision science, and applied statistics. The predictor is perceived loneliness, interpreted alongside social connectedness as a possible buffer. The outcome is a composite Risk Decision Index built from delay-choice tasks, impulsive-spending items, high-risk choices, and conflict-response scenarios. The system includes a public website, survey route, scoring API, SQLite database, statistical dashboard, PDF paper, Word report, Excel workbook, slide deck, video asset, and reproducible source repository.</w:t>
      </w:r>
    </w:p>
    <w:p>
      <w:pPr>
        <w:pStyle w:val="Heading1"/>
      </w:pPr>
      <w:r>
        <w:t>Research Boundary</w:t>
      </w:r>
    </w:p>
    <w:p>
      <w:pPr>
        <w:pStyle w:val="BodyText"/>
        <w:jc w:val="both"/>
      </w:pPr>
      <w:r>
        <w:t>The research follows the boundary formula of broad field plus specific population plus specific variable plus specific outcome plus specific context. This keeps the topic narrow enough for quantitative analysis while still preserving a clear psychological mechanism.</w:t>
      </w:r>
    </w:p>
    <w:tbl>
      <w:tblPr>
        <w:tblStyle w:val="TableGrid"/>
        <w:tblW w:type="auto" w:w="0"/>
        <w:jc w:val="center"/>
        <w:tblLayout w:type="fixed"/>
        <w:tblLook w:firstColumn="1" w:firstRow="1" w:lastColumn="0" w:lastRow="0" w:noHBand="0" w:noVBand="1" w:val="04A0"/>
      </w:tblPr>
      <w:tblGrid>
        <w:gridCol w:w="4680"/>
        <w:gridCol w:w="4680"/>
      </w:tblGrid>
      <w:tr>
        <w:tc>
          <w:tcPr>
            <w:tcW w:type="dxa" w:w="2376"/>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Boundary element</w:t>
            </w:r>
          </w:p>
        </w:tc>
        <w:tc>
          <w:tcPr>
            <w:tcW w:type="dxa" w:w="6983"/>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Operational definition</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Broad field</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Social psychology, behavioral decision science, and applied statistics</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Specific population</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Late adolescents and emerging adults in school, college, and early-career peer networks</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Specific variable</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Loneliness score with social connectedness as a theoretically important buffer</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Specific outcome</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Risk Decision Index, scaled from 0 to 100</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Specific context</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Digitally mediated peer communication and real-world social contact</w:t>
            </w:r>
          </w:p>
        </w:tc>
      </w:tr>
    </w:tbl>
    <w:p/>
    <w:p>
      <w:pPr>
        <w:pStyle w:val="Heading1"/>
      </w:pPr>
      <w:r>
        <w:t>Theory and Hypotheses</w:t>
      </w:r>
    </w:p>
    <w:p>
      <w:pPr>
        <w:pStyle w:val="BodyText"/>
        <w:jc w:val="both"/>
      </w:pPr>
      <w:r>
        <w:t>Loneliness is treated as perceived social isolation rather than simple physical solitude. The psychological mechanism is that perceived isolation may increase social threat monitoring, urgency, rejection sensitivity, and short-horizon regulation. Those mechanisms can plausibly shift reward timing, spending, risk tolerance, and conflict interpretation.</w:t>
      </w:r>
    </w:p>
    <w:p>
      <w:pPr>
        <w:pStyle w:val="ListBullet"/>
        <w:spacing w:after="80" w:line="290" w:lineRule="auto"/>
      </w:pPr>
      <w:r>
        <w:t>H1: Higher loneliness will predict a higher Risk Decision Index.</w:t>
      </w:r>
    </w:p>
    <w:p>
      <w:pPr>
        <w:pStyle w:val="ListBullet"/>
        <w:spacing w:after="80" w:line="290" w:lineRule="auto"/>
      </w:pPr>
      <w:r>
        <w:t>H2: Social connectedness will negatively predict the Risk Decision Index and partially buffer loneliness.</w:t>
      </w:r>
    </w:p>
    <w:p>
      <w:pPr>
        <w:pStyle w:val="ListBullet"/>
        <w:spacing w:after="80" w:line="290" w:lineRule="auto"/>
      </w:pPr>
      <w:r>
        <w:t>H3: The loneliness association will be strongest for immediate reward and impulsive spending.</w:t>
      </w:r>
    </w:p>
    <w:p>
      <w:pPr>
        <w:pStyle w:val="ListBullet"/>
        <w:spacing w:after="80" w:line="290" w:lineRule="auto"/>
      </w:pPr>
      <w:r>
        <w:t>H4: Higher loneliness will be associated with more defensive conflict choices, especially withdrawal or reactive replies.</w:t>
      </w:r>
    </w:p>
    <w:p>
      <w:pPr>
        <w:pStyle w:val="Heading1"/>
      </w:pPr>
      <w:r>
        <w:t>Measurement and Experiment Design</w:t>
      </w:r>
    </w:p>
    <w:p>
      <w:pPr>
        <w:pStyle w:val="BodyText"/>
        <w:jc w:val="both"/>
      </w:pPr>
      <w:r>
        <w:t>The questionnaire combines self-report indicators and short behavioral choice tasks. The self-report measures estimate loneliness, connection, digital contact, offline contact, stress, and sleep. The tasks estimate immediate-reward bias, impulsive spending, high-risk choice, and defensive conflict response. Each construct is converted into a 0-100 score so the dashboard, workbook, and model outputs can be compared on a common scale.</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Construct</w:t>
            </w:r>
          </w:p>
        </w:tc>
        <w:tc>
          <w:tcPr>
            <w:tcW w:type="dxa" w:w="6912"/>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Measurement role</w:t>
            </w:r>
          </w:p>
        </w:tc>
      </w:tr>
      <w:tr>
        <w:tc>
          <w:tcPr>
            <w:tcW w:type="dxa" w:w="2448"/>
            <w:vAlign w:val="center"/>
            <w:tcMar>
              <w:top w:w="80" w:type="dxa"/>
              <w:start w:w="120" w:type="dxa"/>
              <w:bottom w:w="80" w:type="dxa"/>
              <w:end w:w="120" w:type="dxa"/>
            </w:tcMar>
          </w:tcPr>
          <w:p>
            <w:pPr>
              <w:spacing w:before="0" w:after="60" w:line="269" w:lineRule="auto"/>
            </w:pPr>
            <w:r>
              <w:rPr>
                <w:rFonts w:ascii="Calibri" w:hAnsi="Calibri"/>
                <w:b w:val="0"/>
                <w:color w:val="122033"/>
                <w:sz w:val="19"/>
              </w:rPr>
              <w:t>Loneliness Index</w:t>
            </w:r>
          </w:p>
        </w:tc>
        <w:tc>
          <w:tcPr>
            <w:tcW w:type="dxa" w:w="6912"/>
            <w:vAlign w:val="center"/>
            <w:tcMar>
              <w:top w:w="80" w:type="dxa"/>
              <w:start w:w="120" w:type="dxa"/>
              <w:bottom w:w="80" w:type="dxa"/>
              <w:end w:w="120" w:type="dxa"/>
            </w:tcMar>
          </w:tcPr>
          <w:p>
            <w:pPr>
              <w:spacing w:before="0" w:after="60" w:line="269" w:lineRule="auto"/>
            </w:pPr>
            <w:r>
              <w:rPr>
                <w:rFonts w:ascii="Calibri" w:hAnsi="Calibri"/>
                <w:b w:val="0"/>
                <w:color w:val="122033"/>
                <w:sz w:val="19"/>
              </w:rPr>
              <w:t>Loneliness Index (custom 7-item short battery, 0-100)</w:t>
            </w:r>
          </w:p>
        </w:tc>
      </w:tr>
      <w:tr>
        <w:tc>
          <w:tcPr>
            <w:tcW w:type="dxa" w:w="2448"/>
            <w:vAlign w:val="center"/>
            <w:tcMar>
              <w:top w:w="80" w:type="dxa"/>
              <w:start w:w="120" w:type="dxa"/>
              <w:bottom w:w="80" w:type="dxa"/>
              <w:end w:w="120" w:type="dxa"/>
            </w:tcMar>
          </w:tcPr>
          <w:p>
            <w:pPr>
              <w:spacing w:before="0" w:after="60" w:line="269" w:lineRule="auto"/>
            </w:pPr>
            <w:r>
              <w:rPr>
                <w:rFonts w:ascii="Calibri" w:hAnsi="Calibri"/>
                <w:b w:val="0"/>
                <w:color w:val="122033"/>
                <w:sz w:val="19"/>
              </w:rPr>
              <w:t>Social Connection Index</w:t>
            </w:r>
          </w:p>
        </w:tc>
        <w:tc>
          <w:tcPr>
            <w:tcW w:type="dxa" w:w="6912"/>
            <w:vAlign w:val="center"/>
            <w:tcMar>
              <w:top w:w="80" w:type="dxa"/>
              <w:start w:w="120" w:type="dxa"/>
              <w:bottom w:w="80" w:type="dxa"/>
              <w:end w:w="120" w:type="dxa"/>
            </w:tcMar>
          </w:tcPr>
          <w:p>
            <w:pPr>
              <w:spacing w:before="0" w:after="60" w:line="269" w:lineRule="auto"/>
            </w:pPr>
            <w:r>
              <w:rPr>
                <w:rFonts w:ascii="Calibri" w:hAnsi="Calibri"/>
                <w:b w:val="0"/>
                <w:color w:val="122033"/>
                <w:sz w:val="19"/>
              </w:rPr>
              <w:t>Social Connection Index (custom 6-item behavioral/perceived support battery, 0-100)</w:t>
            </w:r>
          </w:p>
        </w:tc>
      </w:tr>
      <w:tr>
        <w:tc>
          <w:tcPr>
            <w:tcW w:type="dxa" w:w="2448"/>
            <w:vAlign w:val="center"/>
            <w:tcMar>
              <w:top w:w="80" w:type="dxa"/>
              <w:start w:w="120" w:type="dxa"/>
              <w:bottom w:w="80" w:type="dxa"/>
              <w:end w:w="120" w:type="dxa"/>
            </w:tcMar>
          </w:tcPr>
          <w:p>
            <w:pPr>
              <w:spacing w:before="0" w:after="60" w:line="269" w:lineRule="auto"/>
            </w:pPr>
            <w:r>
              <w:rPr>
                <w:rFonts w:ascii="Calibri" w:hAnsi="Calibri"/>
                <w:b w:val="0"/>
                <w:color w:val="122033"/>
                <w:sz w:val="19"/>
              </w:rPr>
              <w:t>Immediate Reward Bias</w:t>
            </w:r>
          </w:p>
        </w:tc>
        <w:tc>
          <w:tcPr>
            <w:tcW w:type="dxa" w:w="6912"/>
            <w:vAlign w:val="center"/>
            <w:tcMar>
              <w:top w:w="80" w:type="dxa"/>
              <w:start w:w="120" w:type="dxa"/>
              <w:bottom w:w="80" w:type="dxa"/>
              <w:end w:w="120" w:type="dxa"/>
            </w:tcMar>
          </w:tcPr>
          <w:p>
            <w:pPr>
              <w:spacing w:before="0" w:after="60" w:line="269" w:lineRule="auto"/>
            </w:pPr>
            <w:r>
              <w:rPr>
                <w:rFonts w:ascii="Calibri" w:hAnsi="Calibri"/>
                <w:b w:val="0"/>
                <w:color w:val="122033"/>
                <w:sz w:val="19"/>
              </w:rPr>
              <w:t>Immediate Reward Bias (6 binary delay-choice tasks, 0-100)</w:t>
            </w:r>
          </w:p>
        </w:tc>
      </w:tr>
      <w:tr>
        <w:tc>
          <w:tcPr>
            <w:tcW w:type="dxa" w:w="2448"/>
            <w:vAlign w:val="center"/>
            <w:tcMar>
              <w:top w:w="80" w:type="dxa"/>
              <w:start w:w="120" w:type="dxa"/>
              <w:bottom w:w="80" w:type="dxa"/>
              <w:end w:w="120" w:type="dxa"/>
            </w:tcMar>
          </w:tcPr>
          <w:p>
            <w:pPr>
              <w:spacing w:before="0" w:after="60" w:line="269" w:lineRule="auto"/>
            </w:pPr>
            <w:r>
              <w:rPr>
                <w:rFonts w:ascii="Calibri" w:hAnsi="Calibri"/>
                <w:b w:val="0"/>
                <w:color w:val="122033"/>
                <w:sz w:val="19"/>
              </w:rPr>
              <w:t>Impulsive Spending Score</w:t>
            </w:r>
          </w:p>
        </w:tc>
        <w:tc>
          <w:tcPr>
            <w:tcW w:type="dxa" w:w="6912"/>
            <w:vAlign w:val="center"/>
            <w:tcMar>
              <w:top w:w="80" w:type="dxa"/>
              <w:start w:w="120" w:type="dxa"/>
              <w:bottom w:w="80" w:type="dxa"/>
              <w:end w:w="120" w:type="dxa"/>
            </w:tcMar>
          </w:tcPr>
          <w:p>
            <w:pPr>
              <w:spacing w:before="0" w:after="60" w:line="269" w:lineRule="auto"/>
            </w:pPr>
            <w:r>
              <w:rPr>
                <w:rFonts w:ascii="Calibri" w:hAnsi="Calibri"/>
                <w:b w:val="0"/>
                <w:color w:val="122033"/>
                <w:sz w:val="19"/>
              </w:rPr>
              <w:t>Impulsive Spending Score (5 Likert items, 0-100)</w:t>
            </w:r>
          </w:p>
        </w:tc>
      </w:tr>
      <w:tr>
        <w:tc>
          <w:tcPr>
            <w:tcW w:type="dxa" w:w="2448"/>
            <w:vAlign w:val="center"/>
            <w:tcMar>
              <w:top w:w="80" w:type="dxa"/>
              <w:start w:w="120" w:type="dxa"/>
              <w:bottom w:w="80" w:type="dxa"/>
              <w:end w:w="120" w:type="dxa"/>
            </w:tcMar>
          </w:tcPr>
          <w:p>
            <w:pPr>
              <w:spacing w:before="0" w:after="60" w:line="269" w:lineRule="auto"/>
            </w:pPr>
            <w:r>
              <w:rPr>
                <w:rFonts w:ascii="Calibri" w:hAnsi="Calibri"/>
                <w:b w:val="0"/>
                <w:color w:val="122033"/>
                <w:sz w:val="19"/>
              </w:rPr>
              <w:t>High-Risk Choice Score</w:t>
            </w:r>
          </w:p>
        </w:tc>
        <w:tc>
          <w:tcPr>
            <w:tcW w:type="dxa" w:w="6912"/>
            <w:vAlign w:val="center"/>
            <w:tcMar>
              <w:top w:w="80" w:type="dxa"/>
              <w:start w:w="120" w:type="dxa"/>
              <w:bottom w:w="80" w:type="dxa"/>
              <w:end w:w="120" w:type="dxa"/>
            </w:tcMar>
          </w:tcPr>
          <w:p>
            <w:pPr>
              <w:spacing w:before="0" w:after="60" w:line="269" w:lineRule="auto"/>
            </w:pPr>
            <w:r>
              <w:rPr>
                <w:rFonts w:ascii="Calibri" w:hAnsi="Calibri"/>
                <w:b w:val="0"/>
                <w:color w:val="122033"/>
                <w:sz w:val="19"/>
              </w:rPr>
              <w:t>High-Risk Choice Score (5 binary choice tasks, 0-100)</w:t>
            </w:r>
          </w:p>
        </w:tc>
      </w:tr>
      <w:tr>
        <w:tc>
          <w:tcPr>
            <w:tcW w:type="dxa" w:w="2448"/>
            <w:vAlign w:val="center"/>
            <w:tcMar>
              <w:top w:w="80" w:type="dxa"/>
              <w:start w:w="120" w:type="dxa"/>
              <w:bottom w:w="80" w:type="dxa"/>
              <w:end w:w="120" w:type="dxa"/>
            </w:tcMar>
          </w:tcPr>
          <w:p>
            <w:pPr>
              <w:spacing w:before="0" w:after="60" w:line="269" w:lineRule="auto"/>
            </w:pPr>
            <w:r>
              <w:rPr>
                <w:rFonts w:ascii="Calibri" w:hAnsi="Calibri"/>
                <w:b w:val="0"/>
                <w:color w:val="122033"/>
                <w:sz w:val="19"/>
              </w:rPr>
              <w:t>Conflict Defense Score</w:t>
            </w:r>
          </w:p>
        </w:tc>
        <w:tc>
          <w:tcPr>
            <w:tcW w:type="dxa" w:w="6912"/>
            <w:vAlign w:val="center"/>
            <w:tcMar>
              <w:top w:w="80" w:type="dxa"/>
              <w:start w:w="120" w:type="dxa"/>
              <w:bottom w:w="80" w:type="dxa"/>
              <w:end w:w="120" w:type="dxa"/>
            </w:tcMar>
          </w:tcPr>
          <w:p>
            <w:pPr>
              <w:spacing w:before="0" w:after="60" w:line="269" w:lineRule="auto"/>
            </w:pPr>
            <w:r>
              <w:rPr>
                <w:rFonts w:ascii="Calibri" w:hAnsi="Calibri"/>
                <w:b w:val="0"/>
                <w:color w:val="122033"/>
                <w:sz w:val="19"/>
              </w:rPr>
              <w:t>Conflict Defense Score (5 conflict-response scenarios, 0-100)</w:t>
            </w:r>
          </w:p>
        </w:tc>
      </w:tr>
      <w:tr>
        <w:tc>
          <w:tcPr>
            <w:tcW w:type="dxa" w:w="2448"/>
            <w:vAlign w:val="center"/>
            <w:tcMar>
              <w:top w:w="80" w:type="dxa"/>
              <w:start w:w="120" w:type="dxa"/>
              <w:bottom w:w="80" w:type="dxa"/>
              <w:end w:w="120" w:type="dxa"/>
            </w:tcMar>
          </w:tcPr>
          <w:p>
            <w:pPr>
              <w:spacing w:before="0" w:after="60" w:line="269" w:lineRule="auto"/>
            </w:pPr>
            <w:r>
              <w:rPr>
                <w:rFonts w:ascii="Calibri" w:hAnsi="Calibri"/>
                <w:b w:val="0"/>
                <w:color w:val="122033"/>
                <w:sz w:val="19"/>
              </w:rPr>
              <w:t>Risk Decision Index = .35*Reward + .25*Spending + .25*Risk + .15*Conflict</w:t>
            </w:r>
          </w:p>
        </w:tc>
        <w:tc>
          <w:tcPr>
            <w:tcW w:type="dxa" w:w="6912"/>
            <w:vAlign w:val="center"/>
            <w:tcMar>
              <w:top w:w="80" w:type="dxa"/>
              <w:start w:w="120" w:type="dxa"/>
              <w:bottom w:w="80" w:type="dxa"/>
              <w:end w:w="120" w:type="dxa"/>
            </w:tcMar>
          </w:tcPr>
          <w:p>
            <w:pPr>
              <w:spacing w:before="0" w:after="60" w:line="269" w:lineRule="auto"/>
            </w:pPr>
            <w:r>
              <w:rPr>
                <w:rFonts w:ascii="Calibri" w:hAnsi="Calibri"/>
                <w:b w:val="0"/>
                <w:color w:val="122033"/>
                <w:sz w:val="19"/>
              </w:rPr>
              <w:t>Risk Decision Index = .35*Reward + .25*Spending + .25*Risk + .15*Conflict</w:t>
            </w:r>
          </w:p>
        </w:tc>
      </w:tr>
    </w:tbl>
    <w:p/>
    <w:p>
      <w:pPr>
        <w:jc w:val="center"/>
      </w:pP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method_flow.png"/>
                    <pic:cNvPicPr/>
                  </pic:nvPicPr>
                  <pic:blipFill>
                    <a:blip r:embed="rId12"/>
                    <a:stretch>
                      <a:fillRect/>
                    </a:stretch>
                  </pic:blipFill>
                  <pic:spPr>
                    <a:xfrm>
                      <a:off x="0" y="0"/>
                      <a:ext cx="5577840" cy="3137535"/>
                    </a:xfrm>
                    <a:prstGeom prst="rect"/>
                  </pic:spPr>
                </pic:pic>
              </a:graphicData>
            </a:graphic>
          </wp:inline>
        </w:drawing>
      </w:r>
    </w:p>
    <w:p>
      <w:pPr>
        <w:pStyle w:val="Caption"/>
        <w:jc w:val="center"/>
      </w:pPr>
      <w:r>
        <w:t>Figure 1. Research system workflow from question boundary to questionnaire, scoring, database, models, and reporting.</w:t>
      </w:r>
    </w:p>
    <w:p>
      <w:pPr>
        <w:pStyle w:val="Heading1"/>
      </w:pPr>
      <w:r>
        <w:t>Statistical Analysis Plan</w:t>
      </w:r>
    </w:p>
    <w:p>
      <w:pPr>
        <w:pStyle w:val="BodyText"/>
        <w:jc w:val="both"/>
      </w:pPr>
      <w:r>
        <w:t>The analysis has four layers: reliability, correlation, ANOVA, and regression. Reliability checks whether the custom loneliness and social-connection batteries are internally coherent. Correlations describe zero-order relationships. ANOVA tests whether low, moderate, and high loneliness groups differ in Risk Decision Index. OLS regression estimates whether loneliness remains associated with risk after social connection, stress, age, sleep, platform sessions, and the loneliness-by-connection interaction are included.</w:t>
      </w:r>
    </w:p>
    <w:tbl>
      <w:tblPr>
        <w:tblStyle w:val="TableGrid"/>
        <w:tblW w:type="auto" w:w="0"/>
        <w:jc w:val="center"/>
        <w:tblLayout w:type="fixed"/>
        <w:tblLook w:firstColumn="1" w:firstRow="1" w:lastColumn="0" w:lastRow="0" w:noHBand="0" w:noVBand="1" w:val="04A0"/>
      </w:tblPr>
      <w:tblGrid>
        <w:gridCol w:w="4680"/>
        <w:gridCol w:w="4680"/>
      </w:tblGrid>
      <w:tr>
        <w:tc>
          <w:tcPr>
            <w:tcW w:type="dxa" w:w="2376"/>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Analysis</w:t>
            </w:r>
          </w:p>
        </w:tc>
        <w:tc>
          <w:tcPr>
            <w:tcW w:type="dxa" w:w="6983"/>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Purpose</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Cronbach alpha</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Check internal consistency of psychological item batteries</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Correlation matrix</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Show pairwise associations among constructs</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ANOVA</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Compare Risk Decision Index across loneliness tertiles</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OLS regression</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Estimate the controlled association between loneliness and risk</w:t>
            </w:r>
          </w:p>
        </w:tc>
      </w:tr>
      <w:tr>
        <w:tc>
          <w:tcPr>
            <w:tcW w:type="dxa" w:w="2376"/>
            <w:vAlign w:val="center"/>
            <w:tcMar>
              <w:top w:w="80" w:type="dxa"/>
              <w:start w:w="120" w:type="dxa"/>
              <w:bottom w:w="80" w:type="dxa"/>
              <w:end w:w="120" w:type="dxa"/>
            </w:tcMar>
          </w:tcPr>
          <w:p>
            <w:pPr>
              <w:spacing w:before="0" w:after="60" w:line="269" w:lineRule="auto"/>
            </w:pPr>
            <w:r>
              <w:rPr>
                <w:rFonts w:ascii="Calibri" w:hAnsi="Calibri"/>
                <w:b w:val="0"/>
                <w:color w:val="122033"/>
                <w:sz w:val="19"/>
              </w:rPr>
              <w:t>Logistic tendency model</w:t>
            </w:r>
          </w:p>
        </w:tc>
        <w:tc>
          <w:tcPr>
            <w:tcW w:type="dxa" w:w="6983"/>
            <w:vAlign w:val="center"/>
            <w:tcMar>
              <w:top w:w="80" w:type="dxa"/>
              <w:start w:w="120" w:type="dxa"/>
              <w:bottom w:w="80" w:type="dxa"/>
              <w:end w:w="120" w:type="dxa"/>
            </w:tcMar>
          </w:tcPr>
          <w:p>
            <w:pPr>
              <w:spacing w:before="0" w:after="60" w:line="269" w:lineRule="auto"/>
            </w:pPr>
            <w:r>
              <w:rPr>
                <w:rFonts w:ascii="Calibri" w:hAnsi="Calibri"/>
                <w:b w:val="0"/>
                <w:color w:val="122033"/>
                <w:sz w:val="19"/>
              </w:rPr>
              <w:t>Model top-quartile risk classification as an odds outcome</w:t>
            </w:r>
          </w:p>
        </w:tc>
      </w:tr>
    </w:tbl>
    <w:p/>
    <w:p>
      <w:pPr>
        <w:pStyle w:val="Heading1"/>
      </w:pPr>
      <w:r>
        <w:t>Results</w:t>
      </w:r>
    </w:p>
    <w:p>
      <w:pPr>
        <w:pStyle w:val="BodyText"/>
        <w:jc w:val="both"/>
      </w:pPr>
      <w:r>
        <w:t>The synthetic pilot shows strong internal consistency: alpha=0.911 for the loneliness battery and alpha=0.892 for the social-connection battery. ANOVA yields F(2, 417)=258.59, eta squared=0.554, and permutation p=0.0007. In this demonstration dataset, the group difference is large and directionally consistent with the hypothesis.</w:t>
      </w:r>
    </w:p>
    <w:p>
      <w:pPr>
        <w:jc w:val="center"/>
      </w:pPr>
      <w:r>
        <w:drawing>
          <wp:inline xmlns:a="http://schemas.openxmlformats.org/drawingml/2006/main" xmlns:pic="http://schemas.openxmlformats.org/drawingml/2006/picture">
            <wp:extent cx="5394960" cy="3348596"/>
            <wp:docPr id="3" name="Picture 3"/>
            <wp:cNvGraphicFramePr>
              <a:graphicFrameLocks noChangeAspect="1"/>
            </wp:cNvGraphicFramePr>
            <a:graphic>
              <a:graphicData uri="http://schemas.openxmlformats.org/drawingml/2006/picture">
                <pic:pic>
                  <pic:nvPicPr>
                    <pic:cNvPr id="0" name="chart_anova_groups.png"/>
                    <pic:cNvPicPr/>
                  </pic:nvPicPr>
                  <pic:blipFill>
                    <a:blip r:embed="rId13"/>
                    <a:stretch>
                      <a:fillRect/>
                    </a:stretch>
                  </pic:blipFill>
                  <pic:spPr>
                    <a:xfrm>
                      <a:off x="0" y="0"/>
                      <a:ext cx="5394960" cy="3348596"/>
                    </a:xfrm>
                    <a:prstGeom prst="rect"/>
                  </pic:spPr>
                </pic:pic>
              </a:graphicData>
            </a:graphic>
          </wp:inline>
        </w:drawing>
      </w:r>
    </w:p>
    <w:p>
      <w:pPr>
        <w:pStyle w:val="Caption"/>
        <w:jc w:val="center"/>
      </w:pPr>
      <w:r>
        <w:t>Figure 2. Risk Decision Index rises across low, moderate, and high loneliness groups.</w:t>
      </w:r>
    </w:p>
    <w:p>
      <w:pPr>
        <w:jc w:val="center"/>
      </w:pPr>
      <w:r>
        <w:drawing>
          <wp:inline xmlns:a="http://schemas.openxmlformats.org/drawingml/2006/main" xmlns:pic="http://schemas.openxmlformats.org/drawingml/2006/picture">
            <wp:extent cx="5394960" cy="3342447"/>
            <wp:docPr id="4" name="Picture 4"/>
            <wp:cNvGraphicFramePr>
              <a:graphicFrameLocks noChangeAspect="1"/>
            </wp:cNvGraphicFramePr>
            <a:graphic>
              <a:graphicData uri="http://schemas.openxmlformats.org/drawingml/2006/picture">
                <pic:pic>
                  <pic:nvPicPr>
                    <pic:cNvPr id="0" name="chart_regression_coefficients.png"/>
                    <pic:cNvPicPr/>
                  </pic:nvPicPr>
                  <pic:blipFill>
                    <a:blip r:embed="rId14"/>
                    <a:stretch>
                      <a:fillRect/>
                    </a:stretch>
                  </pic:blipFill>
                  <pic:spPr>
                    <a:xfrm>
                      <a:off x="0" y="0"/>
                      <a:ext cx="5394960" cy="3342447"/>
                    </a:xfrm>
                    <a:prstGeom prst="rect"/>
                  </pic:spPr>
                </pic:pic>
              </a:graphicData>
            </a:graphic>
          </wp:inline>
        </w:drawing>
      </w:r>
    </w:p>
    <w:p>
      <w:pPr>
        <w:pStyle w:val="Caption"/>
        <w:jc w:val="center"/>
      </w:pPr>
      <w:r>
        <w:t>Figure 3. OLS coefficients separate loneliness from social connection, stress, and controls.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960"/>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Term</w:t>
            </w:r>
          </w:p>
        </w:tc>
        <w:tc>
          <w:tcPr>
            <w:tcW w:type="dxa" w:w="1655"/>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Estimate</w:t>
            </w:r>
          </w:p>
        </w:tc>
        <w:tc>
          <w:tcPr>
            <w:tcW w:type="dxa" w:w="1655"/>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SE</w:t>
            </w:r>
          </w:p>
        </w:tc>
        <w:tc>
          <w:tcPr>
            <w:tcW w:type="dxa" w:w="2088"/>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p approx</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Intercept</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48.07</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0.59</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&lt;.001</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loneliness z</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9.81</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0.79</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&lt;.001</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social connection z</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-5.13</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0.63</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&lt;.001</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stress z</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4.94</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0.67</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&lt;.001</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age z</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0.98</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0.51</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0.054</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platform sessions z</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1.07</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0.59</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0.071</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sleep z</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0.15</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0.65</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0.814</w:t>
            </w:r>
          </w:p>
        </w:tc>
      </w:tr>
      <w:tr>
        <w:tc>
          <w:tcPr>
            <w:tcW w:type="dxa" w:w="3960"/>
            <w:vAlign w:val="center"/>
            <w:tcMar>
              <w:top w:w="80" w:type="dxa"/>
              <w:start w:w="120" w:type="dxa"/>
              <w:bottom w:w="80" w:type="dxa"/>
              <w:end w:w="120" w:type="dxa"/>
            </w:tcMar>
          </w:tcPr>
          <w:p>
            <w:pPr>
              <w:spacing w:before="0" w:after="60" w:line="269" w:lineRule="auto"/>
            </w:pPr>
            <w:r>
              <w:rPr>
                <w:rFonts w:ascii="Calibri" w:hAnsi="Calibri"/>
                <w:b w:val="0"/>
                <w:color w:val="122033"/>
                <w:sz w:val="19"/>
              </w:rPr>
              <w:t>loneliness x connection</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0.05</w:t>
            </w:r>
          </w:p>
        </w:tc>
        <w:tc>
          <w:tcPr>
            <w:tcW w:type="dxa" w:w="1655"/>
            <w:vAlign w:val="center"/>
            <w:tcMar>
              <w:top w:w="80" w:type="dxa"/>
              <w:start w:w="120" w:type="dxa"/>
              <w:bottom w:w="80" w:type="dxa"/>
              <w:end w:w="120" w:type="dxa"/>
            </w:tcMar>
          </w:tcPr>
          <w:p>
            <w:pPr>
              <w:spacing w:before="0" w:after="60" w:line="269" w:lineRule="auto"/>
            </w:pPr>
            <w:r>
              <w:rPr>
                <w:rFonts w:ascii="Calibri" w:hAnsi="Calibri"/>
                <w:b w:val="0"/>
                <w:color w:val="122033"/>
                <w:sz w:val="19"/>
              </w:rPr>
              <w:t>0.53</w:t>
            </w:r>
          </w:p>
        </w:tc>
        <w:tc>
          <w:tcPr>
            <w:tcW w:type="dxa" w:w="2088"/>
            <w:vAlign w:val="center"/>
            <w:tcMar>
              <w:top w:w="80" w:type="dxa"/>
              <w:start w:w="120" w:type="dxa"/>
              <w:bottom w:w="80" w:type="dxa"/>
              <w:end w:w="120" w:type="dxa"/>
            </w:tcMar>
          </w:tcPr>
          <w:p>
            <w:pPr>
              <w:spacing w:before="0" w:after="60" w:line="269" w:lineRule="auto"/>
            </w:pPr>
            <w:r>
              <w:rPr>
                <w:rFonts w:ascii="Calibri" w:hAnsi="Calibri"/>
                <w:b w:val="0"/>
                <w:color w:val="122033"/>
                <w:sz w:val="19"/>
              </w:rPr>
              <w:t>0.921</w:t>
            </w:r>
          </w:p>
        </w:tc>
      </w:tr>
    </w:tbl>
    <w:p/>
    <w:p>
      <w:pPr>
        <w:pStyle w:val="Heading1"/>
      </w:pPr>
      <w:r>
        <w:t>Interpreting the Visualizations</w:t>
      </w:r>
    </w:p>
    <w:p>
      <w:pPr>
        <w:pStyle w:val="BodyText"/>
        <w:jc w:val="both"/>
      </w:pPr>
      <w:r>
        <w:t>The charts should be read as evidence tools, not decoration. The ANOVA bar chart communicates group separation. The regression coefficient chart communicates controlled association. The scatterplot communicates individual-level variation around the trend, which is important because psychological prediction is probabilistic rather than deterministic.</w:t>
      </w:r>
    </w:p>
    <w:p>
      <w:pPr>
        <w:jc w:val="center"/>
      </w:pPr>
      <w:r>
        <w:drawing>
          <wp:inline xmlns:a="http://schemas.openxmlformats.org/drawingml/2006/main" xmlns:pic="http://schemas.openxmlformats.org/drawingml/2006/picture">
            <wp:extent cx="5394960" cy="3344799"/>
            <wp:docPr id="5" name="Picture 5"/>
            <wp:cNvGraphicFramePr>
              <a:graphicFrameLocks noChangeAspect="1"/>
            </wp:cNvGraphicFramePr>
            <a:graphic>
              <a:graphicData uri="http://schemas.openxmlformats.org/drawingml/2006/picture">
                <pic:pic>
                  <pic:nvPicPr>
                    <pic:cNvPr id="0" name="chart_scatter_loneliness_risk.png"/>
                    <pic:cNvPicPr/>
                  </pic:nvPicPr>
                  <pic:blipFill>
                    <a:blip r:embed="rId15"/>
                    <a:stretch>
                      <a:fillRect/>
                    </a:stretch>
                  </pic:blipFill>
                  <pic:spPr>
                    <a:xfrm>
                      <a:off x="0" y="0"/>
                      <a:ext cx="5394960" cy="3344799"/>
                    </a:xfrm>
                    <a:prstGeom prst="rect"/>
                  </pic:spPr>
                </pic:pic>
              </a:graphicData>
            </a:graphic>
          </wp:inline>
        </w:drawing>
      </w:r>
    </w:p>
    <w:p>
      <w:pPr>
        <w:pStyle w:val="Caption"/>
        <w:jc w:val="center"/>
      </w:pPr>
      <w:r>
        <w:t>Figure 4. Individual-level scatterplot showing the loneliness-risk pattern and residual variation.</w:t>
      </w:r>
    </w:p>
    <w:p>
      <w:pPr>
        <w:jc w:val="center"/>
      </w:pPr>
      <w:r>
        <w:drawing>
          <wp:inline xmlns:a="http://schemas.openxmlformats.org/drawingml/2006/main" xmlns:pic="http://schemas.openxmlformats.org/drawingml/2006/picture">
            <wp:extent cx="4846320" cy="3000427"/>
            <wp:docPr id="6" name="Picture 6"/>
            <wp:cNvGraphicFramePr>
              <a:graphicFrameLocks noChangeAspect="1"/>
            </wp:cNvGraphicFramePr>
            <a:graphic>
              <a:graphicData uri="http://schemas.openxmlformats.org/drawingml/2006/picture">
                <pic:pic>
                  <pic:nvPicPr>
                    <pic:cNvPr id="0" name="chart_decision_types.png"/>
                    <pic:cNvPicPr/>
                  </pic:nvPicPr>
                  <pic:blipFill>
                    <a:blip r:embed="rId16"/>
                    <a:stretch>
                      <a:fillRect/>
                    </a:stretch>
                  </pic:blipFill>
                  <pic:spPr>
                    <a:xfrm>
                      <a:off x="0" y="0"/>
                      <a:ext cx="4846320" cy="3000427"/>
                    </a:xfrm>
                    <a:prstGeom prst="rect"/>
                  </pic:spPr>
                </pic:pic>
              </a:graphicData>
            </a:graphic>
          </wp:inline>
        </w:drawing>
      </w:r>
    </w:p>
    <w:p>
      <w:pPr>
        <w:pStyle w:val="Caption"/>
        <w:jc w:val="center"/>
      </w:pPr>
      <w:r>
        <w:t>Figure 5. Decision-type labels summarize behavioral tendency and are not clinical categories.</w:t>
      </w:r>
    </w:p>
    <w:p>
      <w:pPr>
        <w:pStyle w:val="Heading1"/>
      </w:pPr>
      <w:r>
        <w:t>Public Website and Data Pipeline</w:t>
      </w:r>
    </w:p>
    <w:p>
      <w:pPr>
        <w:pStyle w:val="BodyText"/>
        <w:jc w:val="both"/>
      </w:pPr>
      <w:r>
        <w:t>The website is designed as the live research instrument. Participants enter the survey at /survey, receive a personal risk-decision profile, and can submit the response into SQLite. The dashboard route shows summary statistics, recent live submissions, CSV export, and model outputs. The data pipeline keeps synthetic pilot rows and live submissions separated so demonstration data cannot be mistaken for actual human-subject observations.</w:t>
      </w:r>
    </w:p>
    <w:tbl>
      <w:tblPr>
        <w:tblStyle w:val="TableGrid"/>
        <w:tblW w:type="auto" w:w="0"/>
        <w:jc w:val="center"/>
        <w:tblLayout w:type="fixed"/>
        <w:tblLook w:firstColumn="1" w:firstRow="1" w:lastColumn="0" w:lastRow="0" w:noHBand="0" w:noVBand="1" w:val="04A0"/>
      </w:tblPr>
      <w:tblGrid>
        <w:gridCol w:w="4680"/>
        <w:gridCol w:w="4680"/>
      </w:tblGrid>
      <w:tr>
        <w:tc>
          <w:tcPr>
            <w:tcW w:type="dxa" w:w="2520"/>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Route or artifact</w:t>
            </w:r>
          </w:p>
        </w:tc>
        <w:tc>
          <w:tcPr>
            <w:tcW w:type="dxa" w:w="6840"/>
            <w:shd w:fill="E8EEF5"/>
            <w:vAlign w:val="center"/>
            <w:tcMar>
              <w:top w:w="80" w:type="dxa"/>
              <w:start w:w="120" w:type="dxa"/>
              <w:bottom w:w="80" w:type="dxa"/>
              <w:end w:w="120" w:type="dxa"/>
            </w:tcMar>
          </w:tcPr>
          <w:p>
            <w:pPr>
              <w:spacing w:before="0" w:after="60" w:line="269" w:lineRule="auto"/>
            </w:pPr>
            <w:r>
              <w:rPr>
                <w:rFonts w:ascii="Calibri" w:hAnsi="Calibri"/>
                <w:b/>
                <w:color w:val="122033"/>
                <w:sz w:val="19"/>
              </w:rPr>
              <w:t>Function</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/survey</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Public questionnaire and personal report generation</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/dashboard</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Live data preview, QR sharing, CSV export, and statistical cockpit</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/research</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Workflow, model outputs, ANOVA, and interpretation</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/downloads</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PDF, Word, PPTX, workbook, video, CSV export, and full package</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GitHub</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https://github.com/haobosun940-crypto/loneliness-risk-decision-lab</w:t>
            </w:r>
          </w:p>
        </w:tc>
      </w:tr>
      <w:tr>
        <w:tc>
          <w:tcPr>
            <w:tcW w:type="dxa" w:w="2520"/>
            <w:vAlign w:val="center"/>
            <w:tcMar>
              <w:top w:w="80" w:type="dxa"/>
              <w:start w:w="120" w:type="dxa"/>
              <w:bottom w:w="80" w:type="dxa"/>
              <w:end w:w="120" w:type="dxa"/>
            </w:tcMar>
          </w:tcPr>
          <w:p>
            <w:pPr>
              <w:spacing w:before="0" w:after="60" w:line="269" w:lineRule="auto"/>
            </w:pPr>
            <w:r>
              <w:rPr>
                <w:rFonts w:ascii="Calibri" w:hAnsi="Calibri"/>
                <w:b w:val="0"/>
                <w:color w:val="122033"/>
                <w:sz w:val="19"/>
              </w:rPr>
              <w:t>Render Blueprint</w:t>
            </w:r>
          </w:p>
        </w:tc>
        <w:tc>
          <w:tcPr>
            <w:tcW w:type="dxa" w:w="6840"/>
            <w:vAlign w:val="center"/>
            <w:tcMar>
              <w:top w:w="80" w:type="dxa"/>
              <w:start w:w="120" w:type="dxa"/>
              <w:bottom w:w="80" w:type="dxa"/>
              <w:end w:w="120" w:type="dxa"/>
            </w:tcMar>
          </w:tcPr>
          <w:p>
            <w:pPr>
              <w:spacing w:before="0" w:after="60" w:line="269" w:lineRule="auto"/>
            </w:pPr>
            <w:r>
              <w:rPr>
                <w:rFonts w:ascii="Calibri" w:hAnsi="Calibri"/>
                <w:b w:val="0"/>
                <w:color w:val="122033"/>
                <w:sz w:val="19"/>
              </w:rPr>
              <w:t>https://dashboard.render.com/blueprint/new?repo=https://github.com/haobosun940-crypto/loneliness-risk-decision-lab</w:t>
            </w:r>
          </w:p>
        </w:tc>
      </w:tr>
    </w:tbl>
    <w:p/>
    <w:p>
      <w:pPr>
        <w:pStyle w:val="Heading1"/>
      </w:pPr>
      <w:r>
        <w:t>Ethics, Data Disclosure, and Limitations</w:t>
      </w:r>
    </w:p>
    <w:p>
      <w:pPr>
        <w:pStyle w:val="ListBullet"/>
        <w:spacing w:after="80" w:line="290" w:lineRule="auto"/>
      </w:pPr>
      <w:r>
        <w:t>The seeded pilot rows are synthetic demonstration data, not collected human-subject observations.</w:t>
      </w:r>
    </w:p>
    <w:p>
      <w:pPr>
        <w:pStyle w:val="ListBullet"/>
        <w:spacing w:after="80" w:line="290" w:lineRule="auto"/>
      </w:pPr>
      <w:r>
        <w:t>Live submissions should be used only with clear consent language and minimal identifying information.</w:t>
      </w:r>
    </w:p>
    <w:p>
      <w:pPr>
        <w:pStyle w:val="ListBullet"/>
        <w:spacing w:after="80" w:line="290" w:lineRule="auto"/>
      </w:pPr>
      <w:r>
        <w:t>The Risk Decision Index is educational and statistical; it is not a clinical diagnosis.</w:t>
      </w:r>
    </w:p>
    <w:p>
      <w:pPr>
        <w:pStyle w:val="ListBullet"/>
        <w:spacing w:after="80" w:line="290" w:lineRule="auto"/>
      </w:pPr>
      <w:r>
        <w:t>The model is cross-sectional and cannot prove that loneliness causes risk decisions.</w:t>
      </w:r>
    </w:p>
    <w:p>
      <w:pPr>
        <w:pStyle w:val="ListBullet"/>
        <w:spacing w:after="80" w:line="290" w:lineRule="auto"/>
      </w:pPr>
      <w:r>
        <w:t>A stronger next study should collect a real sample, predefine inclusion criteria, and rerun reliability, ANOVA, and regression on live data only.</w:t>
      </w:r>
    </w:p>
    <w:p>
      <w:pPr>
        <w:pStyle w:val="Heading1"/>
      </w:pPr>
      <w:r>
        <w:t>Conclusion</w:t>
      </w:r>
    </w:p>
    <w:p>
      <w:pPr>
        <w:pStyle w:val="BodyText"/>
        <w:jc w:val="both"/>
      </w:pPr>
      <w:r>
        <w:t>This project demonstrates how a broad psychological topic can become a rigorous quantitative research system. The core contribution is the integration of theory, measurement, database design, live survey collection, statistical modeling, and publishable reporting. In the synthetic pilot, loneliness is positively associated with Risk Decision Index, while social connectedness is negatively associated with risk. The next scientific step is to collect real responses through the public survey, preserve transparent data-source labels, and update the report when live data are sufficient for empirical claims.</w:t>
      </w:r>
    </w:p>
    <w:p>
      <w:pPr>
        <w:pStyle w:val="Heading1"/>
      </w:pPr>
      <w:r>
        <w:t>References and Public Links</w:t>
      </w:r>
    </w:p>
    <w:p>
      <w:r>
        <w:rPr>
          <w:rFonts w:ascii="Calibri" w:hAnsi="Calibri"/>
          <w:b/>
          <w:color w:val="122033"/>
          <w:sz w:val="21"/>
        </w:rPr>
        <w:t xml:space="preserve">Current public survey: </w:t>
      </w:r>
      <w:hyperlink r:id="rId17">
        <w:r>
          <w:rPr>
            <w:color w:val="1155CC"/>
            <w:u w:val="single"/>
          </w:rPr>
          <w:t>https://haobosun940-crypto.github.io/loneliness-risk-decision-lab/survey</w:t>
        </w:r>
      </w:hyperlink>
    </w:p>
    <w:p>
      <w:r>
        <w:rPr>
          <w:rFonts w:ascii="Calibri" w:hAnsi="Calibri"/>
          <w:b/>
          <w:color w:val="122033"/>
          <w:sz w:val="21"/>
        </w:rPr>
        <w:t xml:space="preserve">GitHub repository: </w:t>
      </w:r>
      <w:hyperlink r:id="rId18">
        <w:r>
          <w:rPr>
            <w:color w:val="1155CC"/>
            <w:u w:val="single"/>
          </w:rPr>
          <w:t>https://github.com/haobosun940-crypto/loneliness-risk-decision-lab</w:t>
        </w:r>
      </w:hyperlink>
    </w:p>
    <w:p>
      <w:r>
        <w:rPr>
          <w:rFonts w:ascii="Calibri" w:hAnsi="Calibri"/>
          <w:b/>
          <w:color w:val="122033"/>
          <w:sz w:val="21"/>
        </w:rPr>
        <w:t xml:space="preserve">Render Blueprint: </w:t>
      </w:r>
      <w:hyperlink r:id="rId19">
        <w:r>
          <w:rPr>
            <w:color w:val="1155CC"/>
            <w:u w:val="single"/>
          </w:rPr>
          <w:t>https://dashboard.render.com/blueprint/new?repo=https://github.com/haobosun940-crypto/loneliness-risk-decision-lab</w:t>
        </w:r>
      </w:hyperlink>
    </w:p>
    <w:p/>
    <w:p>
      <w:pPr>
        <w:pStyle w:val="BodyText"/>
        <w:spacing w:after="80"/>
      </w:pPr>
      <w:r>
        <w:rPr>
          <w:rFonts w:ascii="Calibri" w:hAnsi="Calibri"/>
          <w:color w:val="122033"/>
          <w:sz w:val="19"/>
        </w:rPr>
        <w:t>1. Russell, D. W. (1996). UCLA Loneliness Scale (Version 3): Reliability, validity, and factor structure. Journal of Personality Assessment, 66(1), 20-40. URL: https://doi.org/10.1207/s15327752jpa6601_2</w:t>
      </w:r>
    </w:p>
    <w:p>
      <w:pPr>
        <w:pStyle w:val="BodyText"/>
        <w:spacing w:after="80"/>
      </w:pPr>
      <w:r>
        <w:rPr>
          <w:rFonts w:ascii="Calibri" w:hAnsi="Calibri"/>
          <w:color w:val="122033"/>
          <w:sz w:val="19"/>
        </w:rPr>
        <w:t>2. Hughes, M. E., Waite, L. J., Hawkley, L. C., &amp; Cacioppo, J. T. (2004). A short scale for measuring loneliness in large surveys. Research on Aging, 26(6), 655-672. URL: https://doi.org/10.1177/0164027504268574</w:t>
      </w:r>
    </w:p>
    <w:p>
      <w:pPr>
        <w:pStyle w:val="BodyText"/>
        <w:spacing w:after="80"/>
      </w:pPr>
      <w:r>
        <w:rPr>
          <w:rFonts w:ascii="Calibri" w:hAnsi="Calibri"/>
          <w:color w:val="122033"/>
          <w:sz w:val="19"/>
        </w:rPr>
        <w:t>3. Hawkley, L. C., &amp; Cacioppo, J. T. (2010). Loneliness matters: A theoretical and empirical review of consequences and mechanisms. Annals of Behavioral Medicine, 40(2), 218-227. URL: https://doi.org/10.1007/s12160-010-9210-8</w:t>
      </w:r>
    </w:p>
    <w:p>
      <w:pPr>
        <w:pStyle w:val="BodyText"/>
        <w:spacing w:after="80"/>
      </w:pPr>
      <w:r>
        <w:rPr>
          <w:rFonts w:ascii="Calibri" w:hAnsi="Calibri"/>
          <w:color w:val="122033"/>
          <w:sz w:val="19"/>
        </w:rPr>
        <w:t>4. Cacioppo, J. T., &amp; Hawkley, L. C. (2009). Perceived social isolation and cognition. Trends in Cognitive Sciences, 13(10), 447-454. URL: https://doi.org/10.1016/j.tics.2009.06.005</w:t>
      </w:r>
    </w:p>
    <w:p>
      <w:pPr>
        <w:pStyle w:val="BodyText"/>
        <w:spacing w:after="80"/>
      </w:pPr>
      <w:r>
        <w:rPr>
          <w:rFonts w:ascii="Calibri" w:hAnsi="Calibri"/>
          <w:color w:val="122033"/>
          <w:sz w:val="19"/>
        </w:rPr>
        <w:t>5. Lee, R. M., Draper, M., &amp; Lee, S. (2001). Social connectedness, dysfunctional interpersonal behaviors, and psychological distress: Testing a mediator model. Journal of Counseling Psychology, 48(3), 310-318. URL: https://doi.org/10.1037/0022-0167.48.3.310</w:t>
      </w:r>
    </w:p>
    <w:p>
      <w:pPr>
        <w:pStyle w:val="BodyText"/>
        <w:spacing w:after="80"/>
      </w:pPr>
      <w:r>
        <w:rPr>
          <w:rFonts w:ascii="Calibri" w:hAnsi="Calibri"/>
          <w:color w:val="122033"/>
          <w:sz w:val="19"/>
        </w:rPr>
        <w:t>6. Blais, A. R., &amp; Weber, E. U. (2006). A Domain-Specific Risk-Taking (DOSPERT) scale for adult populations. Judgment and Decision Making, 1(1), 33-47. URL: https://doi.org/10.1017/S1930297500000334</w:t>
      </w:r>
    </w:p>
    <w:p>
      <w:pPr>
        <w:pStyle w:val="BodyText"/>
        <w:spacing w:after="80"/>
      </w:pPr>
      <w:r>
        <w:rPr>
          <w:rFonts w:ascii="Calibri" w:hAnsi="Calibri"/>
          <w:color w:val="122033"/>
          <w:sz w:val="19"/>
        </w:rPr>
        <w:t>7. Kirby, K. N., Petry, N. M., &amp; Bickel, W. K. (1999). Heroin addicts have higher discount rates for delayed rewards than non-drug-using controls. Journal of Experimental Psychology: General, 128(1), 78-87. URL: https://doi.org/10.1037/0096-3445.128.1.78</w:t>
      </w:r>
    </w:p>
    <w:p>
      <w:pPr>
        <w:pStyle w:val="BodyText"/>
        <w:spacing w:after="80"/>
      </w:pPr>
      <w:r>
        <w:rPr>
          <w:rFonts w:ascii="Calibri" w:hAnsi="Calibri"/>
          <w:color w:val="122033"/>
          <w:sz w:val="19"/>
        </w:rPr>
        <w:t>8. Rook, D. W., &amp; Fisher, R. J. (1995). Normative influences on impulsive buying behavior. Journal of Consumer Research, 22(3), 305-313. URL: https://doi.org/10.1086/209452</w:t>
      </w:r>
    </w:p>
    <w:p>
      <w:pPr>
        <w:pStyle w:val="BodyText"/>
        <w:spacing w:after="80"/>
      </w:pPr>
      <w:r>
        <w:rPr>
          <w:rFonts w:ascii="Calibri" w:hAnsi="Calibri"/>
          <w:color w:val="122033"/>
          <w:sz w:val="19"/>
        </w:rPr>
        <w:t>9. Duclos, R., Wan, E. W., &amp; Jiang, Y. (2013). Show me the honey! Effects of social exclusion on financial risk-taking. Journal of Consumer Research, 40(1), 122-135. URL: https://doi.org/10.1086/668900</w:t>
      </w:r>
    </w:p>
    <w:p>
      <w:pPr>
        <w:pStyle w:val="BodyText"/>
        <w:spacing w:after="80"/>
      </w:pPr>
      <w:r>
        <w:rPr>
          <w:rFonts w:ascii="Calibri" w:hAnsi="Calibri"/>
          <w:color w:val="122033"/>
          <w:sz w:val="19"/>
        </w:rPr>
        <w:t>10. Mead, N. L., Baumeister, R. F., Stillman, T. F., Rawn, C. D., &amp; Vohs, K. D. (2011). Social exclusion causes people to spend and consume strategically in the service of affiliation. Journal of Consumer Research, 37(5), 902-919. URL: https://doi.org/10.1086/656667</w:t>
      </w:r>
    </w:p>
    <w:p>
      <w:pPr>
        <w:pStyle w:val="BodyText"/>
        <w:spacing w:after="80"/>
      </w:pPr>
      <w:r>
        <w:rPr>
          <w:rFonts w:ascii="Calibri" w:hAnsi="Calibri"/>
          <w:color w:val="122033"/>
          <w:sz w:val="19"/>
        </w:rPr>
        <w:t>11. Office of the U.S. Surgeon General. (2023). Our Epidemic of Loneliness and Isolation: The U.S. Surgeon General's Advisory on the Healing Effects of Social Connection and Community. URL: https://www.hhs.gov/sites/default/files/surgeon-general-social-connection-advisory.pdf</w:t>
      </w:r>
    </w:p>
    <w:p>
      <w:pPr>
        <w:pStyle w:val="BodyText"/>
        <w:spacing w:after="80"/>
      </w:pPr>
      <w:r>
        <w:rPr>
          <w:rFonts w:ascii="Calibri" w:hAnsi="Calibri"/>
          <w:color w:val="122033"/>
          <w:sz w:val="19"/>
        </w:rPr>
        <w:t>12. Our World in Data. Social Connections and Loneliness. URL: https://ourworldindata.org/social-connections-and-loneliness</w:t>
      </w:r>
    </w:p>
    <w:p>
      <w:pPr>
        <w:pStyle w:val="BodyText"/>
        <w:spacing w:after="80"/>
      </w:pPr>
      <w:r>
        <w:rPr>
          <w:rFonts w:ascii="Calibri" w:hAnsi="Calibri"/>
          <w:color w:val="122033"/>
          <w:sz w:val="19"/>
        </w:rPr>
        <w:t>13. Centers for Disease Control and Prevention. Youth Risk Behavior Surveillance System (YRBSS). URL: https://www.cdc.gov/yrbs/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E6C"/>
        <w:sz w:val="18"/>
      </w:rPr>
      <w:t xml:space="preserve">Page </w:t>
    </w:r>
    <w:r>
      <w:rPr>
        <w:rFonts w:ascii="Calibri" w:hAnsi="Calibri"/>
        <w:color w:val="555E6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55E6C"/>
        <w:sz w:val="18"/>
      </w:rPr>
    </w:r>
    <w:r>
      <w:rPr>
        <w:rFonts w:ascii="Calibri" w:hAnsi="Calibri"/>
        <w:color w:val="555E6C"/>
        <w:sz w:val="18"/>
      </w:rPr>
      <w:drawing>
        <wp:inline xmlns:a="http://schemas.openxmlformats.org/drawingml/2006/main" xmlns:pic="http://schemas.openxmlformats.org/drawingml/2006/picture">
          <wp:extent cx="256032" cy="256032"/>
          <wp:docPr id="1" name="Picture 1"/>
          <wp:cNvGraphicFramePr>
            <a:graphicFrameLocks noChangeAspect="1"/>
          </wp:cNvGraphicFramePr>
          <a:graphic>
            <a:graphicData uri="http://schemas.openxmlformats.org/drawingml/2006/picture">
              <pic:pic>
                <pic:nvPicPr>
                  <pic:cNvPr id="0" name="lrdl_logo_mark.png"/>
                  <pic:cNvPicPr/>
                </pic:nvPicPr>
                <pic:blipFill>
                  <a:blip r:embed="rId1"/>
                  <a:stretch>
                    <a:fillRect/>
                  </a:stretch>
                </pic:blipFill>
                <pic:spPr>
                  <a:xfrm>
                    <a:off x="0" y="0"/>
                    <a:ext cx="256032" cy="256032"/>
                  </a:xfrm>
                  <a:prstGeom prst="rect"/>
                </pic:spPr>
              </pic:pic>
            </a:graphicData>
          </a:graphic>
        </wp:inline>
      </w:drawing>
    </w:r>
    <w:r>
      <w:rPr>
        <w:rFonts w:ascii="Calibri" w:hAnsi="Calibri"/>
        <w:b/>
        <w:color w:val="555E6C"/>
        <w:sz w:val="18"/>
      </w:rPr>
      <w:t xml:space="preserve">  Loneliness &amp; Risk Decision Lab | LRDL-HHZ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before="0" w:line="320"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555E6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haobosun940-crypto.github.io/loneliness-risk-decision-lab/survey" TargetMode="External"/><Relationship Id="rId18" Type="http://schemas.openxmlformats.org/officeDocument/2006/relationships/hyperlink" Target="https://github.com/haobosun940-crypto/loneliness-risk-decision-lab" TargetMode="External"/><Relationship Id="rId19" Type="http://schemas.openxmlformats.org/officeDocument/2006/relationships/hyperlink" Target="https://dashboard.render.com/blueprint/new?repo=https://github.com/haobosun940-crypto/loneliness-risk-decision-lab"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Loneliness, Social Connection, and Risk Decisions</dc:title>
  <dc:subject>Quantitative psychology and statistics research report</dc:subject>
  <dc:creator>He Haoze (何昊泽)</dc:creator>
  <cp:keywords>loneliness, social connectedness, risk decisions, ANOVA, regression, survey</cp:keywords>
  <dc:description>Developed by He Haoze (何昊泽). Synthetic and live data are explicitly separated.</dc:description>
  <cp:lastModifiedBy/>
  <cp:revision>1</cp:revision>
  <dcterms:created xsi:type="dcterms:W3CDTF">2013-12-23T23:15:00Z</dcterms:created>
  <dcterms:modified xsi:type="dcterms:W3CDTF">2013-12-23T23:15:00Z</dcterms:modified>
  <cp:category/>
</cp:coreProperties>
</file>