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544ED">
      <w:pPr>
        <w:pStyle w:val="3"/>
      </w:pPr>
      <w:r>
        <w:t>内部研讨：样板报告设计决策记录</w:t>
      </w:r>
    </w:p>
    <w:p w14:paraId="38D7CCCF"/>
    <w:p w14:paraId="21A3B495"/>
    <w:p w14:paraId="6B086DBF">
      <w:pPr>
        <w:pStyle w:val="164"/>
        <w:pBdr>
          <w:left w:val="single" w:color="CCCCCC" w:sz="24" w:space="0"/>
        </w:pBdr>
        <w:shd w:val="clear" w:fill="F8F8F8"/>
      </w:pPr>
      <w:r>
        <w:t>面向开发团队。记录样板诊断报告的设计推导、取舍逻辑和内部讨论。</w:t>
      </w:r>
    </w:p>
    <w:p w14:paraId="14DA1B32">
      <w:pPr>
        <w:pStyle w:val="169"/>
        <w:pBdr>
          <w:top w:val="single" w:color="CCCCCC" w:sz="8" w:space="0"/>
        </w:pBdr>
        <w:spacing w:after="240"/>
      </w:pPr>
    </w:p>
    <w:p w14:paraId="0ACB11FA">
      <w:pPr>
        <w:pStyle w:val="4"/>
      </w:pPr>
      <w:r>
        <w:t>1. 虚拟专业选择论证</w:t>
      </w:r>
    </w:p>
    <w:p w14:paraId="6B80EB03">
      <w:pPr>
        <w:pStyle w:val="5"/>
      </w:pPr>
      <w:r>
        <w:t>选定：江陵工程学院·机器人工程</w:t>
      </w:r>
    </w:p>
    <w:p w14:paraId="22F4B596">
      <w:r>
        <w:rPr>
          <w:b/>
        </w:rPr>
        <w:t>选择标准与匹配情况：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B5B1CA9">
        <w:trPr>
          <w:jc w:val="center"/>
        </w:trPr>
        <w:tc>
          <w:tcPr>
            <w:tcW w:w="2771" w:type="dxa"/>
            <w:shd w:val="clear" w:color="auto" w:fill="F2F2F2"/>
          </w:tcPr>
          <w:p w14:paraId="39E2C458">
            <w:pPr>
              <w:jc w:val="left"/>
            </w:pPr>
            <w:r>
              <w:rPr>
                <w:b/>
              </w:rPr>
              <w:t>标准</w:t>
            </w:r>
          </w:p>
        </w:tc>
        <w:tc>
          <w:tcPr>
            <w:tcW w:w="2771" w:type="dxa"/>
            <w:shd w:val="clear" w:color="auto" w:fill="F2F2F2"/>
          </w:tcPr>
          <w:p w14:paraId="191F9E0C">
            <w:pPr>
              <w:jc w:val="left"/>
            </w:pPr>
            <w:r>
              <w:rPr>
                <w:b/>
              </w:rPr>
              <w:t>要求</w:t>
            </w:r>
          </w:p>
        </w:tc>
        <w:tc>
          <w:tcPr>
            <w:tcW w:w="2771" w:type="dxa"/>
            <w:shd w:val="clear" w:color="auto" w:fill="F2F2F2"/>
          </w:tcPr>
          <w:p w14:paraId="2A5E0C27">
            <w:pPr>
              <w:jc w:val="left"/>
            </w:pPr>
            <w:r>
              <w:rPr>
                <w:b/>
              </w:rPr>
              <w:t>匹配情况</w:t>
            </w:r>
          </w:p>
        </w:tc>
      </w:tr>
      <w:tr w14:paraId="5D79CB56">
        <w:trPr>
          <w:jc w:val="center"/>
        </w:trPr>
        <w:tc>
          <w:tcPr>
            <w:tcW w:w="2771" w:type="dxa"/>
          </w:tcPr>
          <w:p w14:paraId="17A3C576">
            <w:pPr>
              <w:jc w:val="left"/>
            </w:pPr>
            <w:r>
              <w:rPr>
                <w:b/>
              </w:rPr>
              <w:t>典型性</w:t>
            </w:r>
          </w:p>
        </w:tc>
        <w:tc>
          <w:tcPr>
            <w:tcW w:w="2771" w:type="dxa"/>
          </w:tcPr>
          <w:p w14:paraId="39994767">
            <w:pPr>
              <w:jc w:val="left"/>
            </w:pPr>
            <w:r>
              <w:t>省属应用型本科，非头部非尾部</w:t>
            </w:r>
          </w:p>
        </w:tc>
        <w:tc>
          <w:tcPr>
            <w:tcW w:w="2771" w:type="dxa"/>
          </w:tcPr>
          <w:p w14:paraId="3C45968C">
            <w:pPr>
              <w:jc w:val="left"/>
            </w:pPr>
            <w:r>
              <w:t>✅ 江陵工程学院是典型的省属应用型本科，代表了国内大量"想转型但资源有限"的院校</w:t>
            </w:r>
          </w:p>
        </w:tc>
      </w:tr>
      <w:tr w14:paraId="0685A191">
        <w:trPr>
          <w:jc w:val="center"/>
        </w:trPr>
        <w:tc>
          <w:tcPr>
            <w:tcW w:w="2771" w:type="dxa"/>
          </w:tcPr>
          <w:p w14:paraId="60F5F9F1">
            <w:pPr>
              <w:jc w:val="left"/>
            </w:pPr>
            <w:r>
              <w:rPr>
                <w:b/>
              </w:rPr>
              <w:t>代表性</w:t>
            </w:r>
          </w:p>
        </w:tc>
        <w:tc>
          <w:tcPr>
            <w:tcW w:w="2771" w:type="dxa"/>
          </w:tcPr>
          <w:p w14:paraId="22D44550">
            <w:pPr>
              <w:jc w:val="left"/>
            </w:pPr>
            <w:r>
              <w:t>工科+产业对接，能体现使命型核心逻辑</w:t>
            </w:r>
          </w:p>
        </w:tc>
        <w:tc>
          <w:tcPr>
            <w:tcW w:w="2771" w:type="dxa"/>
          </w:tcPr>
          <w:p w14:paraId="286B8ACB">
            <w:pPr>
              <w:jc w:val="left"/>
            </w:pPr>
            <w:r>
              <w:t>✅ 机器人工程是典型的工科专业，天然需要与区域智能制造产业对接，完美契合"一致性+有效性"的诊断主线</w:t>
            </w:r>
          </w:p>
        </w:tc>
      </w:tr>
      <w:tr w14:paraId="4AB11F31">
        <w:trPr>
          <w:jc w:val="center"/>
        </w:trPr>
        <w:tc>
          <w:tcPr>
            <w:tcW w:w="2771" w:type="dxa"/>
          </w:tcPr>
          <w:p w14:paraId="5A529A56">
            <w:pPr>
              <w:jc w:val="left"/>
            </w:pPr>
            <w:r>
              <w:rPr>
                <w:b/>
              </w:rPr>
              <w:t>场景丰富度</w:t>
            </w:r>
          </w:p>
        </w:tc>
        <w:tc>
          <w:tcPr>
            <w:tcW w:w="2771" w:type="dxa"/>
          </w:tcPr>
          <w:p w14:paraId="6EA781C2">
            <w:pPr>
              <w:jc w:val="left"/>
            </w:pPr>
            <w:r>
              <w:t>能展示多种诊断场景（完整评估、暂停、根因追溯、改进闭环）</w:t>
            </w:r>
          </w:p>
        </w:tc>
        <w:tc>
          <w:tcPr>
            <w:tcW w:w="2771" w:type="dxa"/>
          </w:tcPr>
          <w:p w14:paraId="28D730B7">
            <w:pPr>
              <w:jc w:val="left"/>
            </w:pPr>
            <w:r>
              <w:t>✅ 最终设计了15项完整评分+2项暂停+2个系统性根因+3项未达标+合格拥堵等多种场景</w:t>
            </w:r>
          </w:p>
        </w:tc>
      </w:tr>
      <w:tr w14:paraId="43301A59">
        <w:trPr>
          <w:jc w:val="center"/>
        </w:trPr>
        <w:tc>
          <w:tcPr>
            <w:tcW w:w="2771" w:type="dxa"/>
          </w:tcPr>
          <w:p w14:paraId="176934CE">
            <w:pPr>
              <w:jc w:val="left"/>
            </w:pPr>
            <w:r>
              <w:rPr>
                <w:b/>
              </w:rPr>
              <w:t>可理解性</w:t>
            </w:r>
          </w:p>
        </w:tc>
        <w:tc>
          <w:tcPr>
            <w:tcW w:w="2771" w:type="dxa"/>
          </w:tcPr>
          <w:p w14:paraId="1F018C1C">
            <w:pPr>
              <w:jc w:val="left"/>
            </w:pPr>
            <w:r>
              <w:t>读者（院校方、开发团队）能快速理解业务场景</w:t>
            </w:r>
          </w:p>
        </w:tc>
        <w:tc>
          <w:tcPr>
            <w:tcW w:w="2771" w:type="dxa"/>
          </w:tcPr>
          <w:p w14:paraId="5344BEE3">
            <w:pPr>
              <w:jc w:val="left"/>
            </w:pPr>
            <w:r>
              <w:t>✅ 机器人工程→智能制造产业带的逻辑链条清晰直观，不需要额外行业知识</w:t>
            </w:r>
          </w:p>
        </w:tc>
      </w:tr>
    </w:tbl>
    <w:p w14:paraId="0E349582"/>
    <w:p w14:paraId="18315388">
      <w:r>
        <w:rPr>
          <w:b/>
        </w:rPr>
        <w:t>为什么不用其他候选：</w:t>
      </w:r>
    </w:p>
    <w:p w14:paraId="1BAFDC6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文科类专业</w:t>
      </w:r>
      <w:r>
        <w:t>（如汉语言文学）：产业对接逻辑弱，难以展示"一致性"维度的诊断能力</w:t>
      </w:r>
    </w:p>
    <w:p w14:paraId="7464355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头部985专业</w:t>
      </w:r>
      <w:r>
        <w:t>：数据太完善，无法展示"数据缺失→暂停评估"的场景</w:t>
      </w:r>
    </w:p>
    <w:p w14:paraId="096C85D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尾部/问题严重专业</w:t>
      </w:r>
      <w:r>
        <w:t>：如果多项指标全面崩溃，诊断会显得"无从下手"，无法展示根因追溯的杠杆效应</w:t>
      </w:r>
    </w:p>
    <w:p w14:paraId="3874DC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医学/法学等强监管专业</w:t>
      </w:r>
      <w:r>
        <w:t>：行业准入门槛高，使命型逻辑不同，容易引入理解成本</w:t>
      </w:r>
    </w:p>
    <w:p w14:paraId="18018E6E">
      <w:pPr>
        <w:pStyle w:val="5"/>
      </w:pPr>
      <w:r>
        <w:t>虚构地名的考量</w:t>
      </w:r>
    </w:p>
    <w:p w14:paraId="6E964BEB">
      <w:r>
        <w:t>"江陵"取自古地名（荆州古称），与"服务荆州市及周边智能制造产业带"呼应。用虚构地名而非真实院校，避免：</w:t>
      </w:r>
    </w:p>
    <w:p w14:paraId="6036E10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对号入座引发争议</w:t>
      </w:r>
    </w:p>
    <w:p w14:paraId="76AE5BD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真实数据泄露风险</w:t>
      </w:r>
    </w:p>
    <w:p w14:paraId="674F8F1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被误认为是真实诊断结果</w:t>
      </w:r>
    </w:p>
    <w:p w14:paraId="6B99D529">
      <w:pPr>
        <w:pStyle w:val="169"/>
        <w:pBdr>
          <w:top w:val="single" w:color="CCCCCC" w:sz="8" w:space="0"/>
        </w:pBdr>
        <w:spacing w:after="240"/>
      </w:pPr>
    </w:p>
    <w:p w14:paraId="2E3302D0">
      <w:pPr>
        <w:pStyle w:val="4"/>
      </w:pPr>
      <w:r>
        <w:t>2. 模拟数据设计逻辑</w:t>
      </w:r>
    </w:p>
    <w:p w14:paraId="3C27477C">
      <w:pPr>
        <w:pStyle w:val="5"/>
      </w:pPr>
      <w:r>
        <w:t>核心根因一：白皮书过期2年4个月</w:t>
      </w:r>
    </w:p>
    <w:p w14:paraId="2E0005E7">
      <w:r>
        <w:rPr>
          <w:b/>
        </w:rPr>
        <w:t>为什么选"过期"而非"未写"：</w:t>
      </w:r>
    </w:p>
    <w:p w14:paraId="3529A76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"未写"意味着能力缺失，修复路径复杂（需要从头建设）</w:t>
      </w:r>
    </w:p>
    <w:p w14:paraId="056BB0C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"过期"意味着曾经有、但维护断了——这是</w:t>
      </w:r>
      <w:r>
        <w:rPr>
          <w:b/>
        </w:rPr>
        <w:t>绝大多数院校的真实状态</w:t>
      </w:r>
    </w:p>
    <w:p w14:paraId="37FA8E9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过期时间选"2年4个月"：足够长以至于产业链节点清单明显失效（工业大模型、具身智能等新兴方向未覆盖），但又不至于长到"白皮书已经毫无参考价值"</w:t>
      </w:r>
    </w:p>
    <w:p w14:paraId="7AD269A4">
      <w:r>
        <w:rPr>
          <w:b/>
        </w:rPr>
        <w:t>杠杆效应设计：</w:t>
      </w:r>
    </w:p>
    <w:p w14:paraId="22B58F1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1个根因（白皮书过期）</w:t>
      </w:r>
      <w:r>
        <w:rPr>
          <w:rStyle w:val="165"/>
        </w:rPr>
        <w:br w:type="textWrapping"/>
      </w:r>
      <w:r>
        <w:rPr>
          <w:rStyle w:val="165"/>
        </w:rPr>
        <w:t xml:space="preserve">  → 2项指标直接暂停（1.1.2/1.1.3失去评估依据）</w:t>
      </w:r>
      <w:r>
        <w:rPr>
          <w:rStyle w:val="165"/>
        </w:rPr>
        <w:br w:type="textWrapping"/>
      </w:r>
      <w:r>
        <w:rPr>
          <w:rStyle w:val="165"/>
        </w:rPr>
        <w:t xml:space="preserve">  → 2项指标精度下降（3.1.2企业项目匹配基于旧数据、4.1.1行业就业对口判断失效）</w:t>
      </w:r>
      <w:r>
        <w:rPr>
          <w:rStyle w:val="165"/>
        </w:rPr>
        <w:br w:type="textWrapping"/>
      </w:r>
      <w:r>
        <w:rPr>
          <w:rStyle w:val="165"/>
        </w:rPr>
        <w:t xml:space="preserve">  = 1个动作修复4个问题</w:t>
      </w:r>
      <w:r>
        <w:rPr>
          <w:rStyle w:val="165"/>
        </w:rPr>
        <w:br w:type="textWrapping"/>
      </w:r>
    </w:p>
    <w:p w14:paraId="3B5E2208">
      <w:r>
        <w:t>这个设计的目的：</w:t>
      </w:r>
    </w:p>
    <w:p w14:paraId="73B8FA8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展示数据依赖关系图的价值</w:t>
      </w:r>
      <w:r>
        <w:t>——不是简单地说"4项指标有问题"，而是追溯到同一个根因</w:t>
      </w:r>
    </w:p>
    <w:p w14:paraId="4F11233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展示杠杆效应</w:t>
      </w:r>
      <w:r>
        <w:t>——让使用者直观感受到"修1个根因比改4项指标高效得多"</w:t>
      </w:r>
    </w:p>
    <w:p w14:paraId="0EA6BC5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为工单系统提供叙事</w:t>
      </w:r>
      <w:r>
        <w:t>——P0工单#001的"1个文件修复4项指标"成为报告的亮点</w:t>
      </w:r>
    </w:p>
    <w:p w14:paraId="125FB5B9">
      <w:pPr>
        <w:pStyle w:val="5"/>
      </w:pPr>
      <w:r>
        <w:t>核心根因二：平台空转</w:t>
      </w:r>
    </w:p>
    <w:p w14:paraId="39B1FA3A">
      <w:r>
        <w:rPr>
          <w:b/>
        </w:rPr>
        <w:t>为什么选"平台空转"而非"教师不负责"：</w:t>
      </w:r>
    </w:p>
    <w:p w14:paraId="53788CE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"教师不负责"是态度问题，修复路径是考核+惩罚</w:t>
      </w:r>
    </w:p>
    <w:p w14:paraId="52FD8E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"平台空转"是基础设施问题，修复路径是制度+运营——</w:t>
      </w:r>
      <w:r>
        <w:rPr>
          <w:b/>
        </w:rPr>
        <w:t>这才是系统能介入的场景</w:t>
      </w:r>
    </w:p>
    <w:p w14:paraId="3E90975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60%课程上线但只有40%正常使用——这个gap设计说明"建设完成≠运营到位"</w:t>
      </w:r>
    </w:p>
    <w:p w14:paraId="01743ADA">
      <w:r>
        <w:rPr>
          <w:b/>
        </w:rPr>
        <w:t>与根因一的互补关系：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B3C5A0A">
        <w:trPr>
          <w:jc w:val="center"/>
        </w:trPr>
        <w:tc>
          <w:tcPr>
            <w:tcW w:w="2771" w:type="dxa"/>
            <w:shd w:val="clear" w:color="auto" w:fill="F2F2F2"/>
          </w:tcPr>
          <w:p w14:paraId="06D84A86">
            <w:pPr>
              <w:jc w:val="left"/>
            </w:pPr>
          </w:p>
        </w:tc>
        <w:tc>
          <w:tcPr>
            <w:tcW w:w="2771" w:type="dxa"/>
            <w:shd w:val="clear" w:color="auto" w:fill="F2F2F2"/>
          </w:tcPr>
          <w:p w14:paraId="1D5C9BDC">
            <w:pPr>
              <w:jc w:val="left"/>
            </w:pPr>
            <w:r>
              <w:rPr>
                <w:b/>
              </w:rPr>
              <w:t>根因一（白皮书过期）</w:t>
            </w:r>
          </w:p>
        </w:tc>
        <w:tc>
          <w:tcPr>
            <w:tcW w:w="2771" w:type="dxa"/>
            <w:shd w:val="clear" w:color="auto" w:fill="F2F2F2"/>
          </w:tcPr>
          <w:p w14:paraId="46CDA1C6">
            <w:pPr>
              <w:jc w:val="left"/>
            </w:pPr>
            <w:r>
              <w:rPr>
                <w:b/>
              </w:rPr>
              <w:t>根因二（平台空转）</w:t>
            </w:r>
          </w:p>
        </w:tc>
      </w:tr>
      <w:tr w14:paraId="11391A32">
        <w:trPr>
          <w:jc w:val="center"/>
        </w:trPr>
        <w:tc>
          <w:tcPr>
            <w:tcW w:w="2771" w:type="dxa"/>
          </w:tcPr>
          <w:p w14:paraId="1A8399E8">
            <w:pPr>
              <w:jc w:val="left"/>
            </w:pPr>
            <w:r>
              <w:rPr>
                <w:b/>
              </w:rPr>
              <w:t>性质</w:t>
            </w:r>
          </w:p>
        </w:tc>
        <w:tc>
          <w:tcPr>
            <w:tcW w:w="2771" w:type="dxa"/>
          </w:tcPr>
          <w:p w14:paraId="4CAFC97C">
            <w:pPr>
              <w:jc w:val="left"/>
            </w:pPr>
            <w:r>
              <w:t>数据维护缺失</w:t>
            </w:r>
          </w:p>
        </w:tc>
        <w:tc>
          <w:tcPr>
            <w:tcW w:w="2771" w:type="dxa"/>
          </w:tcPr>
          <w:p w14:paraId="7FFE3882">
            <w:pPr>
              <w:jc w:val="left"/>
            </w:pPr>
            <w:r>
              <w:t>基础设施有而不用</w:t>
            </w:r>
          </w:p>
        </w:tc>
      </w:tr>
      <w:tr w14:paraId="4DC0F307">
        <w:trPr>
          <w:jc w:val="center"/>
        </w:trPr>
        <w:tc>
          <w:tcPr>
            <w:tcW w:w="2771" w:type="dxa"/>
          </w:tcPr>
          <w:p w14:paraId="57C04906">
            <w:pPr>
              <w:jc w:val="left"/>
            </w:pPr>
            <w:r>
              <w:rPr>
                <w:b/>
              </w:rPr>
              <w:t>影响维度</w:t>
            </w:r>
          </w:p>
        </w:tc>
        <w:tc>
          <w:tcPr>
            <w:tcW w:w="2771" w:type="dxa"/>
          </w:tcPr>
          <w:p w14:paraId="7EE62B5D">
            <w:pPr>
              <w:jc w:val="left"/>
            </w:pPr>
            <w:r>
              <w:t>A一致性（上游断裂）</w:t>
            </w:r>
          </w:p>
        </w:tc>
        <w:tc>
          <w:tcPr>
            <w:tcW w:w="2771" w:type="dxa"/>
          </w:tcPr>
          <w:p w14:paraId="3D34A383">
            <w:pPr>
              <w:jc w:val="left"/>
            </w:pPr>
            <w:r>
              <w:t>B有效性（通道堵塞）</w:t>
            </w:r>
          </w:p>
        </w:tc>
      </w:tr>
      <w:tr w14:paraId="1CA273AE">
        <w:trPr>
          <w:jc w:val="center"/>
        </w:trPr>
        <w:tc>
          <w:tcPr>
            <w:tcW w:w="2771" w:type="dxa"/>
          </w:tcPr>
          <w:p w14:paraId="786549EE">
            <w:pPr>
              <w:jc w:val="left"/>
            </w:pPr>
            <w:r>
              <w:rPr>
                <w:b/>
              </w:rPr>
              <w:t>修复方式</w:t>
            </w:r>
          </w:p>
        </w:tc>
        <w:tc>
          <w:tcPr>
            <w:tcW w:w="2771" w:type="dxa"/>
          </w:tcPr>
          <w:p w14:paraId="4B555108">
            <w:pPr>
              <w:jc w:val="left"/>
            </w:pPr>
            <w:r>
              <w:t>做一次行业调研</w:t>
            </w:r>
          </w:p>
        </w:tc>
        <w:tc>
          <w:tcPr>
            <w:tcW w:w="2771" w:type="dxa"/>
          </w:tcPr>
          <w:p w14:paraId="29BE6346">
            <w:pPr>
              <w:jc w:val="left"/>
            </w:pPr>
            <w:r>
              <w:t>建立常态化运营机制</w:t>
            </w:r>
          </w:p>
        </w:tc>
      </w:tr>
      <w:tr w14:paraId="153DF71B">
        <w:trPr>
          <w:jc w:val="center"/>
        </w:trPr>
        <w:tc>
          <w:tcPr>
            <w:tcW w:w="2771" w:type="dxa"/>
          </w:tcPr>
          <w:p w14:paraId="49EC115A">
            <w:pPr>
              <w:jc w:val="left"/>
            </w:pPr>
            <w:r>
              <w:rPr>
                <w:b/>
              </w:rPr>
              <w:t>系统能力展示</w:t>
            </w:r>
          </w:p>
        </w:tc>
        <w:tc>
          <w:tcPr>
            <w:tcW w:w="2771" w:type="dxa"/>
          </w:tcPr>
          <w:p w14:paraId="0B40E452">
            <w:pPr>
              <w:jc w:val="left"/>
            </w:pPr>
            <w:r>
              <w:t>展示数据依赖追溯</w:t>
            </w:r>
          </w:p>
        </w:tc>
        <w:tc>
          <w:tcPr>
            <w:tcW w:w="2771" w:type="dxa"/>
          </w:tcPr>
          <w:p w14:paraId="70B481A1">
            <w:pPr>
              <w:jc w:val="left"/>
            </w:pPr>
            <w:r>
              <w:t>展示"不止看表面数字"的诊断深度</w:t>
            </w:r>
          </w:p>
        </w:tc>
      </w:tr>
    </w:tbl>
    <w:p w14:paraId="63540748"/>
    <w:p w14:paraId="17D2EBB0">
      <w:pPr>
        <w:pStyle w:val="5"/>
      </w:pPr>
      <w:r>
        <w:t>合格指标"刚过线"的设计意图</w:t>
      </w:r>
    </w:p>
    <w:p w14:paraId="03889619">
      <w:r>
        <w:t>12项合格中10项处于"刚过线"状态（如设备完好率82%差3个百分点、达成度完整率58%差2个百分点）：</w:t>
      </w:r>
    </w:p>
    <w:p w14:paraId="4D7B140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展示"合格拥堵"风险概念</w:t>
      </w:r>
      <w:r>
        <w:t>——表面看12/17合格很不错，但实际上无安全余量</w:t>
      </w:r>
    </w:p>
    <w:p w14:paraId="128A98B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为P2优先级提供叙事</w:t>
      </w:r>
      <w:r>
        <w:t>——P0/P1解决"着火"的问题，P2解决"刚过线随时可能再着火"的问题</w:t>
      </w:r>
    </w:p>
    <w:p w14:paraId="4FE76B2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展示系统的预警能力</w:t>
      </w:r>
      <w:r>
        <w:t>——传统评价只告诉你"合格/不合格"，系统还告诉你"离不合格还有多远"</w:t>
      </w:r>
    </w:p>
    <w:p w14:paraId="2B76FFD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差值刻意设计得很小</w:t>
      </w:r>
      <w:r>
        <w:t>（2-3个百分点）：不是为了让问题看起来严重，而是为了展示"稍有波动就跌入未达标"的脆弱性</w:t>
      </w:r>
    </w:p>
    <w:p w14:paraId="1D527751">
      <w:pPr>
        <w:pStyle w:val="5"/>
      </w:pPr>
      <w:r>
        <w:t>3项未达标的设计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FD27640">
        <w:trPr>
          <w:jc w:val="center"/>
        </w:trPr>
        <w:tc>
          <w:tcPr>
            <w:tcW w:w="2771" w:type="dxa"/>
            <w:shd w:val="clear" w:color="auto" w:fill="F2F2F2"/>
          </w:tcPr>
          <w:p w14:paraId="22C9409C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2771" w:type="dxa"/>
            <w:shd w:val="clear" w:color="auto" w:fill="F2F2F2"/>
          </w:tcPr>
          <w:p w14:paraId="4CC672C0">
            <w:pPr>
              <w:jc w:val="left"/>
            </w:pPr>
            <w:r>
              <w:rPr>
                <w:b/>
              </w:rPr>
              <w:t>差值</w:t>
            </w:r>
          </w:p>
        </w:tc>
        <w:tc>
          <w:tcPr>
            <w:tcW w:w="2771" w:type="dxa"/>
            <w:shd w:val="clear" w:color="auto" w:fill="F2F2F2"/>
          </w:tcPr>
          <w:p w14:paraId="2D5E37CD">
            <w:pPr>
              <w:jc w:val="left"/>
            </w:pPr>
            <w:r>
              <w:rPr>
                <w:b/>
              </w:rPr>
              <w:t>设计目的</w:t>
            </w:r>
          </w:p>
        </w:tc>
      </w:tr>
      <w:tr w14:paraId="21C3CC95">
        <w:trPr>
          <w:jc w:val="center"/>
        </w:trPr>
        <w:tc>
          <w:tcPr>
            <w:tcW w:w="2771" w:type="dxa"/>
          </w:tcPr>
          <w:p w14:paraId="4E97E877">
            <w:pPr>
              <w:jc w:val="left"/>
            </w:pPr>
            <w:r>
              <w:t>2.2.1 教学投入深度</w:t>
            </w:r>
          </w:p>
        </w:tc>
        <w:tc>
          <w:tcPr>
            <w:tcW w:w="2771" w:type="dxa"/>
          </w:tcPr>
          <w:p w14:paraId="1EF441BC">
            <w:pPr>
              <w:jc w:val="left"/>
            </w:pPr>
            <w:r>
              <w:t>回复率45% vs 合格50%</w:t>
            </w:r>
          </w:p>
        </w:tc>
        <w:tc>
          <w:tcPr>
            <w:tcW w:w="2771" w:type="dxa"/>
          </w:tcPr>
          <w:p w14:paraId="47AD0217">
            <w:pPr>
              <w:jc w:val="left"/>
            </w:pPr>
            <w:r>
              <w:t>被根因二（平台空转）拖累，展示根因追溯能力</w:t>
            </w:r>
          </w:p>
        </w:tc>
      </w:tr>
      <w:tr w14:paraId="598B1519">
        <w:trPr>
          <w:jc w:val="center"/>
        </w:trPr>
        <w:tc>
          <w:tcPr>
            <w:tcW w:w="2771" w:type="dxa"/>
          </w:tcPr>
          <w:p w14:paraId="47183EBE">
            <w:pPr>
              <w:jc w:val="left"/>
            </w:pPr>
            <w:r>
              <w:t>2.3.2 达成度闭环</w:t>
            </w:r>
          </w:p>
        </w:tc>
        <w:tc>
          <w:tcPr>
            <w:tcW w:w="2771" w:type="dxa"/>
          </w:tcPr>
          <w:p w14:paraId="4EB5D957">
            <w:pPr>
              <w:jc w:val="left"/>
            </w:pPr>
            <w:r>
              <w:t>完整率58% vs 合格60%</w:t>
            </w:r>
          </w:p>
        </w:tc>
        <w:tc>
          <w:tcPr>
            <w:tcW w:w="2771" w:type="dxa"/>
          </w:tcPr>
          <w:p w14:paraId="69B88771">
            <w:pPr>
              <w:jc w:val="left"/>
            </w:pPr>
            <w:r>
              <w:t>"做了但没做到位"的精细度问题，独立于两大根因</w:t>
            </w:r>
          </w:p>
        </w:tc>
      </w:tr>
      <w:tr w14:paraId="58D7427D">
        <w:trPr>
          <w:jc w:val="center"/>
        </w:trPr>
        <w:tc>
          <w:tcPr>
            <w:tcW w:w="2771" w:type="dxa"/>
          </w:tcPr>
          <w:p w14:paraId="48CF7195">
            <w:pPr>
              <w:jc w:val="left"/>
            </w:pPr>
            <w:r>
              <w:t>3.1.1 资源支撑</w:t>
            </w:r>
          </w:p>
        </w:tc>
        <w:tc>
          <w:tcPr>
            <w:tcW w:w="2771" w:type="dxa"/>
          </w:tcPr>
          <w:p w14:paraId="01817C8F">
            <w:pPr>
              <w:jc w:val="left"/>
            </w:pPr>
            <w:r>
              <w:t>完好率82% vs 合格85%</w:t>
            </w:r>
          </w:p>
        </w:tc>
        <w:tc>
          <w:tcPr>
            <w:tcW w:w="2771" w:type="dxa"/>
          </w:tcPr>
          <w:p w14:paraId="5BBD18C1">
            <w:pPr>
              <w:jc w:val="left"/>
            </w:pPr>
            <w:r>
              <w:t>纯局部管理问题，展示系统能区分"系统性根因"和"局部短板"</w:t>
            </w:r>
          </w:p>
        </w:tc>
      </w:tr>
    </w:tbl>
    <w:p w14:paraId="036A3979"/>
    <w:p w14:paraId="16E6D5E6">
      <w:pPr>
        <w:pStyle w:val="169"/>
        <w:pBdr>
          <w:top w:val="single" w:color="CCCCCC" w:sz="8" w:space="0"/>
        </w:pBdr>
        <w:spacing w:after="240"/>
      </w:pPr>
    </w:p>
    <w:p w14:paraId="4BAA9AB8">
      <w:pPr>
        <w:pStyle w:val="4"/>
      </w:pPr>
      <w:r>
        <w:t>3. 报告结构决策</w:t>
      </w:r>
    </w:p>
    <w:p w14:paraId="5BB185E5">
      <w:pPr>
        <w:pStyle w:val="5"/>
      </w:pPr>
      <w:r>
        <w:t>七章结构的选择理由</w:t>
      </w:r>
    </w:p>
    <w:p w14:paraId="1FC3C9C4">
      <w:r>
        <w:rPr>
          <w:b/>
        </w:rPr>
        <w:t>迭代过程：</w:t>
      </w:r>
    </w:p>
    <w:p w14:paraId="440FFA3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V1：按维度平铺</w:t>
      </w:r>
      <w:r>
        <w:t>（A一致性→B有效性→C保障→D产出）</w:t>
      </w:r>
    </w:p>
    <w:p w14:paraId="4CF74AC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❌ 问题：像传统评估报告，使用者看完不知道"先改什么"</w:t>
      </w:r>
    </w:p>
    <w:p w14:paraId="52CBA44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V2：按评价链平铺</w:t>
      </w:r>
      <w:r>
        <w:t>（定位→结构→解析→执行→结果→验证）</w:t>
      </w:r>
    </w:p>
    <w:p w14:paraId="2706F94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❌ 问题：六层太多，每层都展开会让报告过长；且使用者无法快速定位"问题在哪"</w:t>
      </w:r>
    </w:p>
    <w:p w14:paraId="6E872BE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V3（最终）：七章结构</w:t>
      </w:r>
    </w:p>
    <w:p w14:paraId="164AE1D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§一 总体诊断 → 首页层级（30秒看懂全貌）</w:t>
      </w:r>
    </w:p>
    <w:p w14:paraId="13DDDFF9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§二 问题定位：三层诊断 → 维度页层级（定位/方向/落实，5分钟看懂问题结构）</w:t>
      </w:r>
    </w:p>
    <w:p w14:paraId="77F2322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§三 根因追溯 → 发现页层级（证据链+依赖图，15分钟深入分析）</w:t>
      </w:r>
    </w:p>
    <w:p w14:paraId="4505B11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§四 改进优先级 → 详情页层级（P0-P3分级，知道先做什么）</w:t>
      </w:r>
    </w:p>
    <w:p w14:paraId="237CDD41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§五 改进工单 → 详情页层级（可追溯到原始数据，可执行）</w:t>
      </w:r>
    </w:p>
    <w:p w14:paraId="17E7FCF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§六 改进追踪（模拟）→ 让用户看到"改完会怎样"</w:t>
      </w:r>
    </w:p>
    <w:p w14:paraId="12C99E67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§七 系统建议 → 超越本次诊断的长期建议</w:t>
      </w:r>
    </w:p>
    <w:p w14:paraId="11B0E54E">
      <w:r>
        <w:rPr>
          <w:b/>
        </w:rPr>
        <w:t>核心设计原则：先宽后窄，先结论后证据。</w:t>
      </w:r>
    </w:p>
    <w:p w14:paraId="2A68CA09">
      <w:r>
        <w:t>每一章都在回答一个更具体的问题：</w:t>
      </w:r>
    </w:p>
    <w:p w14:paraId="57A4933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§一：整体怎么样？（→首页）</w:t>
      </w:r>
    </w:p>
    <w:p w14:paraId="26BE992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§二：问题在哪个层面？（→维度页）</w:t>
      </w:r>
    </w:p>
    <w:p w14:paraId="6C12EB4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§三：根因是什么？（→发现页）</w:t>
      </w:r>
    </w:p>
    <w:p w14:paraId="36DC741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§四：先改什么？（→详情页）</w:t>
      </w:r>
    </w:p>
    <w:p w14:paraId="51554A2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§五：怎么改？（→详情页，可执行）</w:t>
      </w:r>
    </w:p>
    <w:p w14:paraId="6F68E8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§六：改完会怎样？（→详情页，效果预览）</w:t>
      </w:r>
    </w:p>
    <w:p w14:paraId="586E244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§七：长期怎么发展？（→详情页，战略建议）</w:t>
      </w:r>
    </w:p>
    <w:p w14:paraId="786FAADA">
      <w:pPr>
        <w:pStyle w:val="5"/>
      </w:pPr>
      <w:r>
        <w:t>与宪法四层界面的映射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A7FCE80">
        <w:trPr>
          <w:jc w:val="center"/>
        </w:trPr>
        <w:tc>
          <w:tcPr>
            <w:tcW w:w="2078" w:type="dxa"/>
            <w:shd w:val="clear" w:color="auto" w:fill="F2F2F2"/>
          </w:tcPr>
          <w:p w14:paraId="2A3F43C0">
            <w:pPr>
              <w:jc w:val="left"/>
            </w:pPr>
            <w:r>
              <w:rPr>
                <w:b/>
              </w:rPr>
              <w:t>宪法界面</w:t>
            </w:r>
          </w:p>
        </w:tc>
        <w:tc>
          <w:tcPr>
            <w:tcW w:w="2078" w:type="dxa"/>
            <w:shd w:val="clear" w:color="auto" w:fill="F2F2F2"/>
          </w:tcPr>
          <w:p w14:paraId="66233FDD">
            <w:pPr>
              <w:jc w:val="left"/>
            </w:pPr>
            <w:r>
              <w:rPr>
                <w:b/>
              </w:rPr>
              <w:t>报告章节</w:t>
            </w:r>
          </w:p>
        </w:tc>
        <w:tc>
          <w:tcPr>
            <w:tcW w:w="2078" w:type="dxa"/>
            <w:shd w:val="clear" w:color="auto" w:fill="F2F2F2"/>
          </w:tcPr>
          <w:p w14:paraId="1DAF434A">
            <w:pPr>
              <w:jc w:val="left"/>
            </w:pPr>
            <w:r>
              <w:rPr>
                <w:b/>
              </w:rPr>
              <w:t>信息密度</w:t>
            </w:r>
          </w:p>
        </w:tc>
        <w:tc>
          <w:tcPr>
            <w:tcW w:w="2078" w:type="dxa"/>
            <w:shd w:val="clear" w:color="auto" w:fill="F2F2F2"/>
          </w:tcPr>
          <w:p w14:paraId="42EE212F">
            <w:pPr>
              <w:jc w:val="left"/>
            </w:pPr>
            <w:r>
              <w:rPr>
                <w:b/>
              </w:rPr>
              <w:t>阅读场景</w:t>
            </w:r>
          </w:p>
        </w:tc>
      </w:tr>
      <w:tr w14:paraId="37D953FF">
        <w:trPr>
          <w:jc w:val="center"/>
        </w:trPr>
        <w:tc>
          <w:tcPr>
            <w:tcW w:w="2078" w:type="dxa"/>
          </w:tcPr>
          <w:p w14:paraId="2C0E78C5">
            <w:pPr>
              <w:jc w:val="left"/>
            </w:pPr>
            <w:r>
              <w:rPr>
                <w:b/>
              </w:rPr>
              <w:t>首页</w:t>
            </w:r>
          </w:p>
        </w:tc>
        <w:tc>
          <w:tcPr>
            <w:tcW w:w="2078" w:type="dxa"/>
          </w:tcPr>
          <w:p w14:paraId="01EDF55B">
            <w:pPr>
              <w:jc w:val="left"/>
            </w:pPr>
            <w:r>
              <w:t>§一 总体诊断</w:t>
            </w:r>
          </w:p>
        </w:tc>
        <w:tc>
          <w:tcPr>
            <w:tcW w:w="2078" w:type="dxa"/>
          </w:tcPr>
          <w:p w14:paraId="0E5A11C4">
            <w:pPr>
              <w:jc w:val="left"/>
            </w:pPr>
            <w:r>
              <w:t>最低——一句话结论+关键数字</w:t>
            </w:r>
          </w:p>
        </w:tc>
        <w:tc>
          <w:tcPr>
            <w:tcW w:w="2078" w:type="dxa"/>
          </w:tcPr>
          <w:p w14:paraId="66C7DE82">
            <w:pPr>
              <w:jc w:val="left"/>
            </w:pPr>
            <w:r>
              <w:t>校长/院长30秒扫一眼</w:t>
            </w:r>
          </w:p>
        </w:tc>
      </w:tr>
      <w:tr w14:paraId="77A02408">
        <w:trPr>
          <w:jc w:val="center"/>
        </w:trPr>
        <w:tc>
          <w:tcPr>
            <w:tcW w:w="2078" w:type="dxa"/>
          </w:tcPr>
          <w:p w14:paraId="31F99C55">
            <w:pPr>
              <w:jc w:val="left"/>
            </w:pPr>
            <w:r>
              <w:rPr>
                <w:b/>
              </w:rPr>
              <w:t>链条页</w:t>
            </w:r>
          </w:p>
        </w:tc>
        <w:tc>
          <w:tcPr>
            <w:tcW w:w="2078" w:type="dxa"/>
          </w:tcPr>
          <w:p w14:paraId="62EB9A04">
            <w:pPr>
              <w:jc w:val="left"/>
            </w:pPr>
            <w:r>
              <w:t>§二 三层诊断</w:t>
            </w:r>
          </w:p>
        </w:tc>
        <w:tc>
          <w:tcPr>
            <w:tcW w:w="2078" w:type="dxa"/>
          </w:tcPr>
          <w:p w14:paraId="22E9BF92">
            <w:pPr>
              <w:jc w:val="left"/>
            </w:pPr>
            <w:r>
              <w:t>中低——定位/方向/落实三层结论</w:t>
            </w:r>
          </w:p>
        </w:tc>
        <w:tc>
          <w:tcPr>
            <w:tcW w:w="2078" w:type="dxa"/>
          </w:tcPr>
          <w:p w14:paraId="4296E560">
            <w:pPr>
              <w:jc w:val="left"/>
            </w:pPr>
            <w:r>
              <w:t>专业负责人5分钟了解问题结构</w:t>
            </w:r>
          </w:p>
        </w:tc>
      </w:tr>
      <w:tr w14:paraId="5C0B72C2">
        <w:trPr>
          <w:jc w:val="center"/>
        </w:trPr>
        <w:tc>
          <w:tcPr>
            <w:tcW w:w="2078" w:type="dxa"/>
          </w:tcPr>
          <w:p w14:paraId="5D55C1B6">
            <w:pPr>
              <w:jc w:val="left"/>
            </w:pPr>
            <w:r>
              <w:rPr>
                <w:b/>
              </w:rPr>
              <w:t>发现页</w:t>
            </w:r>
          </w:p>
        </w:tc>
        <w:tc>
          <w:tcPr>
            <w:tcW w:w="2078" w:type="dxa"/>
          </w:tcPr>
          <w:p w14:paraId="4F3EAED1">
            <w:pPr>
              <w:jc w:val="left"/>
            </w:pPr>
            <w:r>
              <w:t>§三 根因追溯</w:t>
            </w:r>
          </w:p>
        </w:tc>
        <w:tc>
          <w:tcPr>
            <w:tcW w:w="2078" w:type="dxa"/>
          </w:tcPr>
          <w:p w14:paraId="588D0AFD">
            <w:pPr>
              <w:jc w:val="left"/>
            </w:pPr>
            <w:r>
              <w:t>中高——依赖图+证据链+数据引用</w:t>
            </w:r>
          </w:p>
        </w:tc>
        <w:tc>
          <w:tcPr>
            <w:tcW w:w="2078" w:type="dxa"/>
          </w:tcPr>
          <w:p w14:paraId="2A7DE178">
            <w:pPr>
              <w:jc w:val="left"/>
            </w:pPr>
            <w:r>
              <w:t>教研室主任15分钟深入分析</w:t>
            </w:r>
          </w:p>
        </w:tc>
      </w:tr>
      <w:tr w14:paraId="56E56563">
        <w:trPr>
          <w:jc w:val="center"/>
        </w:trPr>
        <w:tc>
          <w:tcPr>
            <w:tcW w:w="2078" w:type="dxa"/>
          </w:tcPr>
          <w:p w14:paraId="31D8AC74">
            <w:pPr>
              <w:jc w:val="left"/>
            </w:pPr>
            <w:r>
              <w:rPr>
                <w:b/>
              </w:rPr>
              <w:t>详情页</w:t>
            </w:r>
          </w:p>
        </w:tc>
        <w:tc>
          <w:tcPr>
            <w:tcW w:w="2078" w:type="dxa"/>
          </w:tcPr>
          <w:p w14:paraId="641CC4BD">
            <w:pPr>
              <w:jc w:val="left"/>
            </w:pPr>
            <w:r>
              <w:t>§四/五/六/七</w:t>
            </w:r>
          </w:p>
        </w:tc>
        <w:tc>
          <w:tcPr>
            <w:tcW w:w="2078" w:type="dxa"/>
          </w:tcPr>
          <w:p w14:paraId="3AE81A06">
            <w:pPr>
              <w:jc w:val="left"/>
            </w:pPr>
            <w:r>
              <w:t>最高——完整工单+原始数据追溯</w:t>
            </w:r>
          </w:p>
        </w:tc>
        <w:tc>
          <w:tcPr>
            <w:tcW w:w="2078" w:type="dxa"/>
          </w:tcPr>
          <w:p w14:paraId="34FE9979">
            <w:pPr>
              <w:jc w:val="left"/>
            </w:pPr>
            <w:r>
              <w:t>执行团队逐项落实</w:t>
            </w:r>
          </w:p>
        </w:tc>
      </w:tr>
    </w:tbl>
    <w:p w14:paraId="09D10A08"/>
    <w:p w14:paraId="7FD752D6">
      <w:pPr>
        <w:pStyle w:val="5"/>
      </w:pPr>
      <w:r>
        <w:t>"三层诊断"框架的设计考量</w:t>
      </w:r>
    </w:p>
    <w:p w14:paraId="55539436">
      <w:r>
        <w:t>定位→方向→落实 三层诊断，对应的是管理者最自然的思维路径：</w:t>
      </w:r>
    </w:p>
    <w:p w14:paraId="1DFAA3D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定位层</w:t>
      </w:r>
      <w:r>
        <w:t>（有没有问题？）→ 排除"方向错了"的可能</w:t>
      </w:r>
    </w:p>
    <w:p w14:paraId="78D8E6C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方向层</w:t>
      </w:r>
      <w:r>
        <w:t>（关键路径对不对？）→ 确认"一致性+有效性"两条主路径</w:t>
      </w:r>
    </w:p>
    <w:p w14:paraId="53C580E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落实层</w:t>
      </w:r>
      <w:r>
        <w:t>（具体哪里断了？）→ 定位到可执行的改进点</w:t>
      </w:r>
    </w:p>
    <w:p w14:paraId="08C87268">
      <w:r>
        <w:rPr>
          <w:b/>
        </w:rPr>
        <w:t>为什么不用传统的"SWOT分析"或"PDCA循环"：</w:t>
      </w:r>
    </w:p>
    <w:p w14:paraId="0531BE1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SWOT太通用，无法体现使命型指标体系的专有逻辑</w:t>
      </w:r>
    </w:p>
    <w:p w14:paraId="49F5FC9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PDCA适合日常质量管理，但无法展示"根因追溯→杠杆修复"的诊断深度</w:t>
      </w:r>
    </w:p>
    <w:p w14:paraId="4CDEE42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三层诊断框架直接与宪法文件的评价链对应，保持术语一致性</w:t>
      </w:r>
    </w:p>
    <w:p w14:paraId="33FBBF1F">
      <w:pPr>
        <w:pStyle w:val="169"/>
        <w:pBdr>
          <w:top w:val="single" w:color="CCCCCC" w:sz="8" w:space="0"/>
        </w:pBdr>
        <w:spacing w:after="240"/>
      </w:pPr>
    </w:p>
    <w:p w14:paraId="23DB6F5D">
      <w:pPr>
        <w:pStyle w:val="4"/>
      </w:pPr>
      <w:r>
        <w:t>4. "部分模板未提交"场景的设计意图</w:t>
      </w:r>
    </w:p>
    <w:p w14:paraId="1292E5BD">
      <w:pPr>
        <w:pStyle w:val="5"/>
      </w:pPr>
      <w:r>
        <w:t>这是故意设计的</w:t>
      </w:r>
    </w:p>
    <w:p w14:paraId="18D4CB6E">
      <w:r>
        <w:t>定位层（T01培养目标文本）和结构层（T02毕业要求与课程体系分析）显示"尚未提交"，不是遗漏，而是刻意为之：</w:t>
      </w:r>
    </w:p>
    <w:p w14:paraId="18F54C97">
      <w:r>
        <w:rPr>
          <w:b/>
        </w:rPr>
        <w:t>设计目的：</w:t>
      </w:r>
    </w:p>
    <w:p w14:paraId="1A4E1C2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展示系统在数据不完整时的诊断能力</w:t>
      </w:r>
      <w:r>
        <w:t>——不是"数据全了才能诊断"，而是"有什么数据就诊断什么，缺什么就标出什么"</w:t>
      </w:r>
    </w:p>
    <w:p w14:paraId="06DC593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展示暂停评估机制</w:t>
      </w:r>
      <w:r>
        <w:t>——1.1.2/1.1.3因为上游数据缺失而暂停，而不是给出一个不可靠的分数</w:t>
      </w:r>
    </w:p>
    <w:p w14:paraId="3E9332B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展示数据依赖关系</w:t>
      </w:r>
      <w:r>
        <w:t>——评价链的上游数据缺失会影响下游评估，系统能自动识别并标注</w:t>
      </w:r>
    </w:p>
    <w:p w14:paraId="144051A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为后续迭代留出空间</w:t>
      </w:r>
      <w:r>
        <w:t>——样板报告展示的是"当前版本"，T01/T02提交后系统可以自动补充评估</w:t>
      </w:r>
    </w:p>
    <w:p w14:paraId="7142FA8B">
      <w:pPr>
        <w:pStyle w:val="5"/>
      </w:pPr>
      <w:r>
        <w:t>定位层和结构层空白的原因</w:t>
      </w:r>
    </w:p>
    <w:p w14:paraId="02EE5FC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这两层是评价链的最上游，通常需要院校方投入最多的"思考"（而非"数据采集"）</w:t>
      </w:r>
    </w:p>
    <w:p w14:paraId="2161F15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在真实的系统部署中，这两层往往是最晚提交的——因为需要专业负责人认真梳理培养目标和毕业要求</w:t>
      </w:r>
    </w:p>
    <w:p w14:paraId="3601CA6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让这两层空白，恰好展示了一个真实场景：</w:t>
      </w:r>
      <w:r>
        <w:rPr>
          <w:b/>
        </w:rPr>
        <w:t>大多数院校在开始使用系统时，最上游的思考还没有完全落地</w:t>
      </w:r>
    </w:p>
    <w:p w14:paraId="49DD1724">
      <w:pPr>
        <w:pStyle w:val="5"/>
      </w:pPr>
      <w:r>
        <w:t>§3.4的处理</w:t>
      </w:r>
    </w:p>
    <w:p w14:paraId="07C8EB32">
      <w:r>
        <w:t>原始版本§3.4包含详细的"预期诊断价值"表格，列出了每个未提交模板的诊断价值。精简后改为2-3句话概括，原因：</w:t>
      </w:r>
    </w:p>
    <w:p w14:paraId="452B68C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详细的模板分析属于</w:t>
      </w:r>
      <w:r>
        <w:rPr>
          <w:b/>
        </w:rPr>
        <w:t>项目侧内容</w:t>
      </w:r>
      <w:r>
        <w:t>（模板体系设计文档），不应出现在面向用户的诊断报告中</w:t>
      </w:r>
    </w:p>
    <w:p w14:paraId="57D132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报告读者关心的是"当前诊断结论"，而非"哪些维度还没评"的详细说明</w:t>
      </w:r>
    </w:p>
    <w:p w14:paraId="21E88F5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完整的模板诊断价值分析已迁移到本内部研讨文件</w:t>
      </w:r>
    </w:p>
    <w:p w14:paraId="0C528B98">
      <w:pPr>
        <w:pStyle w:val="169"/>
        <w:pBdr>
          <w:top w:val="single" w:color="CCCCCC" w:sz="8" w:space="0"/>
        </w:pBdr>
        <w:spacing w:after="240"/>
      </w:pPr>
    </w:p>
    <w:p w14:paraId="1E96D1DD">
      <w:pPr>
        <w:pStyle w:val="4"/>
      </w:pPr>
      <w:r>
        <w:t>5. 改进追踪"模拟"部分的设计考量</w:t>
      </w:r>
    </w:p>
    <w:p w14:paraId="63F2D942">
      <w:pPr>
        <w:pStyle w:val="5"/>
      </w:pPr>
      <w:r>
        <w:t>模拟与真实的边界</w:t>
      </w:r>
    </w:p>
    <w:p w14:paraId="5AF9159D">
      <w:r>
        <w:t>§六的改进追踪明确标注为"模拟"，其设计遵循以下原则：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4DB11A6">
        <w:trPr>
          <w:jc w:val="center"/>
        </w:trPr>
        <w:tc>
          <w:tcPr>
            <w:tcW w:w="2771" w:type="dxa"/>
            <w:shd w:val="clear" w:color="auto" w:fill="F2F2F2"/>
          </w:tcPr>
          <w:p w14:paraId="324E57CA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20CA3065">
            <w:pPr>
              <w:jc w:val="left"/>
            </w:pPr>
            <w:r>
              <w:rPr>
                <w:b/>
              </w:rPr>
              <w:t>模拟部分</w:t>
            </w:r>
          </w:p>
        </w:tc>
        <w:tc>
          <w:tcPr>
            <w:tcW w:w="2771" w:type="dxa"/>
            <w:shd w:val="clear" w:color="auto" w:fill="F2F2F2"/>
          </w:tcPr>
          <w:p w14:paraId="2C24009C">
            <w:pPr>
              <w:jc w:val="left"/>
            </w:pPr>
            <w:r>
              <w:rPr>
                <w:b/>
              </w:rPr>
              <w:t>真实部分</w:t>
            </w:r>
          </w:p>
        </w:tc>
      </w:tr>
      <w:tr w14:paraId="284768ED">
        <w:trPr>
          <w:jc w:val="center"/>
        </w:trPr>
        <w:tc>
          <w:tcPr>
            <w:tcW w:w="2771" w:type="dxa"/>
          </w:tcPr>
          <w:p w14:paraId="4AFA7850">
            <w:pPr>
              <w:jc w:val="left"/>
            </w:pPr>
            <w:r>
              <w:rPr>
                <w:b/>
              </w:rPr>
              <w:t>输入</w:t>
            </w:r>
          </w:p>
        </w:tc>
        <w:tc>
          <w:tcPr>
            <w:tcW w:w="2771" w:type="dxa"/>
          </w:tcPr>
          <w:p w14:paraId="1EFAE6E5">
            <w:pPr>
              <w:jc w:val="left"/>
            </w:pPr>
            <w:r>
              <w:t>假设P0工单已完成</w:t>
            </w:r>
          </w:p>
        </w:tc>
        <w:tc>
          <w:tcPr>
            <w:tcW w:w="2771" w:type="dxa"/>
          </w:tcPr>
          <w:p w14:paraId="511DED01">
            <w:pPr>
              <w:jc w:val="left"/>
            </w:pPr>
            <w:r>
              <w:t>当前诊断数据（来自系统采集）</w:t>
            </w:r>
          </w:p>
        </w:tc>
      </w:tr>
      <w:tr w14:paraId="260DBFB2">
        <w:trPr>
          <w:jc w:val="center"/>
        </w:trPr>
        <w:tc>
          <w:tcPr>
            <w:tcW w:w="2771" w:type="dxa"/>
          </w:tcPr>
          <w:p w14:paraId="1914571E">
            <w:pPr>
              <w:jc w:val="left"/>
            </w:pPr>
            <w:r>
              <w:rPr>
                <w:b/>
              </w:rPr>
              <w:t>评分逻辑</w:t>
            </w:r>
          </w:p>
        </w:tc>
        <w:tc>
          <w:tcPr>
            <w:tcW w:w="2771" w:type="dxa"/>
          </w:tcPr>
          <w:p w14:paraId="40DAC05A">
            <w:pPr>
              <w:jc w:val="left"/>
            </w:pPr>
            <w:r>
              <w:t>与真实诊断完全相同</w:t>
            </w:r>
          </w:p>
        </w:tc>
        <w:tc>
          <w:tcPr>
            <w:tcW w:w="2771" w:type="dxa"/>
          </w:tcPr>
          <w:p w14:paraId="047FE968">
            <w:pPr>
              <w:jc w:val="left"/>
            </w:pPr>
            <w:r>
              <w:t>与真实诊断完全相同</w:t>
            </w:r>
          </w:p>
        </w:tc>
      </w:tr>
      <w:tr w14:paraId="57C7B1F2">
        <w:trPr>
          <w:jc w:val="center"/>
        </w:trPr>
        <w:tc>
          <w:tcPr>
            <w:tcW w:w="2771" w:type="dxa"/>
          </w:tcPr>
          <w:p w14:paraId="4CCC8023">
            <w:pPr>
              <w:jc w:val="left"/>
            </w:pPr>
            <w:r>
              <w:rPr>
                <w:b/>
              </w:rPr>
              <w:t>改进后数据</w:t>
            </w:r>
          </w:p>
        </w:tc>
        <w:tc>
          <w:tcPr>
            <w:tcW w:w="2771" w:type="dxa"/>
          </w:tcPr>
          <w:p w14:paraId="77754DD1">
            <w:pPr>
              <w:jc w:val="left"/>
            </w:pPr>
            <w:r>
              <w:t>假设值（白皮书发布、回复率82%）</w:t>
            </w:r>
          </w:p>
        </w:tc>
        <w:tc>
          <w:tcPr>
            <w:tcW w:w="2771" w:type="dxa"/>
          </w:tcPr>
          <w:p w14:paraId="7DB3EC2A">
            <w:pPr>
              <w:jc w:val="left"/>
            </w:pPr>
            <w:r>
              <w:t>N/A（还没改）</w:t>
            </w:r>
          </w:p>
        </w:tc>
      </w:tr>
      <w:tr w14:paraId="609146CA">
        <w:trPr>
          <w:jc w:val="center"/>
        </w:trPr>
        <w:tc>
          <w:tcPr>
            <w:tcW w:w="2771" w:type="dxa"/>
          </w:tcPr>
          <w:p w14:paraId="25F1F0A4">
            <w:pPr>
              <w:jc w:val="left"/>
            </w:pPr>
            <w:r>
              <w:rPr>
                <w:b/>
              </w:rPr>
              <w:t>重新评分</w:t>
            </w:r>
          </w:p>
        </w:tc>
        <w:tc>
          <w:tcPr>
            <w:tcW w:w="2771" w:type="dxa"/>
          </w:tcPr>
          <w:p w14:paraId="02895132">
            <w:pPr>
              <w:jc w:val="left"/>
            </w:pPr>
            <w:r>
              <w:t>基于假设值自动计算</w:t>
            </w:r>
          </w:p>
        </w:tc>
        <w:tc>
          <w:tcPr>
            <w:tcW w:w="2771" w:type="dxa"/>
          </w:tcPr>
          <w:p w14:paraId="16DD7FAD">
            <w:pPr>
              <w:jc w:val="left"/>
            </w:pPr>
            <w:r>
              <w:t>需等真实改进后系统重新采集</w:t>
            </w:r>
          </w:p>
        </w:tc>
      </w:tr>
    </w:tbl>
    <w:p w14:paraId="04771EBF"/>
    <w:p w14:paraId="7A854028">
      <w:pPr>
        <w:pStyle w:val="5"/>
      </w:pPr>
      <w:r>
        <w:t>为什么需要模拟追踪</w:t>
      </w:r>
    </w:p>
    <w:p w14:paraId="5B505C6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直观感受改进效果</w:t>
      </w:r>
      <w:r>
        <w:t>：使用者看到的不是"请去改进"的空洞建议，而是"改完之后指标会怎么变"的量化预览</w:t>
      </w:r>
    </w:p>
    <w:p w14:paraId="7545954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验证诊断逻辑的闭环</w:t>
      </w:r>
      <w:r>
        <w:t>：从"发现问题→追溯根因→生成工单→模拟修复→重新评分"，完整展示系统的诊断能力</w:t>
      </w:r>
    </w:p>
    <w:p w14:paraId="257A4ED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增强改进动力</w:t>
      </w:r>
      <w:r>
        <w:t>：让使用者看到"1个动作修复4项指标"的杠杆效应，降低改进的心理阻力</w:t>
      </w:r>
    </w:p>
    <w:p w14:paraId="39C89BC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展示系统的动态能力</w:t>
      </w:r>
      <w:r>
        <w:t>：传统评价是"一次性出报告"，系统的报告可以"模拟改进→追踪执行→重新诊断"</w:t>
      </w:r>
    </w:p>
    <w:p w14:paraId="26388470">
      <w:pPr>
        <w:pStyle w:val="5"/>
      </w:pPr>
      <w:r>
        <w:t>模拟数据的设计考量</w:t>
      </w:r>
    </w:p>
    <w:p w14:paraId="59A0A73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工单#001完成后</w:t>
      </w:r>
      <w:r>
        <w:t>：白皮书从"过期"变为"良好"——这是确定性最高的改进（做一次行业调研就行），所以模拟结果给了"合格→良好"</w:t>
      </w:r>
    </w:p>
    <w:p w14:paraId="2E8CD88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工单#002完成后</w:t>
      </w:r>
      <w:r>
        <w:t>：回复率从45%跳到82%——这个跳跃看起来大，但考虑到P0+P1的累计效果（P0建立机制+P1制度化），82%是合理的</w:t>
      </w:r>
    </w:p>
    <w:p w14:paraId="48D5CB3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3.1.2/4.1.1只提升精度、不改变等级</w:t>
      </w:r>
      <w:r>
        <w:t>：这是刻意的——白皮书更新后，这两项指标的评估基础更可靠了，但不一定会改变等级。展示"精度提升≠等级提升"的细微差别</w:t>
      </w:r>
    </w:p>
    <w:p w14:paraId="6D8DEBE8">
      <w:pPr>
        <w:pStyle w:val="169"/>
        <w:pBdr>
          <w:top w:val="single" w:color="CCCCCC" w:sz="8" w:space="0"/>
        </w:pBdr>
        <w:spacing w:after="240"/>
      </w:pPr>
    </w:p>
    <w:p w14:paraId="51DA96FD">
      <w:pPr>
        <w:pStyle w:val="4"/>
      </w:pPr>
      <w:r>
        <w:t>6. 从产品文件中迁移出的内容</w:t>
      </w:r>
    </w:p>
    <w:p w14:paraId="2B96C132">
      <w:pPr>
        <w:pStyle w:val="5"/>
      </w:pPr>
      <w:r>
        <w:t>§3.4 被精简掉的"预期诊断价值"表格</w:t>
      </w:r>
    </w:p>
    <w:p w14:paraId="41610F69">
      <w:r>
        <w:t>以下为原版§3.4中被移除的详细分析，保留在此供开发团队参考：</w:t>
      </w:r>
    </w:p>
    <w:p w14:paraId="5A675830">
      <w:r>
        <w:rPr>
          <w:b/>
        </w:rPr>
        <w:t>教案设计（T05）的预期诊断价值：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43ABA56">
        <w:trPr>
          <w:jc w:val="center"/>
        </w:trPr>
        <w:tc>
          <w:tcPr>
            <w:tcW w:w="4156" w:type="dxa"/>
            <w:shd w:val="clear" w:color="auto" w:fill="F2F2F2"/>
          </w:tcPr>
          <w:p w14:paraId="4AC96FB4">
            <w:pPr>
              <w:jc w:val="left"/>
            </w:pPr>
            <w:r>
              <w:rPr>
                <w:b/>
              </w:rPr>
              <w:t>诊断能力</w:t>
            </w:r>
          </w:p>
        </w:tc>
        <w:tc>
          <w:tcPr>
            <w:tcW w:w="4156" w:type="dxa"/>
            <w:shd w:val="clear" w:color="auto" w:fill="F2F2F2"/>
          </w:tcPr>
          <w:p w14:paraId="01820F03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79BBD3EC">
        <w:trPr>
          <w:jc w:val="center"/>
        </w:trPr>
        <w:tc>
          <w:tcPr>
            <w:tcW w:w="4156" w:type="dxa"/>
          </w:tcPr>
          <w:p w14:paraId="0E5D3363">
            <w:pPr>
              <w:jc w:val="left"/>
            </w:pPr>
            <w:r>
              <w:t>课堂总体设计质量评估</w:t>
            </w:r>
          </w:p>
        </w:tc>
        <w:tc>
          <w:tcPr>
            <w:tcW w:w="4156" w:type="dxa"/>
          </w:tcPr>
          <w:p w14:paraId="175675FC">
            <w:pPr>
              <w:jc w:val="left"/>
            </w:pPr>
            <w:r>
              <w:t>评估教师是否从"讲教材"转向"设计课堂"——每堂课的教学思路、案例选择、方法设计是否有系统性</w:t>
            </w:r>
          </w:p>
        </w:tc>
      </w:tr>
      <w:tr w14:paraId="425BB170">
        <w:trPr>
          <w:jc w:val="center"/>
        </w:trPr>
        <w:tc>
          <w:tcPr>
            <w:tcW w:w="4156" w:type="dxa"/>
          </w:tcPr>
          <w:p w14:paraId="4ECE0C4C">
            <w:pPr>
              <w:jc w:val="left"/>
            </w:pPr>
            <w:r>
              <w:t>横向项目落地检查</w:t>
            </w:r>
          </w:p>
        </w:tc>
        <w:tc>
          <w:tcPr>
            <w:tcW w:w="4156" w:type="dxa"/>
          </w:tcPr>
          <w:p w14:paraId="757D26CD">
            <w:pPr>
              <w:jc w:val="left"/>
            </w:pPr>
            <w:r>
              <w:t>检查横向项目内容是否真正进入课堂教学，而非停留在科研层面</w:t>
            </w:r>
          </w:p>
        </w:tc>
      </w:tr>
      <w:tr w14:paraId="0C8450C6">
        <w:trPr>
          <w:jc w:val="center"/>
        </w:trPr>
        <w:tc>
          <w:tcPr>
            <w:tcW w:w="4156" w:type="dxa"/>
          </w:tcPr>
          <w:p w14:paraId="724579B9">
            <w:pPr>
              <w:jc w:val="left"/>
            </w:pPr>
            <w:r>
              <w:t>逻辑递进性评估</w:t>
            </w:r>
          </w:p>
        </w:tc>
        <w:tc>
          <w:tcPr>
            <w:tcW w:w="4156" w:type="dxa"/>
          </w:tcPr>
          <w:p w14:paraId="78033C51">
            <w:pPr>
              <w:jc w:val="left"/>
            </w:pPr>
            <w:r>
              <w:t>课程之间的内容安排是否有递进关系，而非各自为政</w:t>
            </w:r>
          </w:p>
        </w:tc>
      </w:tr>
    </w:tbl>
    <w:p w14:paraId="639B617C"/>
    <w:p w14:paraId="3D93C3F4">
      <w:r>
        <w:rPr>
          <w:b/>
        </w:rPr>
        <w:t>考核分析（T08）的预期诊断价值：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94B4357">
        <w:trPr>
          <w:jc w:val="center"/>
        </w:trPr>
        <w:tc>
          <w:tcPr>
            <w:tcW w:w="4156" w:type="dxa"/>
            <w:shd w:val="clear" w:color="auto" w:fill="F2F2F2"/>
          </w:tcPr>
          <w:p w14:paraId="573C0D5D">
            <w:pPr>
              <w:jc w:val="left"/>
            </w:pPr>
            <w:r>
              <w:rPr>
                <w:b/>
              </w:rPr>
              <w:t>诊断能力</w:t>
            </w:r>
          </w:p>
        </w:tc>
        <w:tc>
          <w:tcPr>
            <w:tcW w:w="4156" w:type="dxa"/>
            <w:shd w:val="clear" w:color="auto" w:fill="F2F2F2"/>
          </w:tcPr>
          <w:p w14:paraId="3BD9BB84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2CD87050">
        <w:trPr>
          <w:jc w:val="center"/>
        </w:trPr>
        <w:tc>
          <w:tcPr>
            <w:tcW w:w="4156" w:type="dxa"/>
          </w:tcPr>
          <w:p w14:paraId="05307719">
            <w:pPr>
              <w:jc w:val="left"/>
            </w:pPr>
            <w:r>
              <w:t>考核目的重定义验证</w:t>
            </w:r>
          </w:p>
        </w:tc>
        <w:tc>
          <w:tcPr>
            <w:tcW w:w="4156" w:type="dxa"/>
          </w:tcPr>
          <w:p w14:paraId="2453289E">
            <w:pPr>
              <w:jc w:val="left"/>
            </w:pPr>
            <w:r>
              <w:t>检查考试考核是否从"正态分布分析"转向"能力达成分析"——考核目的是否与教学目标对齐</w:t>
            </w:r>
          </w:p>
        </w:tc>
      </w:tr>
      <w:tr w14:paraId="3C2E5B42">
        <w:trPr>
          <w:jc w:val="center"/>
        </w:trPr>
        <w:tc>
          <w:tcPr>
            <w:tcW w:w="4156" w:type="dxa"/>
          </w:tcPr>
          <w:p w14:paraId="04B349C6">
            <w:pPr>
              <w:jc w:val="left"/>
            </w:pPr>
            <w:r>
              <w:t>成绩分析维度</w:t>
            </w:r>
          </w:p>
        </w:tc>
        <w:tc>
          <w:tcPr>
            <w:tcW w:w="4156" w:type="dxa"/>
          </w:tcPr>
          <w:p w14:paraId="5738BE3C">
            <w:pPr>
              <w:jc w:val="left"/>
            </w:pPr>
            <w:r>
              <w:t>成绩分析是否从能力维度展开，而非只看总分分布</w:t>
            </w:r>
          </w:p>
        </w:tc>
      </w:tr>
      <w:tr w14:paraId="281867AD">
        <w:trPr>
          <w:jc w:val="center"/>
        </w:trPr>
        <w:tc>
          <w:tcPr>
            <w:tcW w:w="4156" w:type="dxa"/>
          </w:tcPr>
          <w:p w14:paraId="44BDFC36">
            <w:pPr>
              <w:jc w:val="left"/>
            </w:pPr>
            <w:r>
              <w:t>达成度分析深度</w:t>
            </w:r>
          </w:p>
        </w:tc>
        <w:tc>
          <w:tcPr>
            <w:tcW w:w="4156" w:type="dxa"/>
          </w:tcPr>
          <w:p w14:paraId="4016D8D5">
            <w:pPr>
              <w:jc w:val="left"/>
            </w:pPr>
            <w:r>
              <w:t>达成度报告是否真正分析了"哪里没达成、为什么没达成"，而非只是填个数字</w:t>
            </w:r>
          </w:p>
        </w:tc>
      </w:tr>
    </w:tbl>
    <w:p w14:paraId="4DA01DC1"/>
    <w:p w14:paraId="49BAB235">
      <w:r>
        <w:rPr>
          <w:b/>
        </w:rPr>
        <w:t>过程评价（T09）的预期诊断价值：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5FCF38D">
        <w:trPr>
          <w:jc w:val="center"/>
        </w:trPr>
        <w:tc>
          <w:tcPr>
            <w:tcW w:w="4156" w:type="dxa"/>
            <w:shd w:val="clear" w:color="auto" w:fill="F2F2F2"/>
          </w:tcPr>
          <w:p w14:paraId="603F8479">
            <w:pPr>
              <w:jc w:val="left"/>
            </w:pPr>
            <w:r>
              <w:rPr>
                <w:b/>
              </w:rPr>
              <w:t>诊断能力</w:t>
            </w:r>
          </w:p>
        </w:tc>
        <w:tc>
          <w:tcPr>
            <w:tcW w:w="4156" w:type="dxa"/>
            <w:shd w:val="clear" w:color="auto" w:fill="F2F2F2"/>
          </w:tcPr>
          <w:p w14:paraId="7AE98E58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66E0FE21">
        <w:trPr>
          <w:jc w:val="center"/>
        </w:trPr>
        <w:tc>
          <w:tcPr>
            <w:tcW w:w="4156" w:type="dxa"/>
          </w:tcPr>
          <w:p w14:paraId="2E07A3AE">
            <w:pPr>
              <w:jc w:val="left"/>
            </w:pPr>
            <w:r>
              <w:t>过程性评价覆盖率</w:t>
            </w:r>
          </w:p>
        </w:tc>
        <w:tc>
          <w:tcPr>
            <w:tcW w:w="4156" w:type="dxa"/>
          </w:tcPr>
          <w:p w14:paraId="4EA7AF37">
            <w:pPr>
              <w:jc w:val="left"/>
            </w:pPr>
            <w:r>
              <w:t>是否有持续的过程性评价，而非仅靠期末考试一锤定音</w:t>
            </w:r>
          </w:p>
        </w:tc>
      </w:tr>
      <w:tr w14:paraId="13EBC269">
        <w:trPr>
          <w:jc w:val="center"/>
        </w:trPr>
        <w:tc>
          <w:tcPr>
            <w:tcW w:w="4156" w:type="dxa"/>
          </w:tcPr>
          <w:p w14:paraId="0F02A6C9">
            <w:pPr>
              <w:jc w:val="left"/>
            </w:pPr>
            <w:r>
              <w:t>评价数据与平台数据的衔接</w:t>
            </w:r>
          </w:p>
        </w:tc>
        <w:tc>
          <w:tcPr>
            <w:tcW w:w="4156" w:type="dxa"/>
          </w:tcPr>
          <w:p w14:paraId="66009800">
            <w:pPr>
              <w:jc w:val="left"/>
            </w:pPr>
            <w:r>
              <w:t>过程评价数据是否能与课程平台的学习行为数据相互印证</w:t>
            </w:r>
          </w:p>
        </w:tc>
      </w:tr>
    </w:tbl>
    <w:p w14:paraId="3BC0217F"/>
    <w:p w14:paraId="2B7B8DCE">
      <w:r>
        <w:rPr>
          <w:b/>
        </w:rPr>
        <w:t>学情分析（T10）的预期诊断价值：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0C02D2D">
        <w:trPr>
          <w:jc w:val="center"/>
        </w:trPr>
        <w:tc>
          <w:tcPr>
            <w:tcW w:w="4156" w:type="dxa"/>
            <w:shd w:val="clear" w:color="auto" w:fill="F2F2F2"/>
          </w:tcPr>
          <w:p w14:paraId="47D63481">
            <w:pPr>
              <w:jc w:val="left"/>
            </w:pPr>
            <w:r>
              <w:rPr>
                <w:b/>
              </w:rPr>
              <w:t>诊断能力</w:t>
            </w:r>
          </w:p>
        </w:tc>
        <w:tc>
          <w:tcPr>
            <w:tcW w:w="4156" w:type="dxa"/>
            <w:shd w:val="clear" w:color="auto" w:fill="F2F2F2"/>
          </w:tcPr>
          <w:p w14:paraId="6576649E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74633AB7">
        <w:trPr>
          <w:jc w:val="center"/>
        </w:trPr>
        <w:tc>
          <w:tcPr>
            <w:tcW w:w="4156" w:type="dxa"/>
          </w:tcPr>
          <w:p w14:paraId="517DF780">
            <w:pPr>
              <w:jc w:val="left"/>
            </w:pPr>
            <w:r>
              <w:t>纵向对比</w:t>
            </w:r>
          </w:p>
        </w:tc>
        <w:tc>
          <w:tcPr>
            <w:tcW w:w="4156" w:type="dxa"/>
          </w:tcPr>
          <w:p w14:paraId="176A2499">
            <w:pPr>
              <w:jc w:val="left"/>
            </w:pPr>
            <w:r>
              <w:t>本届学生与历届学生的学习行为、成绩分布对比</w:t>
            </w:r>
          </w:p>
        </w:tc>
      </w:tr>
      <w:tr w14:paraId="2117CB9C">
        <w:trPr>
          <w:jc w:val="center"/>
        </w:trPr>
        <w:tc>
          <w:tcPr>
            <w:tcW w:w="4156" w:type="dxa"/>
          </w:tcPr>
          <w:p w14:paraId="3B984EF8">
            <w:pPr>
              <w:jc w:val="left"/>
            </w:pPr>
            <w:r>
              <w:t>横向衔接</w:t>
            </w:r>
          </w:p>
        </w:tc>
        <w:tc>
          <w:tcPr>
            <w:tcW w:w="4156" w:type="dxa"/>
          </w:tcPr>
          <w:p w14:paraId="456A324F">
            <w:pPr>
              <w:jc w:val="left"/>
            </w:pPr>
            <w:r>
              <w:t>前置课程学情是否为后续课程教学提供参考</w:t>
            </w:r>
          </w:p>
        </w:tc>
      </w:tr>
      <w:tr w14:paraId="2523540F">
        <w:trPr>
          <w:jc w:val="center"/>
        </w:trPr>
        <w:tc>
          <w:tcPr>
            <w:tcW w:w="4156" w:type="dxa"/>
          </w:tcPr>
          <w:p w14:paraId="41B0E086">
            <w:pPr>
              <w:jc w:val="left"/>
            </w:pPr>
            <w:r>
              <w:t>因材施教的数据基础</w:t>
            </w:r>
          </w:p>
        </w:tc>
        <w:tc>
          <w:tcPr>
            <w:tcW w:w="4156" w:type="dxa"/>
          </w:tcPr>
          <w:p w14:paraId="37D4B235">
            <w:pPr>
              <w:jc w:val="left"/>
            </w:pPr>
            <w:r>
              <w:t>是否基于学情数据进行了差异化教学设计</w:t>
            </w:r>
          </w:p>
        </w:tc>
      </w:tr>
    </w:tbl>
    <w:p w14:paraId="30E83931"/>
    <w:p w14:paraId="54EE1308">
      <w:pPr>
        <w:pStyle w:val="5"/>
      </w:pPr>
      <w:r>
        <w:t>建议五的详细论述（原版）</w:t>
      </w:r>
    </w:p>
    <w:p w14:paraId="3EEE63DE">
      <w:r>
        <w:rPr>
          <w:b/>
        </w:rPr>
        <w:t>推进节奏详案：</w:t>
      </w:r>
    </w:p>
    <w:p w14:paraId="673C591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P0完成后立即启动T05教案模板</w:t>
      </w:r>
    </w:p>
    <w:p w14:paraId="5490D8C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前提条件：平台使用率≥80%，教师已有基本的数字化教学习惯</w:t>
      </w:r>
    </w:p>
    <w:p w14:paraId="371EBCE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目标：引导教师从"讲教材"转向"设计课堂"</w:t>
      </w:r>
    </w:p>
    <w:p w14:paraId="132B9AA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每堂课的总体设计（思路、案例、方法、横向项目落地、逻辑递进）才有抓手</w:t>
      </w:r>
    </w:p>
    <w:p w14:paraId="48046A0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预期周期：1个学期</w:t>
      </w:r>
    </w:p>
    <w:p w14:paraId="236CEC3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P1完成后启动T08考核与达成度分析</w:t>
      </w:r>
    </w:p>
    <w:p w14:paraId="51B795ED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前提条件：达成度报告规范化已落地</w:t>
      </w:r>
    </w:p>
    <w:p w14:paraId="5236314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目标：将考试考核从"正态分布分析"重定义为"能力达成分析"</w:t>
      </w:r>
    </w:p>
    <w:p w14:paraId="4C8434C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考核目的必须与教学目标对齐，成绩分析从能力维度展开</w:t>
      </w:r>
    </w:p>
    <w:p w14:paraId="593C468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预期周期：1个学期</w:t>
      </w:r>
    </w:p>
    <w:p w14:paraId="1F5F5FA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第二学期启动T09过程性评价记录和T10学情分析报告</w:t>
      </w:r>
    </w:p>
    <w:p w14:paraId="4595B4A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前提条件：需要至少一个完整学期的数据积累</w:t>
      </w:r>
    </w:p>
    <w:p w14:paraId="6EABEE0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路径：先建立机制→再积累数据→第三个学期开始正式评估</w:t>
      </w:r>
    </w:p>
    <w:p w14:paraId="73DC32A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T09：过程评价数据与平台学习行为数据衔接</w:t>
      </w:r>
    </w:p>
    <w:p w14:paraId="349F8B9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T10：纵向对比历届、横向衔接后续课程</w:t>
      </w:r>
    </w:p>
    <w:p w14:paraId="5B6DFB7C">
      <w:pPr>
        <w:pStyle w:val="5"/>
      </w:pPr>
      <w:r>
        <w:t>建议六的详细论述（原版）</w:t>
      </w:r>
    </w:p>
    <w:p w14:paraId="74333479">
      <w:r>
        <w:rPr>
          <w:b/>
        </w:rPr>
        <w:t>"模板即培训"的完整论证：</w:t>
      </w:r>
    </w:p>
    <w:p w14:paraId="04587C50">
      <w:r>
        <w:t>分析撰写型模板的价值不只是产出文档。写的过程本身，就是教师理解理念、梳理思路、自我诊断的过程。</w:t>
      </w:r>
    </w:p>
    <w:p w14:paraId="3CC4C4EB">
      <w:r>
        <w:rPr>
          <w:b/>
        </w:rPr>
        <w:t>案例一：产业白皮书</w:t>
      </w:r>
    </w:p>
    <w:p w14:paraId="712CCA8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很多院校不是不想写，而是不知道怎么从"产业调研→产业链图谱→岗位能力清单→课程映射"这条链路走下来</w:t>
      </w:r>
    </w:p>
    <w:p w14:paraId="5A8113B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系统提供骨架+撰写指引+范本+AI辅助初稿</w:t>
      </w:r>
    </w:p>
    <w:p w14:paraId="0106C63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教师跟着写完一份，就理解了一致性维度的全貌</w:t>
      </w:r>
    </w:p>
    <w:p w14:paraId="72AEACB7">
      <w:r>
        <w:rPr>
          <w:b/>
        </w:rPr>
        <w:t>案例二：教案模板</w:t>
      </w:r>
    </w:p>
    <w:p w14:paraId="222E24A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让教师理解"导演手记"与"讲稿"的区别</w:t>
      </w:r>
    </w:p>
    <w:p w14:paraId="456E022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从"我要讲什么"转向"学生需要经历什么学习过程"</w:t>
      </w:r>
    </w:p>
    <w:p w14:paraId="3064678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每堂课的总体设计（思路、案例、方法、横向项目落地、逻辑递进）成为教学质量的抓手</w:t>
      </w:r>
    </w:p>
    <w:p w14:paraId="1D0FD70B">
      <w:r>
        <w:rPr>
          <w:b/>
        </w:rPr>
        <w:t>案例三：考试考核分析表</w:t>
      </w:r>
    </w:p>
    <w:p w14:paraId="4A38A0C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让教师理解"考能力达成"与"考知识记忆"的区别</w:t>
      </w:r>
    </w:p>
    <w:p w14:paraId="1DE2A11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成绩分析从"正态分布好不好看"转向"哪些能力学生达成了、哪些没有"</w:t>
      </w:r>
    </w:p>
    <w:p w14:paraId="39D8216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倒逼教学设计调整</w:t>
      </w:r>
    </w:p>
    <w:p w14:paraId="566F2F70">
      <w:r>
        <w:rPr>
          <w:b/>
        </w:rPr>
        <w:t>案例四：学情分析报告</w:t>
      </w:r>
    </w:p>
    <w:p w14:paraId="2BDFEA3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让教师理解"因材施教"不是口号而是数据驱动的教学调整</w:t>
      </w:r>
    </w:p>
    <w:p w14:paraId="6D9CB56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纵向对比历届学生的学情变化趋势</w:t>
      </w:r>
    </w:p>
    <w:p w14:paraId="49D3986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横向衔接前置课程和后续课程的教学需求</w:t>
      </w:r>
    </w:p>
    <w:p w14:paraId="1988E5CC">
      <w:r>
        <w:rPr>
          <w:b/>
        </w:rPr>
        <w:t>核心论点：模板即培训，撰写即学习。</w:t>
      </w:r>
      <w:r>
        <w:t xml:space="preserve"> 这是系统区别于传统评价体系的核心——不只做裁判，更做教练。</w:t>
      </w:r>
    </w:p>
    <w:p w14:paraId="42DEED0C">
      <w:pPr>
        <w:pStyle w:val="169"/>
        <w:pBdr>
          <w:top w:val="single" w:color="CCCCCC" w:sz="8" w:space="0"/>
        </w:pBdr>
        <w:spacing w:after="240"/>
      </w:pPr>
    </w:p>
    <w:p w14:paraId="2F0C3367">
      <w:pPr>
        <w:pStyle w:val="4"/>
      </w:pPr>
      <w:r>
        <w:t>7. 其他设计备忘</w:t>
      </w:r>
    </w:p>
    <w:p w14:paraId="26E93EC0">
      <w:pPr>
        <w:pStyle w:val="5"/>
      </w:pPr>
      <w:r>
        <w:t>工单编号与回复率目标的统一</w:t>
      </w:r>
    </w:p>
    <w:p w14:paraId="49F08F40">
      <w:r>
        <w:t>P0工单#002与P1工单#005都涉及"教师问答回复率"。为避免目标冲突：</w:t>
      </w:r>
    </w:p>
    <w:p w14:paraId="1CB09F0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#002定位为"基础设施修复"——建立机制，回复率明显提升</w:t>
      </w:r>
    </w:p>
    <w:p w14:paraId="28FEF82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#005定位为"制度化提升"——回复率统一目标≥80%</w:t>
      </w:r>
    </w:p>
    <w:p w14:paraId="1BC509B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#002的验收标准中不再写具体数字，改为引用#005</w:t>
      </w:r>
    </w:p>
    <w:p w14:paraId="48754797">
      <w:pPr>
        <w:pStyle w:val="5"/>
      </w:pPr>
      <w:r>
        <w:t>报告生成说明的边界</w:t>
      </w:r>
    </w:p>
    <w:p w14:paraId="4BB232C0">
      <w:r>
        <w:t>报告末尾的"报告生成说明"只保留与诊断框架相关的说明（四阶段架构、评价链、指标体系、界面映射），移除了项目侧历史信息（如模板体系瘦身过程），避免用户困惑。</w:t>
      </w:r>
    </w:p>
    <w:p w14:paraId="30092B6D">
      <w:pPr>
        <w:pStyle w:val="5"/>
      </w:pPr>
      <w:r>
        <w:t>模拟数据的更新维护</w:t>
      </w:r>
    </w:p>
    <w:p w14:paraId="7D38552A">
      <w:r>
        <w:t>模拟部分的数据（白皮书过期时间、回复率等）基于诊断日期2026年7月10日。如果报告模板需要复用于其他场景，需要更新：</w:t>
      </w:r>
    </w:p>
    <w:p w14:paraId="7F47914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诊断日期</w:t>
      </w:r>
    </w:p>
    <w:p w14:paraId="605C301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数据周期</w:t>
      </w:r>
    </w:p>
    <w:p w14:paraId="03806AD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各项指标的当前值</w:t>
      </w:r>
    </w:p>
    <w:p w14:paraId="0BB579C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工单截止时间</w:t>
      </w:r>
    </w:p>
    <w:p w14:paraId="192663E2">
      <w:pPr>
        <w:pStyle w:val="169"/>
        <w:pBdr>
          <w:top w:val="single" w:color="CCCCCC" w:sz="8" w:space="0"/>
        </w:pBdr>
        <w:spacing w:after="240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FBE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CREATION</cp:lastModifiedBy>
  <dcterms:modified xsi:type="dcterms:W3CDTF">2026-08-22T11:26:48Z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3D75218CCD88343AF816896A93BCCF10_42</vt:lpwstr>
  </property>
</Properties>
</file>