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F9E4">
      <w:pPr>
        <w:pStyle w:val="3"/>
      </w:pPr>
      <w:r>
        <w:t>第四代大学——AI时代地方本科院校理想专业建设指标体系</w:t>
      </w:r>
    </w:p>
    <w:p w14:paraId="25DB5098"/>
    <w:p w14:paraId="324865F3">
      <w:pPr>
        <w:pStyle w:val="169"/>
        <w:pBdr>
          <w:top w:val="single" w:color="CCCCCC" w:sz="8" w:space="0"/>
        </w:pBdr>
        <w:spacing w:after="240"/>
      </w:pPr>
    </w:p>
    <w:p w14:paraId="6D297BFD"/>
    <w:p w14:paraId="48E89ECC">
      <w:pPr>
        <w:pStyle w:val="4"/>
      </w:pPr>
      <w:r>
        <w:t>前言</w:t>
      </w:r>
    </w:p>
    <w:p w14:paraId="394B16DA"/>
    <w:p w14:paraId="0E2F53B9">
      <w:pPr>
        <w:pStyle w:val="5"/>
      </w:pPr>
      <w:r>
        <w:t>一、为什么需要这份指标体系</w:t>
      </w:r>
    </w:p>
    <w:p w14:paraId="3D6639EE"/>
    <w:p w14:paraId="498117CB">
      <w:r>
        <w:t>世界高等教育正经历一场根本性的范式转移。大学不再是永续经营的知识垄断者——全球范围内高校倒闭已从理论预警变为现实；文凭的信号价值在AI浪潮冲击下大幅回落，雇主越来越关注"能做什么"而非"学过什么"；知识生产的主体正在从高校实验室向企业研发中心大规模迁移；而AI则从根本上改写了能力评价的标准——当机器可以瞬间完成知识检索、代码编写、文案撰写甚至数据分析时，人类的核心竞争力究竟是什么？</w:t>
      </w:r>
    </w:p>
    <w:p w14:paraId="1A128BD8"/>
    <w:p w14:paraId="2517FE86">
      <w:r>
        <w:t>在这一背景下，国家"双优工程"为地方本科院校指明了方向：</w:t>
      </w:r>
      <w:r>
        <w:rPr>
          <w:b/>
        </w:rPr>
        <w:t>办学能力优质、服务区域发展优秀</w:t>
      </w:r>
      <w:r>
        <w:t>。这不是一个简单的评估达标任务，而是一次深刻的身份重构。地方本科院校既非研究型大学的缩小版，也非职业院校的升级版，而是处于两者之间"一公里"的独立赛道——培养能够将知识转化为区域发展动力、能够在AI时代持续进化的应用型复合人才。</w:t>
      </w:r>
    </w:p>
    <w:p w14:paraId="50630878"/>
    <w:p w14:paraId="0F622A3C">
      <w:r>
        <w:t>然而，当前绝大多数专业建设评价体系仍停留在"建设期思维"：关注是否提交了产业调研报告、是否建立了校企合作基地、是否完成了课程映射矩阵……这些过程性指标回答的是"你在做什么"，却无法回答"你最终应该成为什么"。</w:t>
      </w:r>
    </w:p>
    <w:p w14:paraId="7FC757AA"/>
    <w:p w14:paraId="793FC440">
      <w:r>
        <w:t>这份指标体系正是为了回答后者。它描述的不是建设过程中的里程碑，而是</w:t>
      </w:r>
      <w:r>
        <w:rPr>
          <w:b/>
        </w:rPr>
        <w:t>理想终态下专业应有的样子</w:t>
      </w:r>
      <w:r>
        <w:t>——当一所地方本科院校真正完成AI时代的转型，它的专业建设应该达到什么样的状态。</w:t>
      </w:r>
    </w:p>
    <w:p w14:paraId="7B67EBE6"/>
    <w:p w14:paraId="0DA1FE89">
      <w:pPr>
        <w:pStyle w:val="5"/>
      </w:pPr>
      <w:r>
        <w:t>二、什么是第四代大学</w:t>
      </w:r>
    </w:p>
    <w:p w14:paraId="5366DABA"/>
    <w:p w14:paraId="4761901B">
      <w:r>
        <w:t>我们提出"第四代大学"这一概念，旨在刻画AI时代高等教育的理想形态。所谓"第四代"，并非时间序列上的简单递进，而是教育范式的根本跃迁：</w:t>
      </w:r>
    </w:p>
    <w:p w14:paraId="71ECBD88"/>
    <w:p w14:paraId="17E882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第一代大学</w:t>
      </w:r>
      <w:r>
        <w:t>以知识传承为核心使命，是知识的殿堂与象牙塔；</w:t>
      </w:r>
    </w:p>
    <w:p w14:paraId="46B7E6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第二代大学</w:t>
      </w:r>
      <w:r>
        <w:t>以科学研究为重要职能，是知识的生产者；</w:t>
      </w:r>
    </w:p>
    <w:p w14:paraId="54D7FA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第三代大学</w:t>
      </w:r>
      <w:r>
        <w:t>以社会服务为延伸使命，是知识与社会的桥梁；</w:t>
      </w:r>
    </w:p>
    <w:p w14:paraId="362B28F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第四代大学</w:t>
      </w:r>
      <w:r>
        <w:t>则以</w:t>
      </w:r>
      <w:r>
        <w:rPr>
          <w:b/>
        </w:rPr>
        <w:t>共生进化</w:t>
      </w:r>
      <w:r>
        <w:t>为核心特征——它与产业共生、与AI共生、与学生共生、与区域共生，在持续的变化中不断重构自身的价值。</w:t>
      </w:r>
    </w:p>
    <w:p w14:paraId="0A0569F7"/>
    <w:p w14:paraId="5213B89F">
      <w:r>
        <w:t>第四代大学的核心特征可以概括为四个根本转变：</w:t>
      </w:r>
    </w:p>
    <w:p w14:paraId="6AF3B788"/>
    <w:p w14:paraId="63C5A76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从知识传授到能力培养</w:t>
      </w:r>
      <w:r>
        <w:t>：当知识获取的成本趋近于零，教育的核心价值不再是"灌输"，而是"点燃"——点燃学生提出问题、判断信息、创造意义的能力。</w:t>
      </w:r>
    </w:p>
    <w:p w14:paraId="5A5A14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从标准化到个性化</w:t>
      </w:r>
      <w:r>
        <w:t>：AI使大规模个性化教育成为可能，每个学生的学习路径、能力画像、成长节奏都可以不同。</w:t>
      </w:r>
    </w:p>
    <w:p w14:paraId="2526EE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从封闭系统到开放生态</w:t>
      </w:r>
      <w:r>
        <w:t>：大学不再是知识的围墙，而是区域创新生态系统的核心节点，与产业、社区、AI平台深度共生。</w:t>
      </w:r>
    </w:p>
    <w:p w14:paraId="36E402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从文凭认证到能力认证</w:t>
      </w:r>
      <w:r>
        <w:t>：评价从"存量"（脑子里装了多少知识）转向"流量"（用知识做了什么），从一纸文凭转向持续更新的能力档案。</w:t>
      </w:r>
    </w:p>
    <w:p w14:paraId="73071BB0"/>
    <w:p w14:paraId="7A29DF07">
      <w:pPr>
        <w:pStyle w:val="5"/>
      </w:pPr>
      <w:r>
        <w:t>三、这份指标与建设期指标的关系</w:t>
      </w:r>
    </w:p>
    <w:p w14:paraId="2B587C2F"/>
    <w:p w14:paraId="5FCFDDD2">
      <w:r>
        <w:t>这份理想态指标体系与专业建设期的过程性指标并非替代关系，而是</w:t>
      </w:r>
      <w:r>
        <w:rPr>
          <w:b/>
        </w:rPr>
        <w:t>目的与路径的关系</w:t>
      </w:r>
      <w:r>
        <w:t>：</w:t>
      </w:r>
    </w:p>
    <w:p w14:paraId="78C1E528"/>
    <w:p w14:paraId="223773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建设期指标</w:t>
      </w:r>
      <w:r>
        <w:t>回答"你做了什么"——是路线图上的里程碑检查点；</w:t>
      </w:r>
    </w:p>
    <w:p w14:paraId="70A4F3A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理想态指标</w:t>
      </w:r>
      <w:r>
        <w:t>回答"你成为了什么"——是旅程终点的风景描述。</w:t>
      </w:r>
    </w:p>
    <w:p w14:paraId="732BBABF"/>
    <w:p w14:paraId="5A42D0D0">
      <w:r>
        <w:t>两者相辅相成：建设期指标确保过程不走偏，理想态指标确保方向不错位。一个只关注建设期指标的专业，可能"做了所有正确的事"却没有到达该去的地方；一个只看理想态指标的专业，则可能"知道要去哪里"却缺乏落地的抓手。</w:t>
      </w:r>
    </w:p>
    <w:p w14:paraId="577A682C"/>
    <w:p w14:paraId="09D78ADA">
      <w:r>
        <w:t>本文末尾附有"两份指标体系的关系说明"，对每个维度的建设期观测点与理想态观测点进行对照，并提供使用建议。</w:t>
      </w:r>
    </w:p>
    <w:p w14:paraId="02D299D8"/>
    <w:p w14:paraId="6F90EFEE">
      <w:pPr>
        <w:pStyle w:val="169"/>
        <w:pBdr>
          <w:top w:val="single" w:color="CCCCCC" w:sz="8" w:space="0"/>
        </w:pBdr>
        <w:spacing w:after="240"/>
      </w:pPr>
    </w:p>
    <w:p w14:paraId="132FF465"/>
    <w:p w14:paraId="7402DC57">
      <w:pPr>
        <w:pStyle w:val="4"/>
      </w:pPr>
      <w:r>
        <w:t>指标体系总览</w:t>
      </w:r>
    </w:p>
    <w:p w14:paraId="47F4AF63"/>
    <w:p w14:paraId="256DEC9D">
      <w:r>
        <w:t xml:space="preserve">本指标体系设置 </w:t>
      </w:r>
      <w:r>
        <w:rPr>
          <w:b/>
        </w:rPr>
        <w:t>七个一级指标</w:t>
      </w:r>
      <w:r>
        <w:t>，涵盖专业建设的全部核心维度：</w:t>
      </w:r>
    </w:p>
    <w:p w14:paraId="5887137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D0F495B">
        <w:trPr>
          <w:jc w:val="center"/>
        </w:trPr>
        <w:tc>
          <w:tcPr>
            <w:tcW w:w="4156" w:type="dxa"/>
            <w:shd w:val="clear" w:color="auto" w:fill="F2F2F2"/>
          </w:tcPr>
          <w:p w14:paraId="44E6E65F">
            <w:pPr>
              <w:jc w:val="center"/>
            </w:pPr>
            <w:r>
              <w:rPr>
                <w:b/>
              </w:rPr>
              <w:t>一级指标</w:t>
            </w:r>
          </w:p>
        </w:tc>
        <w:tc>
          <w:tcPr>
            <w:tcW w:w="4156" w:type="dxa"/>
            <w:shd w:val="clear" w:color="auto" w:fill="F2F2F2"/>
          </w:tcPr>
          <w:p w14:paraId="7190CA02">
            <w:pPr>
              <w:jc w:val="left"/>
            </w:pPr>
            <w:r>
              <w:rPr>
                <w:b/>
              </w:rPr>
              <w:t>核心命题</w:t>
            </w:r>
          </w:p>
        </w:tc>
      </w:tr>
      <w:tr w14:paraId="35633F69">
        <w:trPr>
          <w:jc w:val="center"/>
        </w:trPr>
        <w:tc>
          <w:tcPr>
            <w:tcW w:w="4156" w:type="dxa"/>
          </w:tcPr>
          <w:p w14:paraId="0EE3C20D">
            <w:pPr>
              <w:jc w:val="center"/>
            </w:pPr>
            <w:r>
              <w:rPr>
                <w:b/>
              </w:rPr>
              <w:t>A. 专业定位与产业共生</w:t>
            </w:r>
          </w:p>
        </w:tc>
        <w:tc>
          <w:tcPr>
            <w:tcW w:w="4156" w:type="dxa"/>
          </w:tcPr>
          <w:p w14:paraId="67584B73">
            <w:pPr>
              <w:jc w:val="left"/>
            </w:pPr>
            <w:r>
              <w:t>专业与产业是什么关系？</w:t>
            </w:r>
          </w:p>
        </w:tc>
      </w:tr>
      <w:tr w14:paraId="2C625AF5">
        <w:trPr>
          <w:jc w:val="center"/>
        </w:trPr>
        <w:tc>
          <w:tcPr>
            <w:tcW w:w="4156" w:type="dxa"/>
          </w:tcPr>
          <w:p w14:paraId="6061C19F">
            <w:pPr>
              <w:jc w:val="center"/>
            </w:pPr>
            <w:r>
              <w:rPr>
                <w:b/>
              </w:rPr>
              <w:t>B. 课程体系与学习体验</w:t>
            </w:r>
          </w:p>
        </w:tc>
        <w:tc>
          <w:tcPr>
            <w:tcW w:w="4156" w:type="dxa"/>
          </w:tcPr>
          <w:p w14:paraId="164E522B">
            <w:pPr>
              <w:jc w:val="left"/>
            </w:pPr>
            <w:r>
              <w:t>课程是什么样的？</w:t>
            </w:r>
          </w:p>
        </w:tc>
      </w:tr>
      <w:tr w14:paraId="3490CBAA">
        <w:trPr>
          <w:jc w:val="center"/>
        </w:trPr>
        <w:tc>
          <w:tcPr>
            <w:tcW w:w="4156" w:type="dxa"/>
          </w:tcPr>
          <w:p w14:paraId="2EA67141">
            <w:pPr>
              <w:jc w:val="center"/>
            </w:pPr>
            <w:r>
              <w:rPr>
                <w:b/>
              </w:rPr>
              <w:t>C. 教学模式与课堂形态</w:t>
            </w:r>
          </w:p>
        </w:tc>
        <w:tc>
          <w:tcPr>
            <w:tcW w:w="4156" w:type="dxa"/>
          </w:tcPr>
          <w:p w14:paraId="7D4AC67F">
            <w:pPr>
              <w:jc w:val="left"/>
            </w:pPr>
            <w:r>
              <w:t>课堂是什么样的？</w:t>
            </w:r>
          </w:p>
        </w:tc>
      </w:tr>
      <w:tr w14:paraId="1EEB9D4F">
        <w:trPr>
          <w:jc w:val="center"/>
        </w:trPr>
        <w:tc>
          <w:tcPr>
            <w:tcW w:w="4156" w:type="dxa"/>
          </w:tcPr>
          <w:p w14:paraId="50199752">
            <w:pPr>
              <w:jc w:val="center"/>
            </w:pPr>
            <w:r>
              <w:rPr>
                <w:b/>
              </w:rPr>
              <w:t>D. 教师队伍与能力结构</w:t>
            </w:r>
          </w:p>
        </w:tc>
        <w:tc>
          <w:tcPr>
            <w:tcW w:w="4156" w:type="dxa"/>
          </w:tcPr>
          <w:p w14:paraId="1B3D104C">
            <w:pPr>
              <w:jc w:val="left"/>
            </w:pPr>
            <w:r>
              <w:t>教师是什么样的？</w:t>
            </w:r>
          </w:p>
        </w:tc>
      </w:tr>
      <w:tr w14:paraId="776C883E">
        <w:trPr>
          <w:jc w:val="center"/>
        </w:trPr>
        <w:tc>
          <w:tcPr>
            <w:tcW w:w="4156" w:type="dxa"/>
          </w:tcPr>
          <w:p w14:paraId="6B7A628E">
            <w:pPr>
              <w:jc w:val="center"/>
            </w:pPr>
            <w:r>
              <w:rPr>
                <w:b/>
              </w:rPr>
              <w:t>E. 评价机制与能力认证</w:t>
            </w:r>
          </w:p>
        </w:tc>
        <w:tc>
          <w:tcPr>
            <w:tcW w:w="4156" w:type="dxa"/>
          </w:tcPr>
          <w:p w14:paraId="74ECF469">
            <w:pPr>
              <w:jc w:val="left"/>
            </w:pPr>
            <w:r>
              <w:t>怎么评价学生和教学？</w:t>
            </w:r>
          </w:p>
        </w:tc>
      </w:tr>
      <w:tr w14:paraId="65B1ACF8">
        <w:trPr>
          <w:jc w:val="center"/>
        </w:trPr>
        <w:tc>
          <w:tcPr>
            <w:tcW w:w="4156" w:type="dxa"/>
          </w:tcPr>
          <w:p w14:paraId="00BBAF12">
            <w:pPr>
              <w:jc w:val="center"/>
            </w:pPr>
            <w:r>
              <w:rPr>
                <w:b/>
              </w:rPr>
              <w:t>F. 产教生态与区域贡献</w:t>
            </w:r>
          </w:p>
        </w:tc>
        <w:tc>
          <w:tcPr>
            <w:tcW w:w="4156" w:type="dxa"/>
          </w:tcPr>
          <w:p w14:paraId="244FCB84">
            <w:pPr>
              <w:jc w:val="left"/>
            </w:pPr>
            <w:r>
              <w:t>与产业/区域的关系是什么样的？</w:t>
            </w:r>
          </w:p>
        </w:tc>
      </w:tr>
      <w:tr w14:paraId="05975A53">
        <w:trPr>
          <w:jc w:val="center"/>
        </w:trPr>
        <w:tc>
          <w:tcPr>
            <w:tcW w:w="4156" w:type="dxa"/>
          </w:tcPr>
          <w:p w14:paraId="737CF53C">
            <w:pPr>
              <w:jc w:val="center"/>
            </w:pPr>
            <w:r>
              <w:rPr>
                <w:b/>
              </w:rPr>
              <w:t>G. 学生发展与成长画像</w:t>
            </w:r>
          </w:p>
        </w:tc>
        <w:tc>
          <w:tcPr>
            <w:tcW w:w="4156" w:type="dxa"/>
          </w:tcPr>
          <w:p w14:paraId="59AB9010">
            <w:pPr>
              <w:jc w:val="left"/>
            </w:pPr>
            <w:r>
              <w:t>学生毕业后是什么样的？</w:t>
            </w:r>
          </w:p>
        </w:tc>
      </w:tr>
    </w:tbl>
    <w:p w14:paraId="2D7E67DF"/>
    <w:p w14:paraId="68ADA677">
      <w:r>
        <w:t xml:space="preserve">每个一级指标下设2-4个二级指标，每个二级指标下设2-3个三级指标，共计 </w:t>
      </w:r>
      <w:r>
        <w:rPr>
          <w:b/>
        </w:rPr>
        <w:t>59个三级指标</w:t>
      </w:r>
      <w:r>
        <w:t>。</w:t>
      </w:r>
    </w:p>
    <w:p w14:paraId="7FCE8E8B"/>
    <w:p w14:paraId="3ADA6AC6">
      <w:pPr>
        <w:pStyle w:val="169"/>
        <w:pBdr>
          <w:top w:val="single" w:color="CCCCCC" w:sz="8" w:space="0"/>
        </w:pBdr>
        <w:spacing w:after="240"/>
      </w:pPr>
    </w:p>
    <w:p w14:paraId="4581D23B"/>
    <w:p w14:paraId="38AECCEC">
      <w:pPr>
        <w:pStyle w:val="4"/>
      </w:pPr>
      <w:r>
        <w:t>A. 专业定位与产业共生</w:t>
      </w:r>
    </w:p>
    <w:p w14:paraId="28948A38"/>
    <w:p w14:paraId="2B615C33"/>
    <w:p w14:paraId="42C3A390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核心理念</w:t>
      </w:r>
      <w:r>
        <w:t>：在第四代大学中，专业不再是学科的附属品，而是产业生态的有机组成部分。专业与产业的关系不是"对接"，而是"共生"——专业从产业中获取真实的命题、场景和资源，产业从专业中获得持续的人才供给和创新动力。二者形成双向赋能、协同进化的生命体。</w:t>
      </w:r>
    </w:p>
    <w:p w14:paraId="6BF56553">
      <w:pPr>
        <w:pStyle w:val="5"/>
      </w:pPr>
      <w:r>
        <w:t>A1. 产业需求嵌入深度</w:t>
      </w:r>
    </w:p>
    <w:p w14:paraId="57CEBBE8">
      <w:pPr>
        <w:pStyle w:val="6"/>
      </w:pPr>
      <w:r>
        <w:t>A1.1 专业设置与区域产业链耦合度</w:t>
      </w:r>
    </w:p>
    <w:p w14:paraId="0A3089A5">
      <w:r>
        <w:rPr>
          <w:b/>
        </w:rPr>
        <w:t>理想状态描述</w:t>
      </w:r>
      <w:r>
        <w:t>：专业不再是学科目录中的静态条目，而是区域产业链上的活跃节点。每个专业的培养目标、知识图谱、能力模型与区域核心产业链的关键岗位群形成精确映射，且这种映射不是静态的文档对应，而是通过常态化的人才需求信号、技术演进趋势、企业发展规划等多源数据实现动态校准。专业的边界不再由学科划分决定，而是由产业问题的边界自然划定。</w:t>
      </w:r>
    </w:p>
    <w:p w14:paraId="72C34154">
      <w:r>
        <w:rPr>
          <w:b/>
        </w:rPr>
        <w:t>核心观测点</w:t>
      </w:r>
      <w:r>
        <w:t>：</w:t>
      </w:r>
    </w:p>
    <w:p w14:paraId="428B82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专业培养目标与区域产业关键岗位群的能力要求映射精度</w:t>
      </w:r>
    </w:p>
    <w:p w14:paraId="7DEC2C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产业需求变化传导至专业培养方案调整的时滞</w:t>
      </w:r>
    </w:p>
    <w:p w14:paraId="40D8D81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专业群与产业链的结构性匹配度</w:t>
      </w:r>
    </w:p>
    <w:p w14:paraId="5B2C17D5">
      <w:r>
        <w:rPr>
          <w:b/>
        </w:rPr>
        <w:t>参考度量方式</w:t>
      </w:r>
      <w:r>
        <w:t>：</w:t>
      </w:r>
    </w:p>
    <w:p w14:paraId="3C8A9D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产业关键岗位能力模型与专业毕业要求的映射覆盖率≥90%，且每季度动态更新</w:t>
      </w:r>
    </w:p>
    <w:p w14:paraId="3F79A3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产业端发起的培养方案调整需求响应周期≤1个学期</w:t>
      </w:r>
    </w:p>
    <w:p w14:paraId="6F48D2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毕业生进入产业链核心岗位群的比例≥70%</w:t>
      </w:r>
    </w:p>
    <w:p w14:paraId="563362DC">
      <w:pPr>
        <w:pStyle w:val="6"/>
      </w:pPr>
      <w:r>
        <w:t>A1.2 产业趋势预判与前瞻布局能力</w:t>
      </w:r>
    </w:p>
    <w:p w14:paraId="60CB49EF">
      <w:r>
        <w:rPr>
          <w:b/>
        </w:rPr>
        <w:t>理想状态描述</w:t>
      </w:r>
      <w:r>
        <w:t>：专业不仅回应当下的产业需求，更具备对未来3-5年产业变迁的前瞻判断与提前布局能力。这种前瞻不是少数专家的主观预测，而是建立在产业大数据监测、企业技术路线图追踪、区域经济规划深度解读等系统化能力之上的战略预判。当新产业方向出现萌芽时，专业能够在6-12个月内完成课程模块的重组响应。</w:t>
      </w:r>
    </w:p>
    <w:p w14:paraId="10591362">
      <w:r>
        <w:rPr>
          <w:b/>
        </w:rPr>
        <w:t>核心观测点</w:t>
      </w:r>
      <w:r>
        <w:t>：</w:t>
      </w:r>
    </w:p>
    <w:p w14:paraId="10686BB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产业技术演进监测与预警机制的健全度</w:t>
      </w:r>
    </w:p>
    <w:p w14:paraId="71ABC49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新兴方向课程模块的前瞻布局覆盖率</w:t>
      </w:r>
    </w:p>
    <w:p w14:paraId="094093D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从产业趋势识别到教学资源落地的转化速度</w:t>
      </w:r>
    </w:p>
    <w:p w14:paraId="1159CE01">
      <w:r>
        <w:rPr>
          <w:b/>
        </w:rPr>
        <w:t>参考度量方式</w:t>
      </w:r>
      <w:r>
        <w:t>：</w:t>
      </w:r>
    </w:p>
    <w:p w14:paraId="5C66702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建立覆盖区域核心产业的常态化监测机制，每季度输出产业演进简报</w:t>
      </w:r>
    </w:p>
    <w:p w14:paraId="18469F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面向未来3-5年新兴方向的课程模块储备覆盖率≥80%</w:t>
      </w:r>
    </w:p>
    <w:p w14:paraId="49B821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新方向从识别到可开课的周期≤9个月</w:t>
      </w:r>
    </w:p>
    <w:p w14:paraId="5FD5BADB">
      <w:pPr>
        <w:pStyle w:val="6"/>
      </w:pPr>
      <w:r>
        <w:t>A1.3 产业技术迭代同步能力</w:t>
      </w:r>
    </w:p>
    <w:p w14:paraId="0DD6A9A3">
      <w:r>
        <w:rPr>
          <w:b/>
        </w:rPr>
        <w:t>理想状态描述</w:t>
      </w:r>
      <w:r>
        <w:t>：专业教学内容与产业技术前沿保持高频同步，而非滞后追赶。AI工具链、行业平台、企业级开发环境等产业一线的技术基础设施，以不超过一个版本的时差进入教学体系。产业技术升级不再触发"教学改革运动"，而是成为课程迭代的自然节律。</w:t>
      </w:r>
    </w:p>
    <w:p w14:paraId="5210E147">
      <w:r>
        <w:rPr>
          <w:b/>
        </w:rPr>
        <w:t>核心观测点</w:t>
      </w:r>
      <w:r>
        <w:t>：</w:t>
      </w:r>
    </w:p>
    <w:p w14:paraId="257E7F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教学工具/平台与产业主流技术的版本同步率</w:t>
      </w:r>
    </w:p>
    <w:p w14:paraId="1FE9BF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产业技术标准融入课程内容的渗透度</w:t>
      </w:r>
    </w:p>
    <w:p w14:paraId="40E60F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课程内容年度迭代率</w:t>
      </w:r>
    </w:p>
    <w:p w14:paraId="4219F8A3">
      <w:r>
        <w:rPr>
          <w:b/>
        </w:rPr>
        <w:t>参考度量方式</w:t>
      </w:r>
      <w:r>
        <w:t>：</w:t>
      </w:r>
    </w:p>
    <w:p w14:paraId="1C6F0F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核心课程使用的工具/平台与产业主流版本差距≤1个版本</w:t>
      </w:r>
    </w:p>
    <w:p w14:paraId="2BAE888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产业技术标准/规范融入课程内容的比例≥60%</w:t>
      </w:r>
    </w:p>
    <w:p w14:paraId="605253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核心课程年度内容更新率≥30%</w:t>
      </w:r>
    </w:p>
    <w:p w14:paraId="379C7C5A">
      <w:pPr>
        <w:pStyle w:val="169"/>
        <w:pBdr>
          <w:top w:val="single" w:color="CCCCCC" w:sz="8" w:space="0"/>
        </w:pBdr>
        <w:spacing w:after="240"/>
      </w:pPr>
    </w:p>
    <w:p w14:paraId="555D9B0E">
      <w:pPr>
        <w:pStyle w:val="5"/>
      </w:pPr>
      <w:r>
        <w:t>A2. 学科专业一体化效能</w:t>
      </w:r>
    </w:p>
    <w:p w14:paraId="26E86670">
      <w:pPr>
        <w:pStyle w:val="6"/>
      </w:pPr>
      <w:r>
        <w:t>A2.1 学科建设对专业的支撑转化度</w:t>
      </w:r>
    </w:p>
    <w:p w14:paraId="4841F237">
      <w:r>
        <w:rPr>
          <w:b/>
        </w:rPr>
        <w:t>理想状态描述</w:t>
      </w:r>
      <w:r>
        <w:t>：学科建设不再是独立的科研指标竞赛，而是专业建设的底层能力供给系统。科研成果以可教学的转化形式（案例、实验、项目、工具）系统性地注入课程体系，学科前沿动态成为课堂教学的鲜活素材。学科的价值不取决于论文数量，而取决于它对专业教学质量的实际提升贡献。</w:t>
      </w:r>
    </w:p>
    <w:p w14:paraId="14C7FFD6">
      <w:r>
        <w:rPr>
          <w:b/>
        </w:rPr>
        <w:t>核心观测点</w:t>
      </w:r>
      <w:r>
        <w:t>：</w:t>
      </w:r>
    </w:p>
    <w:p w14:paraId="72D576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科研成果向教学资源的转化率</w:t>
      </w:r>
    </w:p>
    <w:p w14:paraId="0832B5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学科前沿内容融入课程的比例</w:t>
      </w:r>
    </w:p>
    <w:p w14:paraId="1BDC03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教师科研经历对学生能力培养的溢出效应</w:t>
      </w:r>
    </w:p>
    <w:p w14:paraId="4A56F187">
      <w:r>
        <w:rPr>
          <w:b/>
        </w:rPr>
        <w:t>参考度量方式</w:t>
      </w:r>
      <w:r>
        <w:t>：</w:t>
      </w:r>
    </w:p>
    <w:p w14:paraId="16122B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省部级以上科研项目转化为教学案例/实验/项目的比例≥50%</w:t>
      </w:r>
    </w:p>
    <w:p w14:paraId="06012B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专业课程中融入学科前沿内容的课时占比≥40%</w:t>
      </w:r>
    </w:p>
    <w:p w14:paraId="584672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本科生参与科研项目或接触科研成果转化的比例≥80%</w:t>
      </w:r>
    </w:p>
    <w:p w14:paraId="7BDB5EE8">
      <w:pPr>
        <w:pStyle w:val="6"/>
      </w:pPr>
      <w:r>
        <w:t>A2.2 跨学科融合与问题解决能力</w:t>
      </w:r>
    </w:p>
    <w:p w14:paraId="5BA17E18">
      <w:r>
        <w:rPr>
          <w:b/>
        </w:rPr>
        <w:t>真实世界的问题从不按学科边界排列。</w:t>
      </w:r>
      <w:r>
        <w:t xml:space="preserve"> 理想状态下，专业打破学科壁垒，围绕区域发展中的真实问题构建跨学科课程模块和项目平台。学生不是在"学多个学科"，而是在"用多学科工具解决一个问题"。跨学科融合不是拼盘式的课程叠加，而是以问题为牵引的深度整合。</w:t>
      </w:r>
    </w:p>
    <w:p w14:paraId="11BA47EE">
      <w:r>
        <w:rPr>
          <w:b/>
        </w:rPr>
        <w:t>核心观测点</w:t>
      </w:r>
      <w:r>
        <w:t>：</w:t>
      </w:r>
    </w:p>
    <w:p w14:paraId="668171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跨学科课程/项目的设计成熟度</w:t>
      </w:r>
    </w:p>
    <w:p w14:paraId="62E7F9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跨学科教学团队的协作深度</w:t>
      </w:r>
    </w:p>
    <w:p w14:paraId="1FE8A8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学生跨学科问题解决能力的达成水平</w:t>
      </w:r>
    </w:p>
    <w:p w14:paraId="26D23F52">
      <w:r>
        <w:rPr>
          <w:b/>
        </w:rPr>
        <w:t>参考度量方式</w:t>
      </w:r>
      <w:r>
        <w:t>：</w:t>
      </w:r>
    </w:p>
    <w:p w14:paraId="2D6133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以真实问题为导向的跨学科课程/项目模块≥3个/专业</w:t>
      </w:r>
    </w:p>
    <w:p w14:paraId="77A4C9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跨学科教学团队（含产业导师）实质性协作的项目覆盖率≥60%</w:t>
      </w:r>
    </w:p>
    <w:p w14:paraId="52C7217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学生毕业时至少完成2个跨学科综合项目</w:t>
      </w:r>
    </w:p>
    <w:p w14:paraId="4F4473A5">
      <w:pPr>
        <w:pStyle w:val="169"/>
        <w:pBdr>
          <w:top w:val="single" w:color="CCCCCC" w:sz="8" w:space="0"/>
        </w:pBdr>
        <w:spacing w:after="240"/>
      </w:pPr>
    </w:p>
    <w:p w14:paraId="6AC83520">
      <w:pPr>
        <w:pStyle w:val="5"/>
      </w:pPr>
      <w:r>
        <w:t>A3. 差异化定位清晰度</w:t>
      </w:r>
    </w:p>
    <w:p w14:paraId="559C1837">
      <w:pPr>
        <w:pStyle w:val="6"/>
      </w:pPr>
      <w:r>
        <w:t>A3.1 赛道辨识度</w:t>
      </w:r>
    </w:p>
    <w:p w14:paraId="60E151A1">
      <w:r>
        <w:rPr>
          <w:b/>
        </w:rPr>
        <w:t>理想状态描述</w:t>
      </w:r>
      <w:r>
        <w:t>：每个专业在区域高等教育生态中拥有清晰的差异化定位，不与研究型大学在学术赛道上同质竞争，不与职业院校在技能训练上简单对标。专业在"应用创新"这一独特赛道上形成了鲜明的品牌标识——产业界一提到某个领域，就能联想到这个专业。</w:t>
      </w:r>
    </w:p>
    <w:p w14:paraId="06D700DC">
      <w:r>
        <w:rPr>
          <w:b/>
        </w:rPr>
        <w:t>核心观测点</w:t>
      </w:r>
      <w:r>
        <w:t>：</w:t>
      </w:r>
    </w:p>
    <w:p w14:paraId="26D49E0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专业定位与区域同类院校专业的差异度</w:t>
      </w:r>
    </w:p>
    <w:p w14:paraId="5FA4743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产业界对专业品牌的认知度</w:t>
      </w:r>
    </w:p>
    <w:p w14:paraId="160E52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专业特色方向的聚焦度</w:t>
      </w:r>
    </w:p>
    <w:p w14:paraId="619C071D">
      <w:r>
        <w:rPr>
          <w:b/>
        </w:rPr>
        <w:t>参考度量方式</w:t>
      </w:r>
      <w:r>
        <w:t>：</w:t>
      </w:r>
    </w:p>
    <w:p w14:paraId="6BC9B00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专业核心培养方向的差异化特征被区域产业合作方明确认可（通过企业调研验证）</w:t>
      </w:r>
    </w:p>
    <w:p w14:paraId="554600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专业在特定细分领域形成≥2个标志性成果（技术方案/标准/品牌活动等）</w:t>
      </w:r>
    </w:p>
    <w:p w14:paraId="78D4C7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产业合作方主动提及"选择该专业合作"的核心理由与专业定位高度一致</w:t>
      </w:r>
    </w:p>
    <w:p w14:paraId="6A8BC3CE">
      <w:pPr>
        <w:pStyle w:val="6"/>
      </w:pPr>
      <w:r>
        <w:t>A3.2 不可替代性</w:t>
      </w:r>
    </w:p>
    <w:p w14:paraId="1A15DD59">
      <w:r>
        <w:rPr>
          <w:b/>
        </w:rPr>
        <w:t>理想状态描述</w:t>
      </w:r>
      <w:r>
        <w:t>：专业对区域发展的贡献具有不可替代性——如果该专业消失，区域产业链中会出现明确的人才缺口或技术空白。这种不可替代性不是来自行政垄断，而是来自专业在特定领域积累的深厚能力、独特的产教融合模式和持续的价值输出。</w:t>
      </w:r>
    </w:p>
    <w:p w14:paraId="6E97F202">
      <w:r>
        <w:rPr>
          <w:b/>
        </w:rPr>
        <w:t>核心观测点</w:t>
      </w:r>
      <w:r>
        <w:t>：</w:t>
      </w:r>
    </w:p>
    <w:p w14:paraId="66302C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专业在区域人才供给中的独特贡献度</w:t>
      </w:r>
    </w:p>
    <w:p w14:paraId="2D6355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区域产业对专业的依赖程度</w:t>
      </w:r>
    </w:p>
    <w:p w14:paraId="08255C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专业输出的不可替代成果</w:t>
      </w:r>
    </w:p>
    <w:p w14:paraId="4504E659">
      <w:r>
        <w:rPr>
          <w:b/>
        </w:rPr>
        <w:t>参考度量方式</w:t>
      </w:r>
      <w:r>
        <w:t>：</w:t>
      </w:r>
    </w:p>
    <w:p w14:paraId="454D2A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区域核心产业中该专业毕业生占据关键岗位的比例具有显著优势</w:t>
      </w:r>
    </w:p>
    <w:p w14:paraId="5E0DF1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≥3家区域龙头企业将专业列为核心人才来源</w:t>
      </w:r>
    </w:p>
    <w:p w14:paraId="448314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专业为区域提供技术服务/咨询/标准制定等不可替代贡献≥3项/年</w:t>
      </w:r>
    </w:p>
    <w:p w14:paraId="27CC9B3C">
      <w:pPr>
        <w:pStyle w:val="169"/>
        <w:pBdr>
          <w:top w:val="single" w:color="CCCCCC" w:sz="8" w:space="0"/>
        </w:pBdr>
        <w:spacing w:after="240"/>
      </w:pPr>
    </w:p>
    <w:p w14:paraId="6F23FC03">
      <w:pPr>
        <w:pStyle w:val="5"/>
      </w:pPr>
      <w:r>
        <w:t>A4. 产业前瞻与引领力</w:t>
      </w:r>
    </w:p>
    <w:p w14:paraId="68CECAD9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核心理念</w:t>
      </w:r>
      <w:r>
        <w:t>：现代大学服务于当下产业需求，第四代大学的根本跃迁在于</w:t>
      </w:r>
      <w:r>
        <w:rPr>
          <w:b/>
        </w:rPr>
        <w:t>引领产业走向未来</w:t>
      </w:r>
      <w:r>
        <w:t>。这意味着专业不仅要回应产业"今天需要什么"，更要提前判断产业"明天会走向哪里"，在某些方向上超前于企业，与企业共同定义下一代技术路线和行业标准。这是第四代大学区别于现代大学的核心标志。</w:t>
      </w:r>
    </w:p>
    <w:p w14:paraId="1BDCD3BF">
      <w:pPr>
        <w:pStyle w:val="6"/>
      </w:pPr>
      <w:r>
        <w:t>A4.1 产业趋势预判与战略布局</w:t>
      </w:r>
    </w:p>
    <w:p w14:paraId="112E1A78">
      <w:r>
        <w:rPr>
          <w:b/>
        </w:rPr>
        <w:t>理想状态描述</w:t>
      </w:r>
      <w:r>
        <w:t>：专业具备系统化的产业技术演进监测能力，不仅跟踪当下需求，更能提前2-3年识别关键技术方向，并主动将前沿判断转化为课程布局。这种预判不是少数专家的主观推测，而是建立在产业大数据监测、技术路线图追踪、区域经济规划深度解读之上的制度化能力。专业输出的趋势判断报告能获得区域头部企业的认可和引用。</w:t>
      </w:r>
    </w:p>
    <w:p w14:paraId="3A827917">
      <w:r>
        <w:rPr>
          <w:b/>
        </w:rPr>
        <w:t>核心观测点</w:t>
      </w:r>
      <w:r>
        <w:t>：</w:t>
      </w:r>
    </w:p>
    <w:p w14:paraId="6CBA2B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产业技术演进监测机制的健全度与制度化水平</w:t>
      </w:r>
    </w:p>
    <w:p w14:paraId="0F7420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趋势预判的准确率与产业认可度</w:t>
      </w:r>
    </w:p>
    <w:p w14:paraId="4F51A3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预判成果向课程布局的转化速度</w:t>
      </w:r>
    </w:p>
    <w:p w14:paraId="0CEE594A">
      <w:r>
        <w:rPr>
          <w:b/>
        </w:rPr>
        <w:t>参考度量方式</w:t>
      </w:r>
      <w:r>
        <w:t>：</w:t>
      </w:r>
    </w:p>
    <w:p w14:paraId="205C07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建立覆盖核心产业的常态化监测机制，每季度输出产业演进趋势简报</w:t>
      </w:r>
    </w:p>
    <w:p w14:paraId="5CCF66B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近3年预判的关键技术方向中获得产业验证的比例≥70%</w:t>
      </w:r>
    </w:p>
    <w:p w14:paraId="6F9FF6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从趋势识别到课程模块上线周期≤9个月</w:t>
      </w:r>
    </w:p>
    <w:p w14:paraId="6F414746">
      <w:pPr>
        <w:pStyle w:val="6"/>
      </w:pPr>
      <w:r>
        <w:t>A4.2 与企业共建未来方向</w:t>
      </w:r>
    </w:p>
    <w:p w14:paraId="2F3085B0">
      <w:r>
        <w:rPr>
          <w:b/>
        </w:rPr>
        <w:t>理想状态描述</w:t>
      </w:r>
      <w:r>
        <w:t>：专业与头部企业不是"甲方乙方"的委托关系，而是"共同探路"的伙伴关系。双方共建联合实验室或未来技术中心，共同定义下一代技术路线、行业标准或人才培养规格。企业在专业中看到的不只是"人才供应商"，而是"技术路线共创者"——企业的研发方向、技术选型、标准制定，会主动征求专业教师的专业判断。</w:t>
      </w:r>
    </w:p>
    <w:p w14:paraId="18C7EA4C">
      <w:r>
        <w:rPr>
          <w:b/>
        </w:rPr>
        <w:t>核心观测点</w:t>
      </w:r>
      <w:r>
        <w:t>：</w:t>
      </w:r>
    </w:p>
    <w:p w14:paraId="3B1B80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与企业共建的未来技术研发平台数量与深度</w:t>
      </w:r>
    </w:p>
    <w:p w14:paraId="25C918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专业教师参与行业标准/技术路线制定的程度</w:t>
      </w:r>
    </w:p>
    <w:p w14:paraId="386F68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企业对专业前瞻判断的依赖度</w:t>
      </w:r>
    </w:p>
    <w:p w14:paraId="2B137A6D">
      <w:r>
        <w:rPr>
          <w:b/>
        </w:rPr>
        <w:t>参考度量方式</w:t>
      </w:r>
      <w:r>
        <w:t>：</w:t>
      </w:r>
    </w:p>
    <w:p w14:paraId="3D38B1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与≥2家头部企业建立联合实验室/未来技术中心</w:t>
      </w:r>
    </w:p>
    <w:p w14:paraId="080003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专业教师近3年参与行业标准/技术白皮书/路线图制定≥3项</w:t>
      </w:r>
    </w:p>
    <w:p w14:paraId="7D5093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≥3家企业将专业的技术趋势判断纳入自身战略决策参考</w:t>
      </w:r>
    </w:p>
    <w:p w14:paraId="59B6EE69">
      <w:pPr>
        <w:pStyle w:val="6"/>
      </w:pPr>
      <w:r>
        <w:t>A4.3 超前人才培养设计</w:t>
      </w:r>
    </w:p>
    <w:p w14:paraId="584809BC">
      <w:r>
        <w:rPr>
          <w:b/>
        </w:rPr>
        <w:t>理想状态描述</w:t>
      </w:r>
      <w:r>
        <w:t>：专业设置面向未来3-5年产业需求的前瞻性课程模块，培养学生在产业尚未成熟时就能定义问题、构建方案的能力。这些课程不是"等产业需求明确了再开设"，而是"在产业需求出现之前就已经在培养对应人才"。毕业生不仅能够适应产业变革，更能成为推动产业变革的种子力量。</w:t>
      </w:r>
    </w:p>
    <w:p w14:paraId="19DEEAF8">
      <w:r>
        <w:rPr>
          <w:b/>
        </w:rPr>
        <w:t>核心观测点</w:t>
      </w:r>
      <w:r>
        <w:t>：</w:t>
      </w:r>
    </w:p>
    <w:p w14:paraId="0BBC70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前瞻性课程模块的覆盖面和更新频率</w:t>
      </w:r>
    </w:p>
    <w:p w14:paraId="4DF173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学生在产业新兴领域中定义问题、构建方案的能力表现</w:t>
      </w:r>
    </w:p>
    <w:p w14:paraId="520B03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毕业生在产业变革中的引领作用</w:t>
      </w:r>
    </w:p>
    <w:p w14:paraId="38624213">
      <w:r>
        <w:rPr>
          <w:b/>
        </w:rPr>
        <w:t>参考度量方式</w:t>
      </w:r>
      <w:r>
        <w:t>：</w:t>
      </w:r>
    </w:p>
    <w:p w14:paraId="443022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面向未来3-5年新兴方向的前瞻课程模块≥3个</w:t>
      </w:r>
    </w:p>
    <w:p w14:paraId="303F52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前瞻课程模块每年基于产业演进趋势更新≥30%内容</w:t>
      </w:r>
    </w:p>
    <w:p w14:paraId="60E2C8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毕业5年内成为企业技术转型骨干/创新项目负责人的比例显著高于同类专业</w:t>
      </w:r>
    </w:p>
    <w:p w14:paraId="0525B169">
      <w:pPr>
        <w:pStyle w:val="169"/>
        <w:pBdr>
          <w:top w:val="single" w:color="CCCCCC" w:sz="8" w:space="0"/>
        </w:pBdr>
        <w:spacing w:after="240"/>
      </w:pPr>
    </w:p>
    <w:p w14:paraId="4379ECCC">
      <w:pPr>
        <w:pStyle w:val="4"/>
      </w:pPr>
      <w:r>
        <w:t>B. 课程体系与学习体验</w:t>
      </w:r>
    </w:p>
    <w:p w14:paraId="5134A85F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核心理念</w:t>
      </w:r>
      <w:r>
        <w:t>：第四代大学的课程体系经历了一场结构性重构。知识传授不再是课堂的核心任务——AI可以高效完成这一工作。课堂的价值在于那些AI无法替代的部分：提出问题的能力、在信息洪流中判断真伪的能力、在不确定性中创造意义的能力。课程从"教什么"的清单，变为"怎么成长"的生态。</w:t>
      </w:r>
    </w:p>
    <w:p w14:paraId="662AD182">
      <w:pPr>
        <w:pStyle w:val="5"/>
      </w:pPr>
      <w:r>
        <w:t>B1. 三层课程架构成熟度</w:t>
      </w:r>
    </w:p>
    <w:p w14:paraId="33934187">
      <w:pPr>
        <w:pStyle w:val="6"/>
      </w:pPr>
      <w:r>
        <w:t>B1.1 底层——AI赋能知识习得效率</w:t>
      </w:r>
    </w:p>
    <w:p w14:paraId="3CD66520">
      <w:r>
        <w:rPr>
          <w:b/>
        </w:rPr>
        <w:t>理想状态描述</w:t>
      </w:r>
      <w:r>
        <w:t>：知识性内容全面实现AI辅助的个性化传授。每个学生按照自己的节奏、基础和认知特点，通过AI系统完成知识学习。课堂时间不再用于"讲授知识"，而是释放给更高阶的能力培养。知识习得的效率不再是瓶颈，学生可以在更短时间内完成更扎实的知识准备。</w:t>
      </w:r>
    </w:p>
    <w:p w14:paraId="44C4CBAC">
      <w:r>
        <w:rPr>
          <w:b/>
        </w:rPr>
        <w:t>核心观测点</w:t>
      </w:r>
      <w:r>
        <w:t>：</w:t>
      </w:r>
    </w:p>
    <w:p w14:paraId="780065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AI辅助知识学习系统的覆盖率与完善度</w:t>
      </w:r>
    </w:p>
    <w:p w14:paraId="70775AE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学生知识习得的效率与质量</w:t>
      </w:r>
    </w:p>
    <w:p w14:paraId="24C3172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课堂时间向高阶能力培养的释放程度</w:t>
      </w:r>
    </w:p>
    <w:p w14:paraId="1F6B8464">
      <w:r>
        <w:rPr>
          <w:b/>
        </w:rPr>
        <w:t>参考度量方式</w:t>
      </w:r>
      <w:r>
        <w:t>：</w:t>
      </w:r>
    </w:p>
    <w:p w14:paraId="53C1CA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核心课程AI辅助学习系统覆盖率≥90%</w:t>
      </w:r>
    </w:p>
    <w:p w14:paraId="1A5014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学生基础知识达标率≥95%，且达标时间差异缩小至±20%</w:t>
      </w:r>
    </w:p>
    <w:p w14:paraId="4A6E06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课堂时间中用于高阶能力培养（讨论、项目、探究）的比例≥70%</w:t>
      </w:r>
    </w:p>
    <w:p w14:paraId="4112E354">
      <w:pPr>
        <w:pStyle w:val="6"/>
      </w:pPr>
      <w:r>
        <w:t>B1.2 中层——能力培养课堂深度</w:t>
      </w:r>
    </w:p>
    <w:p w14:paraId="020DFE92">
      <w:r>
        <w:rPr>
          <w:b/>
        </w:rPr>
        <w:t>理想状态描述</w:t>
      </w:r>
      <w:r>
        <w:t>：课堂教学聚焦于AI无法替代的核心能力——提出问题的能力、判断信息真伪与筛选价值的能力、创造意义的能力。每一堂课都不是知识的搬运，而是思维的训练场。课堂上弥漫着真实的智力挑战，学生在"不知道答案"的真实情境中学会如何思考、如何提问、如何在不确定性中前行。</w:t>
      </w:r>
    </w:p>
    <w:p w14:paraId="6BF96E24">
      <w:r>
        <w:rPr>
          <w:b/>
        </w:rPr>
        <w:t>核心观测点</w:t>
      </w:r>
      <w:r>
        <w:t>：</w:t>
      </w:r>
    </w:p>
    <w:p w14:paraId="3E56A8C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提问能力培养的系统性与深度</w:t>
      </w:r>
    </w:p>
    <w:p w14:paraId="7B085D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信息判断力培养的渗透度</w:t>
      </w:r>
    </w:p>
    <w:p w14:paraId="504D9BD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创造力与意义创造能力的培养成效</w:t>
      </w:r>
    </w:p>
    <w:p w14:paraId="212AACF1">
      <w:r>
        <w:rPr>
          <w:b/>
        </w:rPr>
        <w:t>参考度量方式</w:t>
      </w:r>
      <w:r>
        <w:t>：</w:t>
      </w:r>
    </w:p>
    <w:p w14:paraId="56EF34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课程设计中明确包含"提出问题"训练环节的占比≥80%</w:t>
      </w:r>
    </w:p>
    <w:p w14:paraId="7E0296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课程中涉及信息甄别、来源验证、多源比对等判断力训练的比例≥60%</w:t>
      </w:r>
    </w:p>
    <w:p w14:paraId="12D795C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学生毕业作品/项目中原创性解决方案的占比≥70%</w:t>
      </w:r>
    </w:p>
    <w:p w14:paraId="730861B1">
      <w:pPr>
        <w:pStyle w:val="6"/>
      </w:pPr>
      <w:r>
        <w:t>B1.3 顶层——价值引领与人格塑造</w:t>
      </w:r>
    </w:p>
    <w:p w14:paraId="6DAA0D65">
      <w:r>
        <w:rPr>
          <w:b/>
        </w:rPr>
        <w:t>理想状态描述</w:t>
      </w:r>
      <w:r>
        <w:t>：师生之间面对面的价值传递成为教育中最珍贵的部分。课堂不仅是能力的训练场，更是价值观的碰撞场。教师通过自身的学术品格、职业态度、人生智慧，在真实的互动中影响学生——这是任何AI都无法复制的教育瞬间。学生在学习专业知识的同时，形成对职业伦理、社会责任、人生意义的自觉思考。</w:t>
      </w:r>
    </w:p>
    <w:p w14:paraId="70FDBD14">
      <w:r>
        <w:rPr>
          <w:b/>
        </w:rPr>
        <w:t>核心观测点</w:t>
      </w:r>
      <w:r>
        <w:t>：</w:t>
      </w:r>
    </w:p>
    <w:p w14:paraId="048AB0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价值引领融入专业教学的深度与自然度</w:t>
      </w:r>
    </w:p>
    <w:p w14:paraId="7474258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师生深度互动的频次与质量</w:t>
      </w:r>
    </w:p>
    <w:p w14:paraId="75FDB3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学生职业伦理与社会责任感的成熟度</w:t>
      </w:r>
    </w:p>
    <w:p w14:paraId="2B651DD0">
      <w:r>
        <w:rPr>
          <w:b/>
        </w:rPr>
        <w:t>参考度量方式</w:t>
      </w:r>
      <w:r>
        <w:t>：</w:t>
      </w:r>
    </w:p>
    <w:p w14:paraId="5DA97E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专业课程中自然融入职业伦理/社会责任讨论的比例≥60%</w:t>
      </w:r>
    </w:p>
    <w:p w14:paraId="00FE31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每位学生每学期与专业教师进行≥3次深度交流（非课堂事务性交流）</w:t>
      </w:r>
    </w:p>
    <w:p w14:paraId="120ECF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毕业生职业伦理认知测评达标率≥90%</w:t>
      </w:r>
    </w:p>
    <w:p w14:paraId="0BDBEC3F">
      <w:pPr>
        <w:pStyle w:val="169"/>
        <w:pBdr>
          <w:top w:val="single" w:color="CCCCCC" w:sz="8" w:space="0"/>
        </w:pBdr>
        <w:spacing w:after="240"/>
      </w:pPr>
    </w:p>
    <w:p w14:paraId="0DA56DA6">
      <w:pPr>
        <w:pStyle w:val="5"/>
      </w:pPr>
      <w:r>
        <w:t>B2. 课程场景化水平</w:t>
      </w:r>
    </w:p>
    <w:p w14:paraId="666520D1">
      <w:pPr>
        <w:pStyle w:val="6"/>
      </w:pPr>
      <w:r>
        <w:t>B2.1 知识-场景绑定度</w:t>
      </w:r>
    </w:p>
    <w:p w14:paraId="1D5F12C0">
      <w:r>
        <w:rPr>
          <w:b/>
        </w:rPr>
        <w:t>理想状态描述</w:t>
      </w:r>
      <w:r>
        <w:t>：所有核心知识的教授都锚定在真实的应用场景中。学生不是在抽象的知识体系中"迷失"，而是在解决真实问题的过程中"遇见"知识。每一个知识点的学习都有明确的场景载体——"为什么学"和"学来干什么"不再是教师需要额外解释的问题，而是课程设计的内在逻辑。</w:t>
      </w:r>
    </w:p>
    <w:p w14:paraId="5CB66427">
      <w:r>
        <w:rPr>
          <w:b/>
        </w:rPr>
        <w:t>核心观测点</w:t>
      </w:r>
      <w:r>
        <w:t>：</w:t>
      </w:r>
    </w:p>
    <w:p w14:paraId="2D5398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课程内容的场景化设计覆盖率</w:t>
      </w:r>
    </w:p>
    <w:p w14:paraId="12FA84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场景的真实性与复杂度等级</w:t>
      </w:r>
    </w:p>
    <w:p w14:paraId="6DBF4C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知识-场景映射的系统性</w:t>
      </w:r>
    </w:p>
    <w:p w14:paraId="5EB7A0B2">
      <w:r>
        <w:rPr>
          <w:b/>
        </w:rPr>
        <w:t>参考度量方式</w:t>
      </w:r>
      <w:r>
        <w:t>：</w:t>
      </w:r>
    </w:p>
    <w:p w14:paraId="63809DE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核心课程中绑定真实应用场景的教学模块占比≥90%</w:t>
      </w:r>
    </w:p>
    <w:p w14:paraId="002B00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场景来源覆盖企业真实项目、社区实际问题、行业真实案例的比例≥70%</w:t>
      </w:r>
    </w:p>
    <w:p w14:paraId="622570A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每门核心课程具备完整的知识-场景映射文档并动态更新</w:t>
      </w:r>
    </w:p>
    <w:p w14:paraId="588708A9">
      <w:pPr>
        <w:pStyle w:val="6"/>
      </w:pPr>
      <w:r>
        <w:t>B2.2 真实项目覆盖率</w:t>
      </w:r>
    </w:p>
    <w:p w14:paraId="1B3C03D7">
      <w:r>
        <w:rPr>
          <w:b/>
        </w:rPr>
        <w:t>理想状态描述</w:t>
      </w:r>
      <w:r>
        <w:t>：学生的核心学习经历中，来自真实项目的比例占据主导。所谓"真实"，意味着项目有真实的客户（而非教师模拟）、真实的约束条件（时间、成本、质量）、真实的交付标准和真实的评价反馈。学生在真实项目中体验"做出来的东西真的有人用"的责任感和成就感。</w:t>
      </w:r>
    </w:p>
    <w:p w14:paraId="47A593BF">
      <w:r>
        <w:rPr>
          <w:b/>
        </w:rPr>
        <w:t>核心观测点</w:t>
      </w:r>
      <w:r>
        <w:t>：</w:t>
      </w:r>
    </w:p>
    <w:p w14:paraId="226F06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真实项目在教学中的覆盖广度</w:t>
      </w:r>
    </w:p>
    <w:p w14:paraId="15DD315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项目的真实性等级</w:t>
      </w:r>
    </w:p>
    <w:p w14:paraId="0A70EE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真实项目对学生综合能力提升的贡献度</w:t>
      </w:r>
    </w:p>
    <w:p w14:paraId="2ED5F829">
      <w:r>
        <w:rPr>
          <w:b/>
        </w:rPr>
        <w:t>参考度量方式</w:t>
      </w:r>
      <w:r>
        <w:t>：</w:t>
      </w:r>
    </w:p>
    <w:p w14:paraId="4AD0841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高年级核心课程中真实项目占比≥70%</w:t>
      </w:r>
    </w:p>
    <w:p w14:paraId="36C2A7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真实项目具备真实客户/场景/约束/评价四要素的完整度≥80%</w:t>
      </w:r>
    </w:p>
    <w:p w14:paraId="099F86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学生参与真实项目后能力自评与师评的显著提升率≥85%</w:t>
      </w:r>
    </w:p>
    <w:p w14:paraId="08520C9C">
      <w:pPr>
        <w:pStyle w:val="169"/>
        <w:pBdr>
          <w:top w:val="single" w:color="CCCCCC" w:sz="8" w:space="0"/>
        </w:pBdr>
        <w:spacing w:after="240"/>
      </w:pPr>
    </w:p>
    <w:p w14:paraId="67D21113">
      <w:pPr>
        <w:pStyle w:val="5"/>
      </w:pPr>
      <w:r>
        <w:t>B3. 学习个性化程度</w:t>
      </w:r>
    </w:p>
    <w:p w14:paraId="47264E98">
      <w:pPr>
        <w:pStyle w:val="6"/>
      </w:pPr>
      <w:r>
        <w:t>B3.1 AI驱动个性化学习路径</w:t>
      </w:r>
    </w:p>
    <w:p w14:paraId="1CF2AAE7">
      <w:r>
        <w:rPr>
          <w:b/>
        </w:rPr>
        <w:t>理想状态描述</w:t>
      </w:r>
      <w:r>
        <w:t>：每位学生拥有AI驱动的个性化学习画像和自适应路径推荐。系统根据学生的知识基础、学习风格、能力发展目标、兴趣方向，动态调整学习内容的难度、顺序和方式。"因材施教"从理想变为日常——每个学生走的路不同，但都能到达高质量的能力目标。</w:t>
      </w:r>
    </w:p>
    <w:p w14:paraId="4BBACB19">
      <w:r>
        <w:rPr>
          <w:b/>
        </w:rPr>
        <w:t>核心观测点</w:t>
      </w:r>
      <w:r>
        <w:t>：</w:t>
      </w:r>
    </w:p>
    <w:p w14:paraId="0E440D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个性化学习系统的智能化水平</w:t>
      </w:r>
    </w:p>
    <w:p w14:paraId="3EA356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学生学习路径的差异化程度</w:t>
      </w:r>
    </w:p>
    <w:p w14:paraId="0CC92E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个性化支持对学习效果的提升度</w:t>
      </w:r>
    </w:p>
    <w:p w14:paraId="18AB4C68">
      <w:r>
        <w:rPr>
          <w:b/>
        </w:rPr>
        <w:t>参考度量方式</w:t>
      </w:r>
      <w:r>
        <w:t>：</w:t>
      </w:r>
    </w:p>
    <w:p w14:paraId="5E1888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学生个性化学习画像覆盖率100%，且画像维度≥5个</w:t>
      </w:r>
    </w:p>
    <w:p w14:paraId="5A9C8F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同一班级学生实际学习路径的差异化率≥60%</w:t>
      </w:r>
    </w:p>
    <w:p w14:paraId="140455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使用个性化系统的学生在能力达成度上显著优于传统方式（对比验证）</w:t>
      </w:r>
    </w:p>
    <w:p w14:paraId="6A35DD00">
      <w:pPr>
        <w:pStyle w:val="6"/>
      </w:pPr>
      <w:r>
        <w:t>B3.2 学习自主权与自驱力</w:t>
      </w:r>
    </w:p>
    <w:p w14:paraId="4C0971BB">
      <w:r>
        <w:rPr>
          <w:b/>
        </w:rPr>
        <w:t>理想状态描述</w:t>
      </w:r>
      <w:r>
        <w:t>：学生不再是被动接受课程安排的"容器"，而是主动规划学习旅程的"探索者"。在核心能力框架的约束下，学生拥有充分的学习选择权——选择学什么（模块选修）、怎么学（方式自选）、何时学（节奏自定）、跟谁学（团队自组）。自驱力不是靠纪律维持，而是被真实问题和内在兴趣自然激发。</w:t>
      </w:r>
    </w:p>
    <w:p w14:paraId="1963C40E">
      <w:r>
        <w:rPr>
          <w:b/>
        </w:rPr>
        <w:t>核心观测点</w:t>
      </w:r>
      <w:r>
        <w:t>：</w:t>
      </w:r>
    </w:p>
    <w:p w14:paraId="0089BD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学生在学习选择上的自由度与制度保障</w:t>
      </w:r>
    </w:p>
    <w:p w14:paraId="57C76A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学生自驱学习的行为表现</w:t>
      </w:r>
    </w:p>
    <w:p w14:paraId="78DF8C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个性化选择与能力达成的正向关联</w:t>
      </w:r>
    </w:p>
    <w:p w14:paraId="3EE79F07">
      <w:r>
        <w:rPr>
          <w:b/>
        </w:rPr>
        <w:t>参考度量方式</w:t>
      </w:r>
      <w:r>
        <w:t>：</w:t>
      </w:r>
    </w:p>
    <w:p w14:paraId="196AA4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学生可自主选择的学习内容占总学分的比例≥30%</w:t>
      </w:r>
    </w:p>
    <w:p w14:paraId="456738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学生主动发起的学习活动（课外项目、竞赛、探究等）参与率≥80%</w:t>
      </w:r>
    </w:p>
    <w:p w14:paraId="5AD08F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自主选择度高的学生在创新能力指标上显著优于低自主组</w:t>
      </w:r>
    </w:p>
    <w:p w14:paraId="5C8D0CA4">
      <w:pPr>
        <w:pStyle w:val="169"/>
        <w:pBdr>
          <w:top w:val="single" w:color="CCCCCC" w:sz="8" w:space="0"/>
        </w:pBdr>
        <w:spacing w:after="240"/>
      </w:pPr>
    </w:p>
    <w:p w14:paraId="31D79736">
      <w:pPr>
        <w:pStyle w:val="5"/>
      </w:pPr>
      <w:r>
        <w:t>B4. 课程开放性与迭代性</w:t>
      </w:r>
    </w:p>
    <w:p w14:paraId="738BA178">
      <w:pPr>
        <w:pStyle w:val="6"/>
      </w:pPr>
      <w:r>
        <w:t>B4.1 课程内容动态迭代机制</w:t>
      </w:r>
    </w:p>
    <w:p w14:paraId="157F8BA7">
      <w:r>
        <w:rPr>
          <w:b/>
        </w:rPr>
        <w:t>理想状态描述</w:t>
      </w:r>
      <w:r>
        <w:t>：课程不是写在教学大纲里的静态文本，而是持续进化的生命体。每一门课程都有明确的迭代节奏、迭代的触发机制（产业变化、技术更新、学生反馈、评价数据）和迭代的质量保障流程。课程内容的新鲜度不是依赖教师的个人自觉，而是有制度化的保障。</w:t>
      </w:r>
    </w:p>
    <w:p w14:paraId="2E3F5AE5">
      <w:r>
        <w:rPr>
          <w:b/>
        </w:rPr>
        <w:t>核心观测点</w:t>
      </w:r>
      <w:r>
        <w:t>：</w:t>
      </w:r>
    </w:p>
    <w:p w14:paraId="0A550D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课程迭代的制度化程度</w:t>
      </w:r>
    </w:p>
    <w:p w14:paraId="2B64F2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迭代的触发源多样性</w:t>
      </w:r>
    </w:p>
    <w:p w14:paraId="2C794D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迭代后教学效果的验证闭环</w:t>
      </w:r>
    </w:p>
    <w:p w14:paraId="5C7EB6F1">
      <w:r>
        <w:rPr>
          <w:b/>
        </w:rPr>
        <w:t>参考度量方式</w:t>
      </w:r>
      <w:r>
        <w:t>：</w:t>
      </w:r>
    </w:p>
    <w:p w14:paraId="74B880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所有核心课程具备年度迭代审查与更新机制，覆盖率100%</w:t>
      </w:r>
    </w:p>
    <w:p w14:paraId="716EC2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课程迭代触发源≥3类（产业需求、学生评价、教师反思、评价数据等）</w:t>
      </w:r>
    </w:p>
    <w:p w14:paraId="54EA24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每次迭代后有效果验证与反馈闭环的比例≥90%</w:t>
      </w:r>
    </w:p>
    <w:p w14:paraId="4676F923">
      <w:pPr>
        <w:pStyle w:val="6"/>
      </w:pPr>
      <w:r>
        <w:t>B4.2 外部资源融合度</w:t>
      </w:r>
    </w:p>
    <w:p w14:paraId="729C88BD">
      <w:r>
        <w:rPr>
          <w:b/>
        </w:rPr>
        <w:t>理想状态描述</w:t>
      </w:r>
      <w:r>
        <w:t>：课程不是一座封闭的花园，而是一条开放的河流。企业工程师的实战分享、行业前沿的技术讲座、国际优质课程的学分互认、开源社区的项目实践——外部优质资源以制度化的方式融入课程体系，而非作为偶尔点缀的"客串"。</w:t>
      </w:r>
    </w:p>
    <w:p w14:paraId="5B1324CA">
      <w:r>
        <w:rPr>
          <w:b/>
        </w:rPr>
        <w:t>核心观测点</w:t>
      </w:r>
      <w:r>
        <w:t>：</w:t>
      </w:r>
    </w:p>
    <w:p w14:paraId="42F2DA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外部资源进入课程的渠道多元化程度</w:t>
      </w:r>
    </w:p>
    <w:p w14:paraId="6B09AC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外部资源融入课程内容的深度</w:t>
      </w:r>
    </w:p>
    <w:p w14:paraId="7D854A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学生获取外部学习资源的便利度</w:t>
      </w:r>
    </w:p>
    <w:p w14:paraId="2FDC80EF">
      <w:r>
        <w:rPr>
          <w:b/>
        </w:rPr>
        <w:t>参考度量方式</w:t>
      </w:r>
      <w:r>
        <w:t>：</w:t>
      </w:r>
    </w:p>
    <w:p w14:paraId="052763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核心课程中引入外部资源（企业导师、行业案例、开源项目等）的比例≥80%</w:t>
      </w:r>
    </w:p>
    <w:p w14:paraId="66C884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外部资源从"讲座点缀"到"课程有机组成"的深度融入比例≥50%</w:t>
      </w:r>
    </w:p>
    <w:p w14:paraId="5C634E2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学生可便捷获取的外部学习平台/资源≥10个</w:t>
      </w:r>
    </w:p>
    <w:p w14:paraId="00DCEC46">
      <w:pPr>
        <w:pStyle w:val="169"/>
        <w:pBdr>
          <w:top w:val="single" w:color="CCCCCC" w:sz="8" w:space="0"/>
        </w:pBdr>
        <w:spacing w:after="240"/>
      </w:pPr>
    </w:p>
    <w:p w14:paraId="2997D382">
      <w:pPr>
        <w:pStyle w:val="4"/>
      </w:pPr>
      <w:r>
        <w:t>C. 教学模式与课堂形态</w:t>
      </w:r>
    </w:p>
    <w:p w14:paraId="3E1D8A0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核心理念</w:t>
      </w:r>
      <w:r>
        <w:t>：第四代大学的课堂经历了一场深刻的"身份危机"后获得了重生。当AI可以比任何教师更高效地传授知识时，课堂存在的理由必须被重新定义。答案在于：课堂的价值不在于"教知识"，而在于"教人"——在真实的互动中培养那些AI无法给予的能力：提出好问题的勇气、面对不确定性的判断力、创造意义的想象力。课堂从"信息传递的场所"变为"智慧生长的土壤"。</w:t>
      </w:r>
    </w:p>
    <w:p w14:paraId="6E295941">
      <w:pPr>
        <w:pStyle w:val="5"/>
      </w:pPr>
      <w:r>
        <w:t>C1. 人机协同教学成熟度</w:t>
      </w:r>
    </w:p>
    <w:p w14:paraId="14DFBB22">
      <w:pPr>
        <w:pStyle w:val="6"/>
      </w:pPr>
      <w:r>
        <w:t>C1.1 AI教师与真人教师协同水平</w:t>
      </w:r>
    </w:p>
    <w:p w14:paraId="6296A386">
      <w:r>
        <w:rPr>
          <w:b/>
        </w:rPr>
        <w:t>理想状态描述</w:t>
      </w:r>
      <w:r>
        <w:t>：AI与真人教师形成了高效、自然的协同分工。AI承担知识传授、练习反馈、学情诊断等"教知识"的工作，且做得比任何单一教师都更精准、更耐心、更个性化。真人教师从知识讲授中解放出来，专注于AI无法替代的部分——引导讨论、激发思考、传递价值观、提供情感支持、组织协作。两者不是替代关系，而是互补共生。</w:t>
      </w:r>
    </w:p>
    <w:p w14:paraId="5AC7E742">
      <w:r>
        <w:rPr>
          <w:b/>
        </w:rPr>
        <w:t>核心观测点</w:t>
      </w:r>
      <w:r>
        <w:t>：</w:t>
      </w:r>
    </w:p>
    <w:p w14:paraId="0E557C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AI与真人教师的教学分工清晰度与合理性</w:t>
      </w:r>
    </w:p>
    <w:p w14:paraId="7B0CDF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协同教学的流畅度与师生体验</w:t>
      </w:r>
    </w:p>
    <w:p w14:paraId="61420A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协同模式对学生学习效果的实际提升</w:t>
      </w:r>
    </w:p>
    <w:p w14:paraId="165090A0">
      <w:r>
        <w:rPr>
          <w:b/>
        </w:rPr>
        <w:t>参考度量方式</w:t>
      </w:r>
      <w:r>
        <w:t>：</w:t>
      </w:r>
    </w:p>
    <w:p w14:paraId="3984F5B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核心课程实现AI-真人协同教学分工的比例≥80%</w:t>
      </w:r>
    </w:p>
    <w:p w14:paraId="432F32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学生对协同教学模式满意度≥85%</w:t>
      </w:r>
    </w:p>
    <w:p w14:paraId="16BE87F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协同教学班级在能力评估指标上优于传统教学班级≥15%</w:t>
      </w:r>
    </w:p>
    <w:p w14:paraId="66C3780F">
      <w:pPr>
        <w:pStyle w:val="6"/>
      </w:pPr>
      <w:r>
        <w:t>C1.2 AI教学工具的深度融合度</w:t>
      </w:r>
    </w:p>
    <w:p w14:paraId="04D9D3E1">
      <w:r>
        <w:rPr>
          <w:b/>
        </w:rPr>
        <w:t>理想状态描述</w:t>
      </w:r>
      <w:r>
        <w:t>：AI不是课堂上的"附加设备"，而是教学流程的内在组成部分。从课前预习的个性化推送、课中的实时互动与反馈、课后的自适应练习与评估，AI深度嵌入教学全流程。教师不觉得在使用"技术"，就像我们打电话时不觉得在使用"技术"一样自然。</w:t>
      </w:r>
    </w:p>
    <w:p w14:paraId="5CA7C62D">
      <w:r>
        <w:rPr>
          <w:b/>
        </w:rPr>
        <w:t>核心观测点</w:t>
      </w:r>
      <w:r>
        <w:t>：</w:t>
      </w:r>
    </w:p>
    <w:p w14:paraId="5B2934D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AI工具在教学全流程中的渗透度</w:t>
      </w:r>
    </w:p>
    <w:p w14:paraId="2E1BFF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教师AI工具使用的自然度与熟练度</w:t>
      </w:r>
    </w:p>
    <w:p w14:paraId="36596A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AI工具对教学质量提升的可测量贡献</w:t>
      </w:r>
    </w:p>
    <w:p w14:paraId="2212A1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校级AI教学基础设施的完备度与课程渗透率</w:t>
      </w:r>
    </w:p>
    <w:p w14:paraId="7A26170C">
      <w:r>
        <w:rPr>
          <w:b/>
        </w:rPr>
        <w:t>参考度量方式</w:t>
      </w:r>
      <w:r>
        <w:t>：</w:t>
      </w:r>
    </w:p>
    <w:p w14:paraId="0007B51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AI工具覆盖教学全流程（课前、课中、课后）的课程占比≥70%</w:t>
      </w:r>
    </w:p>
    <w:p w14:paraId="4AA4EB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教师常态化使用AI教学工具的比例≥90%</w:t>
      </w:r>
    </w:p>
    <w:p w14:paraId="1D076E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AI工具引入后教学效率/效果的提升可量化≥20%</w:t>
      </w:r>
    </w:p>
    <w:p w14:paraId="04EF1A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建成校级统一AI教学平台（课程资源中心、课程知识图谱、课程智能助手/智能学伴等），核心课程接入并常态化使用的比例≥60%</w:t>
      </w:r>
    </w:p>
    <w:p w14:paraId="30624459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标杆参照</w:t>
      </w:r>
      <w:r>
        <w:t>：上海科技大学建成校级AI辅助教学平台：录播系统自动生成语音文本、翻译、课件切片、摘要与热词云；多模态教学资源中心汇聚培养方案、大纲、直播录播、文献与开源工具；并支持教师为每门课构建知识图谱和课程智能助手（如《高等材料学》《普通化学》《高等数学》等已落地7×24小时答疑、个性化资源推荐）。应用型本科可避免"教师各自找工具"的碎片化，优先建设统一的资源中心与课程助手底座。</w:t>
      </w:r>
    </w:p>
    <w:p w14:paraId="2D834048">
      <w:pPr>
        <w:pStyle w:val="169"/>
        <w:pBdr>
          <w:top w:val="single" w:color="CCCCCC" w:sz="8" w:space="0"/>
        </w:pBdr>
        <w:spacing w:after="240"/>
      </w:pPr>
    </w:p>
    <w:p w14:paraId="13ED8BA3">
      <w:pPr>
        <w:pStyle w:val="5"/>
      </w:pPr>
      <w:r>
        <w:t>C2. 课堂能力培养深度</w:t>
      </w:r>
    </w:p>
    <w:p w14:paraId="7D9BFCAF">
      <w:pPr>
        <w:pStyle w:val="6"/>
      </w:pPr>
      <w:r>
        <w:t>C2.1 提问能力培养体系</w:t>
      </w:r>
    </w:p>
    <w:p w14:paraId="38EB4A04">
      <w:r>
        <w:rPr>
          <w:b/>
        </w:rPr>
        <w:t>理想状态描述</w:t>
      </w:r>
      <w:r>
        <w:t>：课堂从"回答问题"的训练场转变为"提出问题"的训练营。教师不再以"能不能答对"评价学生，而是以"能不能问出好问题"来衡量思维的深度。学生学会区分好问题与坏问题、表面问题与深层问题、已被回答的问题与值得追问的问题。提问能力成为所有课程的底层训练目标。</w:t>
      </w:r>
    </w:p>
    <w:p w14:paraId="2EE36E0E">
      <w:r>
        <w:rPr>
          <w:b/>
        </w:rPr>
        <w:t>核心观测点</w:t>
      </w:r>
      <w:r>
        <w:t>：</w:t>
      </w:r>
    </w:p>
    <w:p w14:paraId="0A6717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提问能力在课程设计中的系统性嵌入</w:t>
      </w:r>
    </w:p>
    <w:p w14:paraId="7AC0091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学生提问质量的进阶水平</w:t>
      </w:r>
    </w:p>
    <w:p w14:paraId="235D2D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提问能力评估的常态化程度</w:t>
      </w:r>
    </w:p>
    <w:p w14:paraId="31044AA6">
      <w:r>
        <w:rPr>
          <w:b/>
        </w:rPr>
        <w:t>参考度量方式</w:t>
      </w:r>
      <w:r>
        <w:t>：</w:t>
      </w:r>
    </w:p>
    <w:p w14:paraId="5E7246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≥80%的核心课程设计了结构化的"提问训练"环节</w:t>
      </w:r>
    </w:p>
    <w:p w14:paraId="24716A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学生从入学到毕业，提问质量（深度、角度、原创性）呈可观测的进阶趋势</w:t>
      </w:r>
    </w:p>
    <w:p w14:paraId="52B504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提问能力纳入学生能力档案，且评价维度≥3个</w:t>
      </w:r>
    </w:p>
    <w:p w14:paraId="075CFE7D">
      <w:pPr>
        <w:pStyle w:val="6"/>
      </w:pPr>
      <w:r>
        <w:t>C2.2 判断力与批判性思维培养</w:t>
      </w:r>
    </w:p>
    <w:p w14:paraId="4B281879">
      <w:r>
        <w:rPr>
          <w:b/>
        </w:rPr>
        <w:t>理想状态描述</w:t>
      </w:r>
      <w:r>
        <w:t>：信息过剩时代最稀缺的能力不是获取信息，而是判断信息的真伪、评估信息的价值、识别信息的偏见。课堂成为判断力训练的主阵地——学生面对相互矛盾的信息、不完整的数据、有偏见的论述，学会独立思考、理性判断。标准答案不再是课堂的终极追求，多解性、开放性、不确定性成为教学设计的常态。</w:t>
      </w:r>
    </w:p>
    <w:p w14:paraId="34069637">
      <w:r>
        <w:rPr>
          <w:b/>
        </w:rPr>
        <w:t>核心观测点</w:t>
      </w:r>
      <w:r>
        <w:t>：</w:t>
      </w:r>
    </w:p>
    <w:p w14:paraId="164983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批判性思维训练在课程中的渗透度</w:t>
      </w:r>
    </w:p>
    <w:p w14:paraId="4E6A84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开放性/不确定性问题的教学设计水平</w:t>
      </w:r>
    </w:p>
    <w:p w14:paraId="5CC72E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学生判断力水平的可观测提升</w:t>
      </w:r>
    </w:p>
    <w:p w14:paraId="6398B29B">
      <w:r>
        <w:rPr>
          <w:b/>
        </w:rPr>
        <w:t>参考度量方式</w:t>
      </w:r>
      <w:r>
        <w:t>：</w:t>
      </w:r>
    </w:p>
    <w:p w14:paraId="479B35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核心课程中包含信息甄别/多源比对/偏见识别等训练的比例≥70%</w:t>
      </w:r>
    </w:p>
    <w:p w14:paraId="5EE4E6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课程考核中开放性问题、多解性问题的占比≥50%</w:t>
      </w:r>
    </w:p>
    <w:p w14:paraId="4BDDF4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学生批判性思维标准化测评达标率≥80%</w:t>
      </w:r>
    </w:p>
    <w:p w14:paraId="7316CB09">
      <w:pPr>
        <w:pStyle w:val="6"/>
      </w:pPr>
      <w:r>
        <w:t>C2.3 创造力与意义创造能力培养</w:t>
      </w:r>
    </w:p>
    <w:p w14:paraId="20C6BD9C">
      <w:r>
        <w:rPr>
          <w:b/>
        </w:rPr>
        <w:t>理想状态描述</w:t>
      </w:r>
      <w:r>
        <w:t>：课堂不仅培养"解决问题"的能力，更培养"定义问题"和"创造意义"的能力。AI可以回答任何问题，但它不知道为什么人类需要诗歌、为什么一首歌能让人流泪、为什么一个设计能改变生活方式。课堂要培养的，正是这种在AI的"能力盲区"中绽放的人类独特能力——赋予事物意义、创造新的价值、做出有温度的判断。</w:t>
      </w:r>
    </w:p>
    <w:p w14:paraId="40102C40">
      <w:r>
        <w:rPr>
          <w:b/>
        </w:rPr>
        <w:t>核心观测点</w:t>
      </w:r>
      <w:r>
        <w:t>：</w:t>
      </w:r>
    </w:p>
    <w:p w14:paraId="70F3D31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创造力培养在课程设计中的系统地位</w:t>
      </w:r>
    </w:p>
    <w:p w14:paraId="58D25B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学生创造性产出的质量与数量</w:t>
      </w:r>
    </w:p>
    <w:p w14:paraId="109386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"意义创造"在教学中的体现深度</w:t>
      </w:r>
    </w:p>
    <w:p w14:paraId="5226C1E2">
      <w:r>
        <w:rPr>
          <w:b/>
        </w:rPr>
        <w:t>参考度量方式</w:t>
      </w:r>
      <w:r>
        <w:t>：</w:t>
      </w:r>
    </w:p>
    <w:p w14:paraId="7265E9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核心课程中培养学生创造性产出的环节覆盖率≥80%</w:t>
      </w:r>
    </w:p>
    <w:p w14:paraId="0B2E4E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学生毕业前产生≥2项具有实际价值的创造性成果（作品/方案/产品/论文等）</w:t>
      </w:r>
    </w:p>
    <w:p w14:paraId="5C4DC0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课程设计中包含"意义追问"环节（为什么做这件事？对谁有价值？）的比例≥60%</w:t>
      </w:r>
    </w:p>
    <w:p w14:paraId="7479F535">
      <w:pPr>
        <w:pStyle w:val="169"/>
        <w:pBdr>
          <w:top w:val="single" w:color="CCCCCC" w:sz="8" w:space="0"/>
        </w:pBdr>
        <w:spacing w:after="240"/>
      </w:pPr>
    </w:p>
    <w:p w14:paraId="72782CAA">
      <w:pPr>
        <w:pStyle w:val="5"/>
      </w:pPr>
      <w:r>
        <w:t>C3. 教学场景开放性</w:t>
      </w:r>
    </w:p>
    <w:p w14:paraId="47BBFB20">
      <w:pPr>
        <w:pStyle w:val="6"/>
      </w:pPr>
      <w:r>
        <w:t>C3.1 真实场景教学比例</w:t>
      </w:r>
    </w:p>
    <w:p w14:paraId="4EA3B498">
      <w:r>
        <w:rPr>
          <w:b/>
        </w:rPr>
        <w:t>理想状态描述</w:t>
      </w:r>
      <w:r>
        <w:t>：教室的围墙被打破。相当比例的教学发生在真实的产业现场、社区空间、田野一线。学生不是在模拟的环境中"练习"，而是在真实的场景中"实战"。教学场景的开放性不是偶尔的参观考察，而是课程设计的内在要求——某些课程必须在真实场景中才能完成。</w:t>
      </w:r>
    </w:p>
    <w:p w14:paraId="28C8D2D1">
      <w:r>
        <w:rPr>
          <w:b/>
        </w:rPr>
        <w:t>核心观测点</w:t>
      </w:r>
      <w:r>
        <w:t>：</w:t>
      </w:r>
    </w:p>
    <w:p w14:paraId="01C7B2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在真实场景（非传统教室）中完成的教学比例</w:t>
      </w:r>
    </w:p>
    <w:p w14:paraId="6BD6B1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真实场景教学的质量保障机制</w:t>
      </w:r>
    </w:p>
    <w:p w14:paraId="502D77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真实场景对学生能力培养的独特贡献</w:t>
      </w:r>
    </w:p>
    <w:p w14:paraId="3ABE2915">
      <w:r>
        <w:rPr>
          <w:b/>
        </w:rPr>
        <w:t>参考度量方式</w:t>
      </w:r>
      <w:r>
        <w:t>：</w:t>
      </w:r>
    </w:p>
    <w:p w14:paraId="3FA437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高年级专业课程中在真实场景完成的教学比例≥40%</w:t>
      </w:r>
    </w:p>
    <w:p w14:paraId="37F418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真实场景教学具备完整的教学设计、过程指导和效果评估的比例≥85%</w:t>
      </w:r>
    </w:p>
    <w:p w14:paraId="0CE29F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学生在真实场景教学中的能力成长度显著高于传统课堂</w:t>
      </w:r>
    </w:p>
    <w:p w14:paraId="4BE24474">
      <w:pPr>
        <w:pStyle w:val="6"/>
      </w:pPr>
      <w:r>
        <w:t>C3.2 跨界学习空间利用率</w:t>
      </w:r>
    </w:p>
    <w:p w14:paraId="0BCBF83B">
      <w:r>
        <w:rPr>
          <w:b/>
        </w:rPr>
        <w:t>理想状态描述</w:t>
      </w:r>
      <w:r>
        <w:t>：校园空间从"教室+实验室"的二元结构，转变为支持多元学习方式的复合空间生态。创客空间、协作工坊、项目路演厅、产业实景基地、社区服务站等跨界学习空间成为教学的主战场，而非点缀。空间的灵活性支撑教学形式的多样性。</w:t>
      </w:r>
    </w:p>
    <w:p w14:paraId="5BA9C0BB">
      <w:r>
        <w:rPr>
          <w:b/>
        </w:rPr>
        <w:t>核心观测点</w:t>
      </w:r>
      <w:r>
        <w:t>：</w:t>
      </w:r>
    </w:p>
    <w:p w14:paraId="632977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跨界学习空间的类型多样性与数量充足度</w:t>
      </w:r>
    </w:p>
    <w:p w14:paraId="522D75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跨界空间的使用频率与教学质量</w:t>
      </w:r>
    </w:p>
    <w:p w14:paraId="6E5E46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空间对教学创新的支撑度</w:t>
      </w:r>
    </w:p>
    <w:p w14:paraId="62D84E68">
      <w:r>
        <w:rPr>
          <w:b/>
        </w:rPr>
        <w:t>参考度量方式</w:t>
      </w:r>
      <w:r>
        <w:t>：</w:t>
      </w:r>
    </w:p>
    <w:p w14:paraId="544B06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校园内跨界学习空间类型≥5种，生均面积≥2㎡</w:t>
      </w:r>
    </w:p>
    <w:p w14:paraId="11C7EFA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跨界空间周均使用率≥70%</w:t>
      </w:r>
    </w:p>
    <w:p w14:paraId="29EF5B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教师认为跨界空间对教学效果有显著提升的比例≥75%</w:t>
      </w:r>
    </w:p>
    <w:p w14:paraId="024D2408">
      <w:pPr>
        <w:pStyle w:val="169"/>
        <w:pBdr>
          <w:top w:val="single" w:color="CCCCCC" w:sz="8" w:space="0"/>
        </w:pBdr>
        <w:spacing w:after="240"/>
      </w:pPr>
    </w:p>
    <w:p w14:paraId="0C3DED3E">
      <w:pPr>
        <w:pStyle w:val="5"/>
      </w:pPr>
      <w:r>
        <w:t>C4. 课堂产出有效性</w:t>
      </w:r>
    </w:p>
    <w:p w14:paraId="70917AD5">
      <w:pPr>
        <w:pStyle w:val="6"/>
      </w:pPr>
      <w:r>
        <w:t>C4.1 课堂即时产出率</w:t>
      </w:r>
    </w:p>
    <w:p w14:paraId="3DF220F0">
      <w:r>
        <w:rPr>
          <w:b/>
        </w:rPr>
        <w:t>理想状态描述</w:t>
      </w:r>
      <w:r>
        <w:t>：每一节课都有明确可见的产出——不是抄在笔记本上的知识点，而是学生创造的、可见的成果。可以是一段代码、一个方案、一份分析报告、一个原型、一段辩论记录。"只讲不做"的课堂被彻底淘汰。课堂的价值不取决于教师讲了多少，而取决于学生做出了多少。</w:t>
      </w:r>
    </w:p>
    <w:p w14:paraId="047F9A8F">
      <w:r>
        <w:rPr>
          <w:b/>
        </w:rPr>
        <w:t>核心观测点</w:t>
      </w:r>
      <w:r>
        <w:t>：</w:t>
      </w:r>
    </w:p>
    <w:p w14:paraId="58AB0AD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有明确可见产出的课堂比例</w:t>
      </w:r>
    </w:p>
    <w:p w14:paraId="637D9D1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产出的多样性与质量</w:t>
      </w:r>
    </w:p>
    <w:p w14:paraId="0986EB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产出与能力目标的对应度</w:t>
      </w:r>
    </w:p>
    <w:p w14:paraId="48A630E4">
      <w:r>
        <w:rPr>
          <w:b/>
        </w:rPr>
        <w:t>参考度量方式</w:t>
      </w:r>
      <w:r>
        <w:t>：</w:t>
      </w:r>
    </w:p>
    <w:p w14:paraId="276265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有明确可见学生产出的课堂比例≥90%</w:t>
      </w:r>
    </w:p>
    <w:p w14:paraId="3CA1E5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课堂产出形式≥5种（代码/方案/原型/报告/演示等）</w:t>
      </w:r>
    </w:p>
    <w:p w14:paraId="023EA14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产出与课程能力目标的对应度经评审达标≥85%</w:t>
      </w:r>
    </w:p>
    <w:p w14:paraId="46A7AE92">
      <w:pPr>
        <w:pStyle w:val="6"/>
      </w:pPr>
      <w:r>
        <w:t>C4.2 过程性成果积累质量</w:t>
      </w:r>
    </w:p>
    <w:p w14:paraId="526193E7">
      <w:r>
        <w:rPr>
          <w:b/>
        </w:rPr>
        <w:t>理想状态描述</w:t>
      </w:r>
      <w:r>
        <w:t>：学生的学习不再以期末考试为唯一成果出口，而是在整个学习过程中持续积累高质量的成果集。每一次课堂产出、每一个项目成果、每一份反思日志，都构成学生能力档案的有机组成。评价不再依赖一次考试的"快照"，而是基于全过程的"长卷"。</w:t>
      </w:r>
    </w:p>
    <w:p w14:paraId="41E10874">
      <w:r>
        <w:rPr>
          <w:b/>
        </w:rPr>
        <w:t>核心观测点</w:t>
      </w:r>
      <w:r>
        <w:t>：</w:t>
      </w:r>
    </w:p>
    <w:p w14:paraId="6D23EE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过程性成果积累的系统性与完整性</w:t>
      </w:r>
    </w:p>
    <w:p w14:paraId="1EB5CE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成果集的质量与多样性</w:t>
      </w:r>
    </w:p>
    <w:p w14:paraId="66A099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过程性成果在评价中的权重</w:t>
      </w:r>
    </w:p>
    <w:p w14:paraId="4CD3B072">
      <w:r>
        <w:rPr>
          <w:b/>
        </w:rPr>
        <w:t>参考度量方式</w:t>
      </w:r>
      <w:r>
        <w:t>：</w:t>
      </w:r>
    </w:p>
    <w:p w14:paraId="00B98C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每位学生每学期形成可追溯的过程性成果≥20项</w:t>
      </w:r>
    </w:p>
    <w:p w14:paraId="414195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成果集中包含≥3种不同类型的成果</w:t>
      </w:r>
    </w:p>
    <w:p w14:paraId="0BB698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过程性成果占总评价权重≥60%</w:t>
      </w:r>
    </w:p>
    <w:p w14:paraId="1AEE8276">
      <w:pPr>
        <w:pStyle w:val="169"/>
        <w:pBdr>
          <w:top w:val="single" w:color="CCCCCC" w:sz="8" w:space="0"/>
        </w:pBdr>
        <w:spacing w:after="240"/>
      </w:pPr>
    </w:p>
    <w:p w14:paraId="07C4D2D5">
      <w:pPr>
        <w:pStyle w:val="4"/>
      </w:pPr>
      <w:r>
        <w:t>D. 教师队伍与能力结构</w:t>
      </w:r>
    </w:p>
    <w:p w14:paraId="2E39D85C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核心理念</w:t>
      </w:r>
      <w:r>
        <w:t>：第四代大学中，教师的角色经历了一场深刻的"重生"。当AI承担了知识传授的功能后，教师不再是"知识搬运工"，而是回归了教育的本真角色——"灵魂的工程师"。教师的核心价值不在于"讲得好"，而在于"在场"：看见每一个学生、点燃他们的热情、传递用AI无法编码的智慧与温度。这是对教师更高的期待，也是对教师更大的解放。</w:t>
      </w:r>
    </w:p>
    <w:p w14:paraId="624E8BB7">
      <w:pPr>
        <w:pStyle w:val="5"/>
      </w:pPr>
      <w:r>
        <w:t>D1. 教师角色转型深度</w:t>
      </w:r>
    </w:p>
    <w:p w14:paraId="0F62B20E">
      <w:pPr>
        <w:pStyle w:val="6"/>
      </w:pPr>
      <w:r>
        <w:t>D1.1 从知识传授者到学习引导者</w:t>
      </w:r>
    </w:p>
    <w:p w14:paraId="40C8CF6D">
      <w:r>
        <w:rPr>
          <w:b/>
        </w:rPr>
        <w:t>理想状态描述</w:t>
      </w:r>
      <w:r>
        <w:t>：教师已完成从"知识搬运工"到"成长引导者"的角色蜕变。教师不再以"讲了多少"衡量自己的教学投入，而是以"学生成长了多少"来评估教学成效。教师的核心能力不再是"讲清楚"，而是"问得好"——善于用问题引导学生思考、用情境激发学生探索、用反馈帮助学生校准方向。</w:t>
      </w:r>
    </w:p>
    <w:p w14:paraId="2B036CB4">
      <w:r>
        <w:rPr>
          <w:b/>
        </w:rPr>
        <w:t>核心观测点</w:t>
      </w:r>
      <w:r>
        <w:t>：</w:t>
      </w:r>
    </w:p>
    <w:p w14:paraId="4592616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教师教学行为中"引导"vs"讲授"的比例</w:t>
      </w:r>
    </w:p>
    <w:p w14:paraId="36F966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教师对学习引导能力的自我认知与实际水平</w:t>
      </w:r>
    </w:p>
    <w:p w14:paraId="77A277C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学生对教师引导作用的感知评价</w:t>
      </w:r>
    </w:p>
    <w:p w14:paraId="60AACC18">
      <w:r>
        <w:rPr>
          <w:b/>
        </w:rPr>
        <w:t>参考度量方式</w:t>
      </w:r>
      <w:r>
        <w:t>：</w:t>
      </w:r>
    </w:p>
    <w:p w14:paraId="055330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课堂观察中教师"引导行为"（提问、反馈、组织讨论等）占比≥70%</w:t>
      </w:r>
    </w:p>
    <w:p w14:paraId="63570C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教师学习引导能力评估达标率≥90%</w:t>
      </w:r>
    </w:p>
    <w:p w14:paraId="32D219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学生对教师"帮助我学会思考"的评价≥4.2/5分</w:t>
      </w:r>
    </w:p>
    <w:p w14:paraId="0714F6A2">
      <w:pPr>
        <w:pStyle w:val="6"/>
      </w:pPr>
      <w:r>
        <w:t>D1.2 教师"在场"能力</w:t>
      </w:r>
    </w:p>
    <w:p w14:paraId="0BA70F9C">
      <w:r>
        <w:rPr>
          <w:b/>
        </w:rPr>
        <w:t>理想状态描述</w:t>
      </w:r>
      <w:r>
        <w:t>：教师最珍贵的能力不是"讲得好"，而是"在得深"——真正看见学生、理解学生的困惑与潜力、在关键时刻给予恰到好处的点拨。这种"在场"不是物理意义上的同在，而是教育意义上的深度连接。教师能感知到学生的迷茫并适时介入，能发现学生的闪光点并加以放大，能在学生即将放弃时点燃继续前行的勇气。</w:t>
      </w:r>
    </w:p>
    <w:p w14:paraId="2DF6AF73">
      <w:r>
        <w:rPr>
          <w:b/>
        </w:rPr>
        <w:t>核心观测点</w:t>
      </w:r>
      <w:r>
        <w:t>：</w:t>
      </w:r>
    </w:p>
    <w:p w14:paraId="2CE101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师生深度互动（一对一指导、个性化反馈）的频次</w:t>
      </w:r>
    </w:p>
    <w:p w14:paraId="2A53E2C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教师对学生个体差异的识别与回应能力</w:t>
      </w:r>
    </w:p>
    <w:p w14:paraId="6FCC96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学生在教师"在场"影响下的成长可观测度</w:t>
      </w:r>
    </w:p>
    <w:p w14:paraId="3E824244">
      <w:r>
        <w:rPr>
          <w:b/>
        </w:rPr>
        <w:t>参考度量方式</w:t>
      </w:r>
      <w:r>
        <w:t>：</w:t>
      </w:r>
    </w:p>
    <w:p w14:paraId="3C5C95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每位教师每学期与学生进行一对一深度交流≥30人次</w:t>
      </w:r>
    </w:p>
    <w:p w14:paraId="328999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教师能准确描述每位所指导学生的能力特征与发展方向</w:t>
      </w:r>
    </w:p>
    <w:p w14:paraId="10D1D5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学生在成长反思中明确提及教师关键影响的案例≥2次/人/学期</w:t>
      </w:r>
    </w:p>
    <w:p w14:paraId="2BD88E71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标杆参照</w:t>
      </w:r>
      <w:r>
        <w:t>：上海科技大学实行"学院+书院"协同育人，常任教授均担任书院导师，与本科生定期见面、指导学习与生活发展，并轮流入住本科生宿舍楼；不少教授在入住期间自发开设导师研讨课、带领学生开展暑期社会实践。这种制度把"在场"从个人自觉升级为组织化安排，可为应用型本科的导师制、班主任制与学业辅导提供参照。</w:t>
      </w:r>
    </w:p>
    <w:p w14:paraId="6EBED01C">
      <w:pPr>
        <w:pStyle w:val="169"/>
        <w:pBdr>
          <w:top w:val="single" w:color="CCCCCC" w:sz="8" w:space="0"/>
        </w:pBdr>
        <w:spacing w:after="240"/>
      </w:pPr>
    </w:p>
    <w:p w14:paraId="45CFDE61">
      <w:pPr>
        <w:pStyle w:val="5"/>
      </w:pPr>
      <w:r>
        <w:t>D2. 产业实践能力</w:t>
      </w:r>
    </w:p>
    <w:p w14:paraId="1FBAFF14">
      <w:pPr>
        <w:pStyle w:val="6"/>
      </w:pPr>
      <w:r>
        <w:t>D2.1 产业实践经历深度</w:t>
      </w:r>
    </w:p>
    <w:p w14:paraId="15136AB3">
      <w:r>
        <w:rPr>
          <w:b/>
        </w:rPr>
        <w:t>理想状态描述</w:t>
      </w:r>
      <w:r>
        <w:t>：专业教师不是在"读完了书之后直接教书"，而是拥有扎实的产业实践经验。每位教师都有过在企业真实岗位上工作、解决过真实产业问题的经历，且这种经历不是一次性的"挂职镀金"，而是持续更新的"活水"——教师定期回到产业一线，保持对产业真实状态的敏锐感知。</w:t>
      </w:r>
    </w:p>
    <w:p w14:paraId="448A627C">
      <w:r>
        <w:rPr>
          <w:b/>
        </w:rPr>
        <w:t>核心观测点</w:t>
      </w:r>
      <w:r>
        <w:t>：</w:t>
      </w:r>
    </w:p>
    <w:p w14:paraId="7AC4AEF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教师产业实践经历的覆盖率与深度</w:t>
      </w:r>
    </w:p>
    <w:p w14:paraId="789911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教师产业实践经历对教学的反哺效果</w:t>
      </w:r>
    </w:p>
    <w:p w14:paraId="2963010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教师与产业保持常态化联系的机制</w:t>
      </w:r>
    </w:p>
    <w:p w14:paraId="58932C86">
      <w:r>
        <w:rPr>
          <w:b/>
        </w:rPr>
        <w:t>参考度量方式</w:t>
      </w:r>
      <w:r>
        <w:t>：</w:t>
      </w:r>
    </w:p>
    <w:p w14:paraId="7C8AC7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专业教师中具有≥1年产业实践经历的比例≥80%</w:t>
      </w:r>
    </w:p>
    <w:p w14:paraId="575457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教师每3年累计产业实践/驻企时间≥6个月</w:t>
      </w:r>
    </w:p>
    <w:p w14:paraId="27DED8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教师将产业实践转化为教学案例/项目的比例≥60%</w:t>
      </w:r>
    </w:p>
    <w:p w14:paraId="6C8B8C0A">
      <w:pPr>
        <w:pStyle w:val="6"/>
      </w:pPr>
      <w:r>
        <w:t>D2.2 解决真实产业问题的能力</w:t>
      </w:r>
    </w:p>
    <w:p w14:paraId="10FF90DE">
      <w:r>
        <w:rPr>
          <w:b/>
        </w:rPr>
        <w:t>理想状态描述</w:t>
      </w:r>
      <w:r>
        <w:t>：教师不仅"知道"产业，更"能做"产业的事。教师具备解决真实产业问题的能力，能够在企业面临技术难题时提供有价值的解决方案。这种能力使教师在教学中不再是"纸上谈兵"，而是带着真实的产业智慧和实战经验走进课堂。</w:t>
      </w:r>
    </w:p>
    <w:p w14:paraId="50209215">
      <w:r>
        <w:rPr>
          <w:b/>
        </w:rPr>
        <w:t>核心观测点</w:t>
      </w:r>
      <w:r>
        <w:t>：</w:t>
      </w:r>
    </w:p>
    <w:p w14:paraId="40AB4A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教师主持或参与产业实际项目的数量与质量</w:t>
      </w:r>
    </w:p>
    <w:p w14:paraId="6B4437A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教师产业解决方案的落地效果</w:t>
      </w:r>
    </w:p>
    <w:p w14:paraId="19C4BA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产业界对教师专业能力的评价</w:t>
      </w:r>
    </w:p>
    <w:p w14:paraId="2377A9BE">
      <w:r>
        <w:rPr>
          <w:b/>
        </w:rPr>
        <w:t>参考度量方式</w:t>
      </w:r>
      <w:r>
        <w:t>：</w:t>
      </w:r>
    </w:p>
    <w:p w14:paraId="61B99B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每位教师每2年至少主持或核心参与1项产业实际应用项目</w:t>
      </w:r>
    </w:p>
    <w:p w14:paraId="4F8E93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教师提供的技术方案/咨询服务被产业方采纳的比例≥50%</w:t>
      </w:r>
    </w:p>
    <w:p w14:paraId="13BA125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产业合作方对教师专业能力评价满意度≥85%</w:t>
      </w:r>
    </w:p>
    <w:p w14:paraId="1C59186D">
      <w:pPr>
        <w:pStyle w:val="169"/>
        <w:pBdr>
          <w:top w:val="single" w:color="CCCCCC" w:sz="8" w:space="0"/>
        </w:pBdr>
        <w:spacing w:after="240"/>
      </w:pPr>
    </w:p>
    <w:p w14:paraId="6B21737F">
      <w:pPr>
        <w:pStyle w:val="5"/>
      </w:pPr>
      <w:r>
        <w:t>D3. 教学创新能力</w:t>
      </w:r>
    </w:p>
    <w:p w14:paraId="2F48B0FF">
      <w:pPr>
        <w:pStyle w:val="6"/>
      </w:pPr>
      <w:r>
        <w:t>D3.1 AI融合教学设计能力</w:t>
      </w:r>
    </w:p>
    <w:p w14:paraId="4C1ABE4E">
      <w:r>
        <w:rPr>
          <w:b/>
        </w:rPr>
        <w:t>理想状态描述</w:t>
      </w:r>
      <w:r>
        <w:t>：每位教师都能熟练地将AI工具融入教学设计，不是简单地在课堂上"用一下AI"，而是基于AI的能力重新设计教学流程。教师清楚地知道哪些环节交给AI更高效、哪些环节必须由人来完成、如何让人机协同达到最优效果。AI素养不是技术部门的专属，而是每位教师的标配能力。</w:t>
      </w:r>
    </w:p>
    <w:p w14:paraId="31254791">
      <w:r>
        <w:rPr>
          <w:b/>
        </w:rPr>
        <w:t>核心观测点</w:t>
      </w:r>
      <w:r>
        <w:t>：</w:t>
      </w:r>
    </w:p>
    <w:p w14:paraId="5D2387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教师AI工具使用能力与素养水平</w:t>
      </w:r>
    </w:p>
    <w:p w14:paraId="09A18B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人机协同教学设计的成熟度</w:t>
      </w:r>
    </w:p>
    <w:p w14:paraId="28CC10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教师AI教学创新案例的产出</w:t>
      </w:r>
    </w:p>
    <w:p w14:paraId="2F7F50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分层分类AI培训体系的覆盖率与转化率</w:t>
      </w:r>
    </w:p>
    <w:p w14:paraId="7E9ABFF6">
      <w:r>
        <w:rPr>
          <w:b/>
        </w:rPr>
        <w:t>参考度量方式</w:t>
      </w:r>
      <w:r>
        <w:t>：</w:t>
      </w:r>
    </w:p>
    <w:p w14:paraId="0E36EB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教师AI教学工具常态化使用率≥90%</w:t>
      </w:r>
    </w:p>
    <w:p w14:paraId="70E4FA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教师具备独立完成人机协同教学设计的能力比例≥85%</w:t>
      </w:r>
    </w:p>
    <w:p w14:paraId="067169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每年产出AI融合教学创新案例/成果≥3项/专业</w:t>
      </w:r>
    </w:p>
    <w:p w14:paraId="1CA4A29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教师完成"通识普及+学科定制"分层AI培训的比例≥80%，培训后产出实际教学应用（课程改造、智能助手、知识图谱等）的比例≥50%</w:t>
      </w:r>
    </w:p>
    <w:p w14:paraId="540A59B4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标杆参照</w:t>
      </w:r>
      <w:r>
        <w:t>：上海科技大学由教学发展中心牵头，构建了分层分类的教师AI能力发展体系：面向全员开设"AI for Faculty"通识课（语义识别、大模型、AI4S平台），并按物质、生命、创艺等学院开设定制化高阶课（如材料设计中的生成模型、生命科学影像分析、Stable Diffusion与多Agent创作），学员须提交应用Proposal结业；同时举办"AI时代教与学"进阶营，系统覆盖角色转型、实用AI技能、AI助课/助教/助学/助评四助、深度学习设计等。应用型本科可参照"通识打底、学科定制、项目结业"的设计，按自身专业群构建可落地的教师AI培训。</w:t>
      </w:r>
    </w:p>
    <w:p w14:paraId="65A9C700">
      <w:pPr>
        <w:pStyle w:val="6"/>
      </w:pPr>
      <w:r>
        <w:t>D3.2 课程持续改进能力</w:t>
      </w:r>
    </w:p>
    <w:p w14:paraId="2419BB8B">
      <w:r>
        <w:rPr>
          <w:b/>
        </w:rPr>
        <w:t>理想状态描述</w:t>
      </w:r>
      <w:r>
        <w:t>：教师不是"教完一门课就结束"，而是在每一轮教学后基于学生学习数据、产业需求变化、教学效果反馈进行系统性的课程改进。课程改进不是行政要求驱动的被动作业，而是教师专业自觉的主动行为。每位教师都具备"教学即研究"的意识，把每一轮教学当作一次迭代实验。</w:t>
      </w:r>
    </w:p>
    <w:p w14:paraId="74EE62F8">
      <w:r>
        <w:rPr>
          <w:b/>
        </w:rPr>
        <w:t>核心观测点</w:t>
      </w:r>
      <w:r>
        <w:t>：</w:t>
      </w:r>
    </w:p>
    <w:p w14:paraId="7F1747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教师课程改进的频率与深度</w:t>
      </w:r>
    </w:p>
    <w:p w14:paraId="090211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改进的数据驱动程度</w:t>
      </w:r>
    </w:p>
    <w:p w14:paraId="0A6868A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改进后教学效果的提升可验证度</w:t>
      </w:r>
    </w:p>
    <w:p w14:paraId="7FA121C1">
      <w:r>
        <w:rPr>
          <w:b/>
        </w:rPr>
        <w:t>参考度量方式</w:t>
      </w:r>
      <w:r>
        <w:t>：</w:t>
      </w:r>
    </w:p>
    <w:p w14:paraId="0FC2AC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教师每轮教学后形成课程改进方案的比例≥90%</w:t>
      </w:r>
    </w:p>
    <w:p w14:paraId="05AC32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课程改进方案中引用学生学习数据/评价数据的比例≥70%</w:t>
      </w:r>
    </w:p>
    <w:p w14:paraId="2C5E42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改进后学生评教/能力评估呈显著提升的比例≥80%</w:t>
      </w:r>
    </w:p>
    <w:p w14:paraId="73B76873">
      <w:pPr>
        <w:pStyle w:val="169"/>
        <w:pBdr>
          <w:top w:val="single" w:color="CCCCCC" w:sz="8" w:space="0"/>
        </w:pBdr>
        <w:spacing w:after="240"/>
      </w:pPr>
    </w:p>
    <w:p w14:paraId="792EA571">
      <w:pPr>
        <w:pStyle w:val="5"/>
      </w:pPr>
      <w:r>
        <w:t>D4. 跨界协作能力</w:t>
      </w:r>
    </w:p>
    <w:p w14:paraId="517A5639">
      <w:pPr>
        <w:pStyle w:val="6"/>
      </w:pPr>
      <w:r>
        <w:t>D4.1 跨学科教学协作能力</w:t>
      </w:r>
    </w:p>
    <w:p w14:paraId="73E1A505">
      <w:r>
        <w:rPr>
          <w:b/>
        </w:rPr>
        <w:t>理想状态描述</w:t>
      </w:r>
      <w:r>
        <w:t>：教师不再局限于自己的学科领地，而是具备与其他学科教师协同设计课程、联合指导项目的意愿和能力。教师能够跳出自己的专业视角，理解其他学科的思考方式，并在跨学科协作中找到自己独特的贡献点。跨学科协作不是行政安排的"拉郎配"，而是基于真实问题驱动的自然联合。</w:t>
      </w:r>
    </w:p>
    <w:p w14:paraId="60F7DF61">
      <w:r>
        <w:rPr>
          <w:b/>
        </w:rPr>
        <w:t>核心观测点</w:t>
      </w:r>
      <w:r>
        <w:t>：</w:t>
      </w:r>
    </w:p>
    <w:p w14:paraId="76A0038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教师参与跨学科教学协作的广度与深度</w:t>
      </w:r>
    </w:p>
    <w:p w14:paraId="25404E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跨学科协作产出的课程/项目质量</w:t>
      </w:r>
    </w:p>
    <w:p w14:paraId="0513873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教师跨学科协作的意愿与能力成长</w:t>
      </w:r>
    </w:p>
    <w:p w14:paraId="6C7C7058">
      <w:r>
        <w:rPr>
          <w:b/>
        </w:rPr>
        <w:t>参考度量方式</w:t>
      </w:r>
      <w:r>
        <w:t>：</w:t>
      </w:r>
    </w:p>
    <w:p w14:paraId="444E0E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每位教师每学年至少参与1个跨学科教学项目</w:t>
      </w:r>
    </w:p>
    <w:p w14:paraId="21D29F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跨学科教学项目中学生满意度≥85%</w:t>
      </w:r>
    </w:p>
    <w:p w14:paraId="1A8B878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教师跨学科协作能力自评与他评呈逐年上升趋势</w:t>
      </w:r>
    </w:p>
    <w:p w14:paraId="02139DBC">
      <w:pPr>
        <w:pStyle w:val="6"/>
      </w:pPr>
      <w:r>
        <w:t>D4.2 校企协同育人能力</w:t>
      </w:r>
    </w:p>
    <w:p w14:paraId="581F83F0">
      <w:r>
        <w:rPr>
          <w:b/>
        </w:rPr>
        <w:t>理想状态描述</w:t>
      </w:r>
      <w:r>
        <w:t>：教师能够与企业导师深度协作，共同设计课程、联合指导学生、协同评价学习成果。校企双方不是"各管一段"，而是在育人全过程中形成有机配合。教师理解企业导师的实践视角，企业导师尊重教师的教育规律，双方在互补中形成合力。</w:t>
      </w:r>
    </w:p>
    <w:p w14:paraId="71D3DE55">
      <w:r>
        <w:rPr>
          <w:b/>
        </w:rPr>
        <w:t>核心观测点</w:t>
      </w:r>
      <w:r>
        <w:t>：</w:t>
      </w:r>
    </w:p>
    <w:p w14:paraId="575673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教师与企业导师协同教学的频率与深度</w:t>
      </w:r>
    </w:p>
    <w:p w14:paraId="46E327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校企联合指导学生项目的质量</w:t>
      </w:r>
    </w:p>
    <w:p w14:paraId="348BE1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校企协同育人机制的成熟度</w:t>
      </w:r>
    </w:p>
    <w:p w14:paraId="3C91B1AA">
      <w:r>
        <w:rPr>
          <w:b/>
        </w:rPr>
        <w:t>参考度量方式</w:t>
      </w:r>
      <w:r>
        <w:t>：</w:t>
      </w:r>
    </w:p>
    <w:p w14:paraId="57F7D1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核心课程中校企双导师协同教学覆盖率≥70%</w:t>
      </w:r>
    </w:p>
    <w:p w14:paraId="53F9554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校企联合指导项目的学生成果达标率≥85%</w:t>
      </w:r>
    </w:p>
    <w:p w14:paraId="0DE5349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企业导师对协作过程满意度≥80%</w:t>
      </w:r>
    </w:p>
    <w:p w14:paraId="34745560">
      <w:pPr>
        <w:pStyle w:val="169"/>
        <w:pBdr>
          <w:top w:val="single" w:color="CCCCCC" w:sz="8" w:space="0"/>
        </w:pBdr>
        <w:spacing w:after="240"/>
      </w:pPr>
    </w:p>
    <w:p w14:paraId="04B317A7">
      <w:pPr>
        <w:pStyle w:val="5"/>
      </w:pPr>
      <w:r>
        <w:t>D5. 组织治理弹性</w:t>
      </w:r>
    </w:p>
    <w:p w14:paraId="680FD954">
      <w:pPr>
        <w:pStyle w:val="164"/>
        <w:pBdr>
          <w:left w:val="single" w:color="CCCCCC" w:sz="24" w:space="0"/>
        </w:pBdr>
        <w:shd w:val="clear" w:fill="F8F8F8"/>
      </w:pPr>
      <w:r>
        <w:t>第四代大学的教师能力能否真正释放，受制于一个更深层的变量——组织架构。传统校-院-系-教研室的科层结构，以学科边界固化教师归属、以行政审批延缓课程迭代，是跨学科融合与AI快速响应的制度性阻力。理想状态下，组织治理具备足够的弹性：管理层级扁平、教师可跨单位流动、教学科研单元能围绕真实问题灵活重组。组织为人服务，而不是人为组织让路。</w:t>
      </w:r>
    </w:p>
    <w:p w14:paraId="14FF719B">
      <w:pPr>
        <w:pStyle w:val="6"/>
      </w:pPr>
      <w:r>
        <w:t>D5.1 科层扁平化与学科破壁程度</w:t>
      </w:r>
    </w:p>
    <w:p w14:paraId="45B1C3BA">
      <w:r>
        <w:rPr>
          <w:b/>
        </w:rPr>
        <w:t>理想状态描述</w:t>
      </w:r>
      <w:r>
        <w:t>：教学组织的层级尽可能精简，学院以下不以刚性的"系/教研室"切割学科，而代之以可灵活组合的课程组、项目组、研究单元。一个学院内可容纳多个相邻学科，教师不因行政归属而被限制在单一学科领地。组织设计的出发点是"怎样更利于学科交叉和快速响应"，而非"怎样更便于层层管理"。</w:t>
      </w:r>
    </w:p>
    <w:p w14:paraId="3BE85D9F">
      <w:r>
        <w:rPr>
          <w:b/>
        </w:rPr>
        <w:t>核心观测点</w:t>
      </w:r>
      <w:r>
        <w:t>：</w:t>
      </w:r>
    </w:p>
    <w:p w14:paraId="78BDA4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学院以下教学科研组织的层级精简度与灵活性</w:t>
      </w:r>
    </w:p>
    <w:p w14:paraId="2F2FC0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跨学科课程/项目在组织层面获得资源支持的顺畅度</w:t>
      </w:r>
    </w:p>
    <w:p w14:paraId="37E014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新设/调整课程或培养模块的决策周期</w:t>
      </w:r>
    </w:p>
    <w:p w14:paraId="525ADBFE">
      <w:r>
        <w:rPr>
          <w:b/>
        </w:rPr>
        <w:t>参考度量方式</w:t>
      </w:r>
      <w:r>
        <w:t>：</w:t>
      </w:r>
    </w:p>
    <w:p w14:paraId="74F322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学院以下不设刚性"系"层级、或以柔性课程组/项目组替代的比例≥60%</w:t>
      </w:r>
    </w:p>
    <w:p w14:paraId="31C157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跨学科课程/项目从提出到开课的决策周期≤1个学期</w:t>
      </w:r>
    </w:p>
    <w:p w14:paraId="5C9FFD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因组织壁垒导致跨学科协作受阻的反馈案例逐年下降，直至清零</w:t>
      </w:r>
    </w:p>
    <w:p w14:paraId="373B0F1B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标杆参照</w:t>
      </w:r>
      <w:r>
        <w:t>：上海科技大学实行"大学院制，学院下不设系"，如物质科学与技术学院一个学院涵盖物理、化学、材料，下设相对独立的交叉研究部，以促进学科交叉；其行政团队亦明确以"高效、精干、扁平化"为建设目标。应用型本科受规模和体制约束未必一步到位，但"压缩管理层级、以问题重组单元"的方向可分步推进。</w:t>
      </w:r>
    </w:p>
    <w:p w14:paraId="671A8FE8">
      <w:pPr>
        <w:pStyle w:val="6"/>
      </w:pPr>
      <w:r>
        <w:t>D5.2 教师跨单位流动与动态配置机制</w:t>
      </w:r>
    </w:p>
    <w:p w14:paraId="79495339">
      <w:r>
        <w:rPr>
          <w:b/>
        </w:rPr>
        <w:t>理想状态描述</w:t>
      </w:r>
      <w:r>
        <w:t>：教师不再被永久"锁定"在某一院系的编制和任务中，而能依据产业需求变化、跨学科项目需要和个人专业成长，在学院之间、专业之间、校企之间有序流动。学校建立双聘/联聘、跨学科项目组、校企轮岗等制度化通道，使教师的能力配置与专业建设的动态需求相匹配。流动不是无序的"跳槽"，而是有制度保障、有激励引导、有质量底线的优化配置。</w:t>
      </w:r>
    </w:p>
    <w:p w14:paraId="6AF86B49">
      <w:r>
        <w:rPr>
          <w:b/>
        </w:rPr>
        <w:t>核心观测点</w:t>
      </w:r>
      <w:r>
        <w:t>：</w:t>
      </w:r>
    </w:p>
    <w:p w14:paraId="0CDFE4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教师跨学院/跨专业双聘、联聘的制度化程度与覆盖率</w:t>
      </w:r>
    </w:p>
    <w:p w14:paraId="21673F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教师参与跨学科/校企流动项目的比例与回流成效</w:t>
      </w:r>
    </w:p>
    <w:p w14:paraId="7CB153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流动机制对教学科研产出的实际促进效果</w:t>
      </w:r>
    </w:p>
    <w:p w14:paraId="4B985D70">
      <w:r>
        <w:rPr>
          <w:b/>
        </w:rPr>
        <w:t>参考度量方式</w:t>
      </w:r>
      <w:r>
        <w:t>：</w:t>
      </w:r>
    </w:p>
    <w:p w14:paraId="462774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建立双聘/联聘/跨学科项目组等制度化流动通道并常态化运行</w:t>
      </w:r>
    </w:p>
    <w:p w14:paraId="2C685F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每学年参与跨单位或校企流动的教师比例≥20%</w:t>
      </w:r>
    </w:p>
    <w:p w14:paraId="666999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参与流动教师在跨学科课程、联合项目、教学创新上的产出显著高于平均水平</w:t>
      </w:r>
    </w:p>
    <w:p w14:paraId="2A684E9E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标杆参照</w:t>
      </w:r>
      <w:r>
        <w:t>：上海科技大学通过学院与研究所双聘（如教师同时受聘于生命学院与iHuman研究所）、特聘教授与常任教授并行、与中科院研究所及龙头企业联合实验室等机制，形成了高水平、高流动性的师资配置。应用型本科可借鉴其"双聘+项目制"的柔性思路，结合自身校企合作资源设计可落地的流动通道。</w:t>
      </w:r>
    </w:p>
    <w:p w14:paraId="104DDC75">
      <w:pPr>
        <w:pStyle w:val="169"/>
        <w:pBdr>
          <w:top w:val="single" w:color="CCCCCC" w:sz="8" w:space="0"/>
        </w:pBdr>
        <w:spacing w:after="240"/>
      </w:pPr>
    </w:p>
    <w:p w14:paraId="2ADDC970">
      <w:pPr>
        <w:pStyle w:val="4"/>
      </w:pPr>
      <w:r>
        <w:t>E. 评价机制与能力认证</w:t>
      </w:r>
    </w:p>
    <w:p w14:paraId="2DD141AD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核心理念</w:t>
      </w:r>
      <w:r>
        <w:t>：第四代大学彻底颠覆了评价的底层逻辑。评价不再是"测量学生脑子里装了多少知识"（存量），而是"评估学生用知识做了什么"（流量）。从一纸文凭到持续更新的能力档案，从标准化考试到多元化作品集，从终结性评判到过程性诊断——评价的每一次变革，都指向同一个方向：让评价真正服务于人的成长，而非成为成长的桎梏。</w:t>
      </w:r>
    </w:p>
    <w:p w14:paraId="00E268D6">
      <w:pPr>
        <w:pStyle w:val="5"/>
      </w:pPr>
      <w:r>
        <w:t>E1. 学生评价范式转型</w:t>
      </w:r>
    </w:p>
    <w:p w14:paraId="6FEC09FD">
      <w:pPr>
        <w:pStyle w:val="6"/>
      </w:pPr>
      <w:r>
        <w:t>E1.1 能力档案替代学分绩点</w:t>
      </w:r>
    </w:p>
    <w:p w14:paraId="6B22CCD8">
      <w:r>
        <w:rPr>
          <w:b/>
        </w:rPr>
        <w:t>理想状态描述</w:t>
      </w:r>
      <w:r>
        <w:t>：学生的核心评价载体不再是GPA或学分绩点，而是一份持续更新的"能力档案"（Competency Portfolio）。档案记录了学生在整个学习过程中形成的可验证能力证据——不只是考试分数，更包括项目成果、实践表现、同伴评价、产业导师评语、创造性产出等多元证据。能力档案是学生走向社会的"新名片"。</w:t>
      </w:r>
    </w:p>
    <w:p w14:paraId="3BA523BB">
      <w:r>
        <w:rPr>
          <w:b/>
        </w:rPr>
        <w:t>核心观测点</w:t>
      </w:r>
      <w:r>
        <w:t>：</w:t>
      </w:r>
    </w:p>
    <w:p w14:paraId="2C6CE3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能力档案系统的建设完善度</w:t>
      </w:r>
    </w:p>
    <w:p w14:paraId="5DCC8F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能力档案的证据多元性与可信度</w:t>
      </w:r>
    </w:p>
    <w:p w14:paraId="398005F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能力档案在就业/升学中的认可度</w:t>
      </w:r>
    </w:p>
    <w:p w14:paraId="1CBDA733">
      <w:r>
        <w:rPr>
          <w:b/>
        </w:rPr>
        <w:t>参考度量方式</w:t>
      </w:r>
      <w:r>
        <w:t>：</w:t>
      </w:r>
    </w:p>
    <w:p w14:paraId="45452F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每位学生拥有持续更新的能力档案，覆盖率100%</w:t>
      </w:r>
    </w:p>
    <w:p w14:paraId="27AAE3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能力档案中证据来源≥5类（课程成果/项目表现/产业评价/同伴互评/自我反思等）</w:t>
      </w:r>
    </w:p>
    <w:p w14:paraId="2E5128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雇主/研究生院对能力档案认可度≥70%</w:t>
      </w:r>
    </w:p>
    <w:p w14:paraId="0A39383D">
      <w:pPr>
        <w:pStyle w:val="6"/>
      </w:pPr>
      <w:r>
        <w:t>E1.2 作品集评价机制</w:t>
      </w:r>
    </w:p>
    <w:p w14:paraId="3B8D725C">
      <w:r>
        <w:rPr>
          <w:b/>
        </w:rPr>
        <w:t>理想状态描述</w:t>
      </w:r>
      <w:r>
        <w:t>：学生毕业时提交的不是一篇毕业论文，而是一部完整的能力作品集（Portfolio）。作品集展示学生在大学期间最有代表性的学习成果——项目作品、解决方案、创意产出、实践报告等。每部作品都附有创作过程的反思和能力成长的说明。作品集评价不是"通过/不通过"的二元判断，而是对能力成熟度的综合画像。</w:t>
      </w:r>
    </w:p>
    <w:p w14:paraId="36A7A098">
      <w:r>
        <w:rPr>
          <w:b/>
        </w:rPr>
        <w:t>核心观测点</w:t>
      </w:r>
      <w:r>
        <w:t>：</w:t>
      </w:r>
    </w:p>
    <w:p w14:paraId="1B1A98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作品集制度的实施覆盖率</w:t>
      </w:r>
    </w:p>
    <w:p w14:paraId="0B3ACDD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作品集的质量标准与评审机制成熟度</w:t>
      </w:r>
    </w:p>
    <w:p w14:paraId="6A80B31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作品集与产业需求的匹配度</w:t>
      </w:r>
    </w:p>
    <w:p w14:paraId="2AFFB615">
      <w:r>
        <w:rPr>
          <w:b/>
        </w:rPr>
        <w:t>参考度量方式</w:t>
      </w:r>
      <w:r>
        <w:t>：</w:t>
      </w:r>
    </w:p>
    <w:p w14:paraId="24EC52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毕业评价体系全面采用作品集方式的比例≥90%</w:t>
      </w:r>
    </w:p>
    <w:p w14:paraId="541FC1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作品集评审标准涵盖能力维度≥5个，且评审团含产业专家</w:t>
      </w:r>
    </w:p>
    <w:p w14:paraId="15A472D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作品集中成果与产业实际需求的关联度≥70%</w:t>
      </w:r>
    </w:p>
    <w:p w14:paraId="3DF7C867">
      <w:pPr>
        <w:pStyle w:val="6"/>
      </w:pPr>
      <w:r>
        <w:t>E1.3 三维评价连接度</w:t>
      </w:r>
    </w:p>
    <w:p w14:paraId="24BC7B23">
      <w:r>
        <w:rPr>
          <w:b/>
        </w:rPr>
        <w:t>理想状态描述</w:t>
      </w:r>
      <w:r>
        <w:t>：学生评价不再由学校单方面完成，而是连接三个维度：企业评价（产业界对学生能力的真实判断）、项目结果（作品/方案的实际效果）、能力变化（学生能力的前后对比增量）。三维评价确保评价的客观性、实用性和发展性——既不脱离产业实际，又不忽视个体成长。</w:t>
      </w:r>
    </w:p>
    <w:p w14:paraId="79C05CC2">
      <w:r>
        <w:rPr>
          <w:b/>
        </w:rPr>
        <w:t>核心观测点</w:t>
      </w:r>
      <w:r>
        <w:t>：</w:t>
      </w:r>
    </w:p>
    <w:p w14:paraId="54DC46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企业评价在学生评价中的参与度</w:t>
      </w:r>
    </w:p>
    <w:p w14:paraId="63D391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项目结果评价的制度化程度</w:t>
      </w:r>
    </w:p>
    <w:p w14:paraId="368DD1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能力变化追踪的系统性</w:t>
      </w:r>
    </w:p>
    <w:p w14:paraId="2CCDE593">
      <w:r>
        <w:rPr>
          <w:b/>
        </w:rPr>
        <w:t>参考度量方式</w:t>
      </w:r>
      <w:r>
        <w:t>：</w:t>
      </w:r>
    </w:p>
    <w:p w14:paraId="4E53CA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企业/产业评价在学生核心评价中的权重≥30%</w:t>
      </w:r>
    </w:p>
    <w:p w14:paraId="2E402C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≥70%的核心课程引入项目结果评价维度</w:t>
      </w:r>
    </w:p>
    <w:p w14:paraId="400F3F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学生能力变化（入学vs毕业）有可追溯的对比证据</w:t>
      </w:r>
    </w:p>
    <w:p w14:paraId="1CD7BC5A">
      <w:pPr>
        <w:pStyle w:val="169"/>
        <w:pBdr>
          <w:top w:val="single" w:color="CCCCCC" w:sz="8" w:space="0"/>
        </w:pBdr>
        <w:spacing w:after="240"/>
      </w:pPr>
    </w:p>
    <w:p w14:paraId="383E66D6">
      <w:pPr>
        <w:pStyle w:val="5"/>
      </w:pPr>
      <w:r>
        <w:t>E2. 教师评价机制重构</w:t>
      </w:r>
    </w:p>
    <w:p w14:paraId="79C68859">
      <w:pPr>
        <w:pStyle w:val="6"/>
      </w:pPr>
      <w:r>
        <w:t>E2.1 学生成长导向的教师评价</w:t>
      </w:r>
    </w:p>
    <w:p w14:paraId="3E7261F0">
      <w:r>
        <w:rPr>
          <w:b/>
        </w:rPr>
        <w:t>理想状态描述</w:t>
      </w:r>
      <w:r>
        <w:t>：教师评价的核心标准从"教学效果满意度"转向"学生能力成长贡献度"。评价一位教师好不好，不是看学生打分高不高，而是看这位教师教过的学生在能力上确实进步了多少。教师的评价与学生成长数据深度绑定，形成长周期的教学效果追踪。</w:t>
      </w:r>
    </w:p>
    <w:p w14:paraId="30947A1D">
      <w:r>
        <w:rPr>
          <w:b/>
        </w:rPr>
        <w:t>核心观测点</w:t>
      </w:r>
      <w:r>
        <w:t>：</w:t>
      </w:r>
    </w:p>
    <w:p w14:paraId="44E20E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学生能力成长数据在教师评价中的权重</w:t>
      </w:r>
    </w:p>
    <w:p w14:paraId="75ACF0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教师教学效果追踪的时间跨度</w:t>
      </w:r>
    </w:p>
    <w:p w14:paraId="19482F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基于成长数据的教师发展支持机制</w:t>
      </w:r>
    </w:p>
    <w:p w14:paraId="34A2CDC6">
      <w:r>
        <w:rPr>
          <w:b/>
        </w:rPr>
        <w:t>参考度量方式</w:t>
      </w:r>
      <w:r>
        <w:t>：</w:t>
      </w:r>
    </w:p>
    <w:p w14:paraId="111034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学生能力成长数据在教师评价中权重≥40%</w:t>
      </w:r>
    </w:p>
    <w:p w14:paraId="7051C0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教师教学效果追踪覆盖学生从入学到毕业后1年的完整周期</w:t>
      </w:r>
    </w:p>
    <w:p w14:paraId="6FC457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基于评价数据为教师提供个性化发展支持的比例≥80%</w:t>
      </w:r>
    </w:p>
    <w:p w14:paraId="1A5B112B">
      <w:pPr>
        <w:pStyle w:val="6"/>
      </w:pPr>
      <w:r>
        <w:t>E2.2 多元主体参与评价</w:t>
      </w:r>
    </w:p>
    <w:p w14:paraId="15D055C2">
      <w:r>
        <w:rPr>
          <w:b/>
        </w:rPr>
        <w:t>理想状态描述</w:t>
      </w:r>
      <w:r>
        <w:t>：教师评价不再是学校管理层的单方面判断，而是多元主体共同参与的综合评价——学生评价学习体验、同行评价专业能力、产业方评价实践贡献、教师自我评价反思成长。多元视角避免单一评价的片面性，确保评价的全面性和公正性。</w:t>
      </w:r>
    </w:p>
    <w:p w14:paraId="0339572E">
      <w:r>
        <w:rPr>
          <w:b/>
        </w:rPr>
        <w:t>核心观测点</w:t>
      </w:r>
      <w:r>
        <w:t>：</w:t>
      </w:r>
    </w:p>
    <w:p w14:paraId="36BE9B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评价主体的多元化程度</w:t>
      </w:r>
    </w:p>
    <w:p w14:paraId="054619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各评价主体的权重分配合理性</w:t>
      </w:r>
    </w:p>
    <w:p w14:paraId="64BC61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多元评价结果的一致性与差异性分析</w:t>
      </w:r>
    </w:p>
    <w:p w14:paraId="1C7469F4">
      <w:r>
        <w:rPr>
          <w:b/>
        </w:rPr>
        <w:t>参考度量方式</w:t>
      </w:r>
      <w:r>
        <w:t>：</w:t>
      </w:r>
    </w:p>
    <w:p w14:paraId="273275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教师评价中≥4类主体参与（学生/同行/产业方/自我）</w:t>
      </w:r>
    </w:p>
    <w:p w14:paraId="68D0BE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产业方评价在教师评价中权重≥20%（对产教型教师≥30%）</w:t>
      </w:r>
    </w:p>
    <w:p w14:paraId="78AFB8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多元评价结果形成综合画像而非简单加权平均</w:t>
      </w:r>
    </w:p>
    <w:p w14:paraId="3ADB2E05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标杆参照</w:t>
      </w:r>
      <w:r>
        <w:t>：上海科技大学全面实行常任教授制（Tenure Track），考核坚持"重品行、重育人、重学问、重能力、重公认"，不唯"帽子"、不唯名气、打破论资排辈，不将教师收入与科研项目直接挂钩，在晋升中主要关注研究与育人成果的质量而非数量，让教师"不用花时间琢磨职称评定，只管脚踏实地教学、研究"。这与第四代大学"教师回归育人本真"的理念高度同频。应用型本科受体制约束未必照搬Tenure Track，但"以育人贡献和成果质量为导向、弱化数量与帽子"的评价改革方向值得借鉴。</w:t>
      </w:r>
    </w:p>
    <w:p w14:paraId="163155E5">
      <w:pPr>
        <w:pStyle w:val="169"/>
        <w:pBdr>
          <w:top w:val="single" w:color="CCCCCC" w:sz="8" w:space="0"/>
        </w:pBdr>
        <w:spacing w:after="240"/>
      </w:pPr>
    </w:p>
    <w:p w14:paraId="0BE3C0DD">
      <w:pPr>
        <w:pStyle w:val="5"/>
      </w:pPr>
      <w:r>
        <w:t>E3. 质量保障闭环</w:t>
      </w:r>
    </w:p>
    <w:p w14:paraId="27C9446A">
      <w:pPr>
        <w:pStyle w:val="6"/>
      </w:pPr>
      <w:r>
        <w:t>E3.1 评价数据驱动教学改进</w:t>
      </w:r>
    </w:p>
    <w:p w14:paraId="4C56A46B">
      <w:r>
        <w:rPr>
          <w:b/>
        </w:rPr>
        <w:t>理想状态描述</w:t>
      </w:r>
      <w:r>
        <w:t>：评价数据不是锁在抽屉里的报告，而是驱动教学改进的核心引擎。每一次评价的结果都被系统地分析、归因、转化为具体的改进行动。改进的效果在下一次评价中被验证，形成"评价→诊断→改进→验证"的完整闭环。质量保障不是外部压力驱动，而是数据驱动的内在自觉。</w:t>
      </w:r>
    </w:p>
    <w:p w14:paraId="1082B9A5">
      <w:r>
        <w:rPr>
          <w:b/>
        </w:rPr>
        <w:t>核心观测点</w:t>
      </w:r>
      <w:r>
        <w:t>：</w:t>
      </w:r>
    </w:p>
    <w:p w14:paraId="30FBAD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评价数据向改进行动的转化率</w:t>
      </w:r>
    </w:p>
    <w:p w14:paraId="364712B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改进效果的验证闭环完整度</w:t>
      </w:r>
    </w:p>
    <w:p w14:paraId="489ED13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数据驱动改进的文化成熟度</w:t>
      </w:r>
    </w:p>
    <w:p w14:paraId="43E5E7F6">
      <w:r>
        <w:rPr>
          <w:b/>
        </w:rPr>
        <w:t>参考度量方式</w:t>
      </w:r>
      <w:r>
        <w:t>：</w:t>
      </w:r>
    </w:p>
    <w:p w14:paraId="774540E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评价数据转化为具体改进行动的比例≥80%</w:t>
      </w:r>
    </w:p>
    <w:p w14:paraId="3C8465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每项改进行动有效果验证追踪的比例≥70%</w:t>
      </w:r>
    </w:p>
    <w:p w14:paraId="69B889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教师主动使用评价数据改进教学的比例≥85%</w:t>
      </w:r>
    </w:p>
    <w:p w14:paraId="1F8C9F46">
      <w:pPr>
        <w:pStyle w:val="6"/>
      </w:pPr>
      <w:r>
        <w:t>E3.2 动态预警与干预机制</w:t>
      </w:r>
    </w:p>
    <w:p w14:paraId="5565286C">
      <w:r>
        <w:rPr>
          <w:b/>
        </w:rPr>
        <w:t>理想状态描述</w:t>
      </w:r>
      <w:r>
        <w:t>：教学质量保障不是"期末算总账"，而是贯穿教学全过程的实时监测系统。当学生的学习出现异常信号（进度严重滞后、能力发展停滞、参与度过低等），系统能够及时预警并触发干预。当教学质量出现偏差（课程效果持续走低、评价数据异常等），管理层能够及时介入并提供支持。</w:t>
      </w:r>
    </w:p>
    <w:p w14:paraId="53646CC2">
      <w:r>
        <w:rPr>
          <w:b/>
        </w:rPr>
        <w:t>核心观测点</w:t>
      </w:r>
      <w:r>
        <w:t>：</w:t>
      </w:r>
    </w:p>
    <w:p w14:paraId="2345535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教学质量实时监测的覆盖度</w:t>
      </w:r>
    </w:p>
    <w:p w14:paraId="68F2B7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预警-干预机制的及时性与有效性</w:t>
      </w:r>
    </w:p>
    <w:p w14:paraId="522BF5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预警后干预效果的正向率</w:t>
      </w:r>
    </w:p>
    <w:p w14:paraId="1767F48C">
      <w:r>
        <w:rPr>
          <w:b/>
        </w:rPr>
        <w:t>参考度量方式</w:t>
      </w:r>
      <w:r>
        <w:t>：</w:t>
      </w:r>
    </w:p>
    <w:p w14:paraId="7ED8F9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核心教学过程关键指标实现实时/近实时监测的比例≥80%</w:t>
      </w:r>
    </w:p>
    <w:p w14:paraId="2B1DB3F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预警触发到干预启动的平均响应时间≤2周</w:t>
      </w:r>
    </w:p>
    <w:p w14:paraId="42D01B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干预后学生/课程恢复正常状态的比例≥75%</w:t>
      </w:r>
    </w:p>
    <w:p w14:paraId="31808632">
      <w:pPr>
        <w:pStyle w:val="169"/>
        <w:pBdr>
          <w:top w:val="single" w:color="CCCCCC" w:sz="8" w:space="0"/>
        </w:pBdr>
        <w:spacing w:after="240"/>
      </w:pPr>
    </w:p>
    <w:p w14:paraId="56CE18C3">
      <w:pPr>
        <w:pStyle w:val="4"/>
      </w:pPr>
      <w:r>
        <w:t>F. 产教生态与区域贡献</w:t>
      </w:r>
    </w:p>
    <w:p w14:paraId="76C9F85E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核心理念</w:t>
      </w:r>
      <w:r>
        <w:t>：第四代大学与产业的关系不再是"校企合作"这个温和的词汇所能描述的——它已经进化为"产教共生"的生态关系。专业不是产业的"供应商"，产业也不是专业的"客户"，二者是同一个生态系统中的共生体，相互依赖、相互塑造、协同进化。区域的每一次产业升级都伴随着专业的人才供给和技术支撑，专业的每一次迭代都源自产业的真实需求和技术前沿。</w:t>
      </w:r>
    </w:p>
    <w:p w14:paraId="2B57C62F">
      <w:pPr>
        <w:pStyle w:val="5"/>
      </w:pPr>
      <w:r>
        <w:t>F1. 产教融合深度</w:t>
      </w:r>
    </w:p>
    <w:p w14:paraId="7E275D11">
      <w:pPr>
        <w:pStyle w:val="6"/>
      </w:pPr>
      <w:r>
        <w:t>F1.1 产业参与人才培养全过程</w:t>
      </w:r>
    </w:p>
    <w:p w14:paraId="432CB2ED">
      <w:r>
        <w:rPr>
          <w:b/>
        </w:rPr>
        <w:t>理想状态描述</w:t>
      </w:r>
      <w:r>
        <w:t>：产业不再是人才培养的"终端用户"（等企业来招聘），而是从招生选拔、课程设计、教学实施、评价考核到就业发展的全过程深度参与者。产业方的参与不是基于社会责任感的"友情客串"，而是基于自身利益的"深度投入"——因为参与人才培养就是在塑造自己的未来。</w:t>
      </w:r>
    </w:p>
    <w:p w14:paraId="1EFAB08C">
      <w:r>
        <w:rPr>
          <w:b/>
        </w:rPr>
        <w:t>核心观测点</w:t>
      </w:r>
      <w:r>
        <w:t>：</w:t>
      </w:r>
    </w:p>
    <w:p w14:paraId="7ED1C6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产业方参与人才培养环节的覆盖广度</w:t>
      </w:r>
    </w:p>
    <w:p w14:paraId="7738FA3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产业方参与的深度与实质性</w:t>
      </w:r>
    </w:p>
    <w:p w14:paraId="4F1116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产业方参与的可持续性与制度化程度</w:t>
      </w:r>
    </w:p>
    <w:p w14:paraId="6B0BBA1D">
      <w:r>
        <w:rPr>
          <w:b/>
        </w:rPr>
        <w:t>参考度量方式</w:t>
      </w:r>
      <w:r>
        <w:t>：</w:t>
      </w:r>
    </w:p>
    <w:p w14:paraId="28E2AC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产业方深度参与的人才培养环节≥5个（招生/课程/教学/评价/就业/发展规划）</w:t>
      </w:r>
    </w:p>
    <w:p w14:paraId="34B26F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核心产业合作方每年投入人才培养的资源（人力/资金/设备）呈增长趋势</w:t>
      </w:r>
    </w:p>
    <w:p w14:paraId="1BE328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产业合作方续约率≥90%</w:t>
      </w:r>
    </w:p>
    <w:p w14:paraId="35BDE55A">
      <w:pPr>
        <w:pStyle w:val="6"/>
      </w:pPr>
      <w:r>
        <w:t>F1.2 产业学院/产业专业共建水平</w:t>
      </w:r>
    </w:p>
    <w:p w14:paraId="5690967A">
      <w:r>
        <w:rPr>
          <w:b/>
        </w:rPr>
        <w:t>理想状态描述</w:t>
      </w:r>
      <w:r>
        <w:t>：产业学院不是挂个牌子的"框架协议"，而是校企双方共同投入、共同治理、共享成果的实体化运作平台。产业方不仅提供实习岗位，更投入核心技术人员参与教学、提供真实项目作为教学资源、开放技术平台供教学使用。校企双方在人才培养上的投入都达到了"痛"的程度——正因为有真实的投入，合作才是可持续的。</w:t>
      </w:r>
    </w:p>
    <w:p w14:paraId="424ACB25">
      <w:r>
        <w:rPr>
          <w:b/>
        </w:rPr>
        <w:t>核心观测点</w:t>
      </w:r>
      <w:r>
        <w:t>：</w:t>
      </w:r>
    </w:p>
    <w:p w14:paraId="4C052F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产业学院/共建专业的实体化运作水平</w:t>
      </w:r>
    </w:p>
    <w:p w14:paraId="3566E32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校企双方资源投入的对称性</w:t>
      </w:r>
    </w:p>
    <w:p w14:paraId="30FD695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共建成果的可测量度</w:t>
      </w:r>
    </w:p>
    <w:p w14:paraId="1A4540D2">
      <w:r>
        <w:rPr>
          <w:b/>
        </w:rPr>
        <w:t>参考度量方式</w:t>
      </w:r>
      <w:r>
        <w:t>：</w:t>
      </w:r>
    </w:p>
    <w:p w14:paraId="07FF2C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产业学院有独立的治理架构、运行制度和年度计划，实质性运作</w:t>
      </w:r>
    </w:p>
    <w:p w14:paraId="5E2009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校企双方年均投入比不低于4:6（校:企，含人力、设备、资金等折算）</w:t>
      </w:r>
    </w:p>
    <w:p w14:paraId="2CCB64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共建成果（人才培养/技术服务/标准制定等）年度可量化≥5项</w:t>
      </w:r>
    </w:p>
    <w:p w14:paraId="2234B253">
      <w:pPr>
        <w:pStyle w:val="169"/>
        <w:pBdr>
          <w:top w:val="single" w:color="CCCCCC" w:sz="8" w:space="0"/>
        </w:pBdr>
        <w:spacing w:after="240"/>
      </w:pPr>
    </w:p>
    <w:p w14:paraId="6A28FC4E">
      <w:pPr>
        <w:pStyle w:val="5"/>
      </w:pPr>
      <w:r>
        <w:t>F2. 区域服务能力</w:t>
      </w:r>
    </w:p>
    <w:p w14:paraId="3EED05CB">
      <w:pPr>
        <w:pStyle w:val="6"/>
      </w:pPr>
      <w:r>
        <w:t>F2.1 技术成果转化与产业服务</w:t>
      </w:r>
    </w:p>
    <w:p w14:paraId="65220480">
      <w:r>
        <w:rPr>
          <w:b/>
        </w:rPr>
        <w:t>理想状态描述</w:t>
      </w:r>
      <w:r>
        <w:t>：专业不仅是人才培养的基地，也是区域技术创新的活跃节点。教师和学生团队持续为区域企业提供技术方案、咨询服务、标准制定等实际服务，且这些服务具有真实的产业价值——不是"为了横向课题经费"的走过场，而是真正帮助企业解决了问题、降低了成本、提升了效率。</w:t>
      </w:r>
    </w:p>
    <w:p w14:paraId="310D23F9">
      <w:r>
        <w:rPr>
          <w:b/>
        </w:rPr>
        <w:t>核心观测点</w:t>
      </w:r>
      <w:r>
        <w:t>：</w:t>
      </w:r>
    </w:p>
    <w:p w14:paraId="5DF389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技术服务的数量与质量</w:t>
      </w:r>
    </w:p>
    <w:p w14:paraId="4EE59C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技术成果的产业转化效果</w:t>
      </w:r>
    </w:p>
    <w:p w14:paraId="55107E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企业对专业服务的满意度</w:t>
      </w:r>
    </w:p>
    <w:p w14:paraId="48F6F5FC">
      <w:r>
        <w:rPr>
          <w:b/>
        </w:rPr>
        <w:t>参考度量方式</w:t>
      </w:r>
      <w:r>
        <w:t>：</w:t>
      </w:r>
    </w:p>
    <w:p w14:paraId="715CAF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专业年均服务企业数≥20家，其中深度合作≥5家</w:t>
      </w:r>
    </w:p>
    <w:p w14:paraId="267693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技术服务/成果被企业实际应用的比例≥60%</w:t>
      </w:r>
    </w:p>
    <w:p w14:paraId="0A1284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服务企业满意度≥85%</w:t>
      </w:r>
    </w:p>
    <w:p w14:paraId="6FABBD7B">
      <w:pPr>
        <w:pStyle w:val="6"/>
      </w:pPr>
      <w:r>
        <w:t>F2.2 人才供给与区域发展匹配度</w:t>
      </w:r>
    </w:p>
    <w:p w14:paraId="42A81ED1">
      <w:r>
        <w:rPr>
          <w:b/>
        </w:rPr>
        <w:t>理想状态描述</w:t>
      </w:r>
      <w:r>
        <w:t>：专业为区域发展输送的人才不是"泛泛的毕业生"，而是精准匹配区域产业需求的"即战力"。毕业生进入区域核心产业的比例高、留存率高、成长速度快。区域产业界对该专业毕业生的评价是"好用、耐用、后劲足"——不仅上手快，而且发展潜力大。</w:t>
      </w:r>
    </w:p>
    <w:p w14:paraId="74819D72">
      <w:r>
        <w:rPr>
          <w:b/>
        </w:rPr>
        <w:t>核心观测点</w:t>
      </w:r>
      <w:r>
        <w:t>：</w:t>
      </w:r>
    </w:p>
    <w:p w14:paraId="72118D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毕业生在区域核心产业的就业率与留存率</w:t>
      </w:r>
    </w:p>
    <w:p w14:paraId="55BC21D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毕业生职业发展速度与质量</w:t>
      </w:r>
    </w:p>
    <w:p w14:paraId="282C6F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产业界对毕业生质量的综合评价</w:t>
      </w:r>
    </w:p>
    <w:p w14:paraId="3AB53268">
      <w:r>
        <w:rPr>
          <w:b/>
        </w:rPr>
        <w:t>参考度量方式</w:t>
      </w:r>
      <w:r>
        <w:t>：</w:t>
      </w:r>
    </w:p>
    <w:p w14:paraId="243369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毕业生在区域核心产业就业率≥60%，3年后留存率≥70%</w:t>
      </w:r>
    </w:p>
    <w:p w14:paraId="4FDBD0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毕业生晋升速度/薪酬水平优于同类院校平均水平≥15%</w:t>
      </w:r>
    </w:p>
    <w:p w14:paraId="7DF931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雇主对毕业生综合评价（好用度/发展潜力）≥4.3/5分</w:t>
      </w:r>
    </w:p>
    <w:p w14:paraId="4B5F9752">
      <w:pPr>
        <w:pStyle w:val="169"/>
        <w:pBdr>
          <w:top w:val="single" w:color="CCCCCC" w:sz="8" w:space="0"/>
        </w:pBdr>
        <w:spacing w:after="240"/>
      </w:pPr>
    </w:p>
    <w:p w14:paraId="3657DC0D">
      <w:pPr>
        <w:pStyle w:val="5"/>
      </w:pPr>
      <w:r>
        <w:t>F3. 开放生态系统</w:t>
      </w:r>
    </w:p>
    <w:p w14:paraId="76EB0980">
      <w:pPr>
        <w:pStyle w:val="6"/>
      </w:pPr>
      <w:r>
        <w:t>F3.1 多元主体协同创新</w:t>
      </w:r>
    </w:p>
    <w:p w14:paraId="5777A55B">
      <w:r>
        <w:rPr>
          <w:b/>
        </w:rPr>
        <w:t>理想状态描述</w:t>
      </w:r>
      <w:r>
        <w:t>：专业构建了一个开放的协同创新生态——企业、政府、社区、科研机构、其他高校、社会组织都是生态的参与者。各方在生态中各取所需、各展所长：企业提供真实问题和实践场景，政府提供政策支持和资源协调，社区提供服务对象和实践基地，科研机构提供前沿知识。专业作为生态的枢纽，连接并催化各方的协同价值。</w:t>
      </w:r>
    </w:p>
    <w:p w14:paraId="16D0CC58">
      <w:r>
        <w:rPr>
          <w:b/>
        </w:rPr>
        <w:t>核心观测点</w:t>
      </w:r>
      <w:r>
        <w:t>：</w:t>
      </w:r>
    </w:p>
    <w:p w14:paraId="579F06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协同创新生态的多元主体构成</w:t>
      </w:r>
    </w:p>
    <w:p w14:paraId="36C0686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生态内各方协作的深度与频次</w:t>
      </w:r>
    </w:p>
    <w:p w14:paraId="30440AC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协同创新的成果产出</w:t>
      </w:r>
    </w:p>
    <w:p w14:paraId="6EC414C7">
      <w:r>
        <w:rPr>
          <w:b/>
        </w:rPr>
        <w:t>参考度量方式</w:t>
      </w:r>
      <w:r>
        <w:t>：</w:t>
      </w:r>
    </w:p>
    <w:p w14:paraId="458B1A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专业协同生态中≥5类主体参与（企业/政府/社区/科研/其他高校等）</w:t>
      </w:r>
    </w:p>
    <w:p w14:paraId="584032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年均协同创新项目≥5项</w:t>
      </w:r>
    </w:p>
    <w:p w14:paraId="48C5AF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协同创新成果（联合专利/标准/报告/社会项目等）年均≥3项</w:t>
      </w:r>
    </w:p>
    <w:p w14:paraId="5149E3CC">
      <w:pPr>
        <w:pStyle w:val="6"/>
      </w:pPr>
      <w:r>
        <w:t>F3.2 社会服务与文化引领</w:t>
      </w:r>
    </w:p>
    <w:p w14:paraId="71E04129">
      <w:r>
        <w:rPr>
          <w:b/>
        </w:rPr>
        <w:t>理想状态描述</w:t>
      </w:r>
      <w:r>
        <w:t>：专业不仅是产业的服务者，也是区域社会进步和文化发展的推动力量。专业师生积极参与区域公共文化服务、科学普及、社区发展、乡村振兴等社会事业，在专业服务社会中体现大学的社会责任。专业成为区域社会的精神高地和文化灯塔。</w:t>
      </w:r>
    </w:p>
    <w:p w14:paraId="498CCF33">
      <w:r>
        <w:rPr>
          <w:b/>
        </w:rPr>
        <w:t>核心观测点</w:t>
      </w:r>
      <w:r>
        <w:t>：</w:t>
      </w:r>
    </w:p>
    <w:p w14:paraId="720F17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社会服务活动的覆盖面与常态化程度</w:t>
      </w:r>
    </w:p>
    <w:p w14:paraId="0BE4C9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社会服务的专业深度</w:t>
      </w:r>
    </w:p>
    <w:p w14:paraId="031A15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专业对区域文化建设的贡献</w:t>
      </w:r>
    </w:p>
    <w:p w14:paraId="59C2F0CA">
      <w:r>
        <w:rPr>
          <w:b/>
        </w:rPr>
        <w:t>参考度量方式</w:t>
      </w:r>
      <w:r>
        <w:t>：</w:t>
      </w:r>
    </w:p>
    <w:p w14:paraId="0C1D4C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年均社会服务项目≥5项，参与师生覆盖率≥50%</w:t>
      </w:r>
    </w:p>
    <w:p w14:paraId="40E591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社会服务项目体现专业特色的比例≥60%</w:t>
      </w:r>
    </w:p>
    <w:p w14:paraId="1902AF8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社会服务获得区域认可（政府表彰/媒体报道/社区好评等）≥2次/年</w:t>
      </w:r>
    </w:p>
    <w:p w14:paraId="79DBCC17">
      <w:pPr>
        <w:pStyle w:val="169"/>
        <w:pBdr>
          <w:top w:val="single" w:color="CCCCCC" w:sz="8" w:space="0"/>
        </w:pBdr>
        <w:spacing w:after="240"/>
      </w:pPr>
    </w:p>
    <w:p w14:paraId="2B0083C4">
      <w:pPr>
        <w:pStyle w:val="4"/>
      </w:pPr>
      <w:r>
        <w:t>G. 学生发展与成长画像</w:t>
      </w:r>
    </w:p>
    <w:p w14:paraId="65D0EE09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核心理念</w:t>
      </w:r>
      <w:r>
        <w:t>：第四代大学的终极检验标准，不是论文数量、科研经费或排名位次，而是——它培养出来的学生是什么样的。理想状态下，毕业生不是"装满了知识的容器"，而是"被点燃了的火种"。他们拥有提出好问题的勇气、判断复杂信息的智慧、创造新价值的激情，以及在不确定世界中持续进化的能力。他们不只是"找到了工作"，而是"准备好了一辈子"。</w:t>
      </w:r>
    </w:p>
    <w:p w14:paraId="3D8C12FD">
      <w:pPr>
        <w:pStyle w:val="5"/>
      </w:pPr>
      <w:r>
        <w:t>G1. 核心能力达成度</w:t>
      </w:r>
    </w:p>
    <w:p w14:paraId="2981AAB4">
      <w:pPr>
        <w:pStyle w:val="6"/>
      </w:pPr>
      <w:r>
        <w:t>G1.1 新三维核心能力水平</w:t>
      </w:r>
    </w:p>
    <w:p w14:paraId="65422F5D">
      <w:r>
        <w:rPr>
          <w:b/>
        </w:rPr>
        <w:t>理想状态描述</w:t>
      </w:r>
      <w:r>
        <w:t>：每位毕业生都展现出AI时代三大核心能力的高水平达成：</w:t>
      </w:r>
      <w:r>
        <w:rPr>
          <w:b/>
        </w:rPr>
        <w:t>提出问题的能力</w:t>
      </w:r>
      <w:r>
        <w:t>——面对复杂情境能发现真正关键的、有价值的、前人未曾提出的好问题；</w:t>
      </w:r>
      <w:r>
        <w:rPr>
          <w:b/>
        </w:rPr>
        <w:t>判断信息真伪与筛选价值的能力</w:t>
      </w:r>
      <w:r>
        <w:t>——在信息洪流中保持清醒，快速识别可信信息与噪音，做出可靠判断；</w:t>
      </w:r>
      <w:r>
        <w:rPr>
          <w:b/>
        </w:rPr>
        <w:t>创造意义的能力</w:t>
      </w:r>
      <w:r>
        <w:t>——在AI能完成大部分"正确答案"的世界里，赋予事物新的意义和价值。</w:t>
      </w:r>
    </w:p>
    <w:p w14:paraId="33361B37">
      <w:r>
        <w:rPr>
          <w:b/>
        </w:rPr>
        <w:t>核心观测点</w:t>
      </w:r>
      <w:r>
        <w:t>：</w:t>
      </w:r>
    </w:p>
    <w:p w14:paraId="4317CD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提问能力的毕业水平与增值幅度</w:t>
      </w:r>
    </w:p>
    <w:p w14:paraId="3B1E86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信息判断力的毕业水平与增值幅度</w:t>
      </w:r>
    </w:p>
    <w:p w14:paraId="721D0B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意义创造力的毕业水平与增值幅度</w:t>
      </w:r>
    </w:p>
    <w:p w14:paraId="457A7D3A">
      <w:r>
        <w:rPr>
          <w:b/>
        </w:rPr>
        <w:t>参考度量方式</w:t>
      </w:r>
      <w:r>
        <w:t>：</w:t>
      </w:r>
    </w:p>
    <w:p w14:paraId="61F150A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三大核心能力入学测评与毕业测评对比，增值幅度≥40%</w:t>
      </w:r>
    </w:p>
    <w:p w14:paraId="646F7E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毕业时三大核心能力综合达标率≥85%</w:t>
      </w:r>
    </w:p>
    <w:p w14:paraId="7CB5D0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产业导师对毕业生三大核心能力评价≥4.0/5分</w:t>
      </w:r>
    </w:p>
    <w:p w14:paraId="2E4F76C5">
      <w:pPr>
        <w:pStyle w:val="6"/>
      </w:pPr>
      <w:r>
        <w:t>G1.2 专业核心能力与岗位需求对接度</w:t>
      </w:r>
    </w:p>
    <w:p w14:paraId="6D4BC182">
      <w:r>
        <w:rPr>
          <w:b/>
        </w:rPr>
        <w:t>理想状态描述</w:t>
      </w:r>
      <w:r>
        <w:t>：毕业生的专业核心能力与产业岗位的真实需求实现"零时差"对接——不是"入职后再培训半年才能上岗"，而是"第一天就能进入工作状态"。这种零时差不是靠机械的技能训练达成的，而是因为整个学习过程都锚定在真实的产业场景中，学生在校期间就已经积累了丰富的实战经验。</w:t>
      </w:r>
    </w:p>
    <w:p w14:paraId="2FACC2C3">
      <w:r>
        <w:rPr>
          <w:b/>
        </w:rPr>
        <w:t>核心观测点</w:t>
      </w:r>
      <w:r>
        <w:t>：</w:t>
      </w:r>
    </w:p>
    <w:p w14:paraId="49DB05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毕业生核心能力与岗位需求的匹配精度</w:t>
      </w:r>
    </w:p>
    <w:p w14:paraId="6CD8463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毕业生入职适应期长度</w:t>
      </w:r>
    </w:p>
    <w:p w14:paraId="76BAD1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雇主对毕业生专业能力的满意度</w:t>
      </w:r>
    </w:p>
    <w:p w14:paraId="02982E00">
      <w:r>
        <w:rPr>
          <w:b/>
        </w:rPr>
        <w:t>参考度量方式</w:t>
      </w:r>
      <w:r>
        <w:t>：</w:t>
      </w:r>
    </w:p>
    <w:p w14:paraId="782037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毕业生核心能力与目标岗位能力要求匹配度≥85%</w:t>
      </w:r>
    </w:p>
    <w:p w14:paraId="3973EC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毕业生入职后适应期≤1个月（雇主评价"能独立工作"的时间）</w:t>
      </w:r>
    </w:p>
    <w:p w14:paraId="2A33B1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雇主对毕业生专业能力满意度≥90%</w:t>
      </w:r>
    </w:p>
    <w:p w14:paraId="620D1EAF">
      <w:pPr>
        <w:pStyle w:val="6"/>
      </w:pPr>
      <w:r>
        <w:t>G1.3 器识素养</w:t>
      </w:r>
    </w:p>
    <w:p w14:paraId="047D8B1A">
      <w:r>
        <w:rPr>
          <w:b/>
        </w:rPr>
        <w:t>理想状态描述</w:t>
      </w:r>
      <w:r>
        <w:t>：学生不仅具备专业能力，更具备"器量与见识"——判断力、格局感、价值信仰。面对复杂局面能做出正确判断，面对利益诱惑能坚守职业底线，面对困境能保持格局和定力。这种"器识"不是通过知识课程"教出来"的，而是在真实的挑战、深度的反思和师生的精神交往中"长出来"的。</w:t>
      </w:r>
    </w:p>
    <w:p w14:paraId="07678272">
      <w:r>
        <w:rPr>
          <w:b/>
        </w:rPr>
        <w:t>核心观测点</w:t>
      </w:r>
      <w:r>
        <w:t>：</w:t>
      </w:r>
    </w:p>
    <w:p w14:paraId="3E4B8FD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学生判断力与决策能力的成熟度</w:t>
      </w:r>
    </w:p>
    <w:p w14:paraId="1BE5E8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学生职业伦理与价值信念的稳固度</w:t>
      </w:r>
    </w:p>
    <w:p w14:paraId="774814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学生格局与视野的开阔度</w:t>
      </w:r>
    </w:p>
    <w:p w14:paraId="7164FF49">
      <w:r>
        <w:rPr>
          <w:b/>
        </w:rPr>
        <w:t>参考度量方式</w:t>
      </w:r>
      <w:r>
        <w:t>：</w:t>
      </w:r>
    </w:p>
    <w:p w14:paraId="0B733C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学生在复杂情境决策模拟中的表现达标率≥80%</w:t>
      </w:r>
    </w:p>
    <w:p w14:paraId="508D57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毕业生职业伦理认知与实践表现综合评价≥4.0/5分</w:t>
      </w:r>
    </w:p>
    <w:p w14:paraId="457494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毕业生对行业/社会/全球议题展现出开阔视野与深刻思考</w:t>
      </w:r>
    </w:p>
    <w:p w14:paraId="2A0D6A74">
      <w:pPr>
        <w:pStyle w:val="6"/>
      </w:pPr>
      <w:r>
        <w:t>G1.4 AI核心素养</w:t>
      </w:r>
    </w:p>
    <w:p w14:paraId="1BFA8652">
      <w:r>
        <w:rPr>
          <w:b/>
        </w:rPr>
        <w:t>理想状态描述</w:t>
      </w:r>
      <w:r>
        <w:t>：AI素养不只是计算机专业学生的专属能力，而是第四代大学每位毕业生的"新读写能力"。学生不仅能用AI高效完成学习任务，更理解AI的基本原理与能力边界，能批判性地评估AI输出的可靠性，能在专业场景中主动定义问题并用AI工具求解，同时对AI伦理、数据偏见、人机协作边界有清醒的自觉。学校将AI素养系统嵌入培养方案，而非依赖学生自发摸索——如开设AI通识必修课、在专业课程中融入学科AI应用模块、为学有余力的学生提供AI荣誉项目或深度研修通道。</w:t>
      </w:r>
    </w:p>
    <w:p w14:paraId="54B7828A">
      <w:r>
        <w:rPr>
          <w:b/>
        </w:rPr>
        <w:t>核心观测点</w:t>
      </w:r>
      <w:r>
        <w:t>：</w:t>
      </w:r>
    </w:p>
    <w:p w14:paraId="0F21C7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AI素养纳入培养方案的系统性与覆盖度</w:t>
      </w:r>
    </w:p>
    <w:p w14:paraId="544AEC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学生"理解AI、运用AI、驾驭AI"的分层达成水平</w:t>
      </w:r>
    </w:p>
    <w:p w14:paraId="443FD5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专业课程中AI应用模块的学科融合深度</w:t>
      </w:r>
    </w:p>
    <w:p w14:paraId="255E0D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AI伦理与批判性使用意识的培育成效</w:t>
      </w:r>
    </w:p>
    <w:p w14:paraId="18F8D8DE">
      <w:r>
        <w:rPr>
          <w:b/>
        </w:rPr>
        <w:t>参考度量方式</w:t>
      </w:r>
      <w:r>
        <w:t>：</w:t>
      </w:r>
    </w:p>
    <w:p w14:paraId="5C4391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AI通识/基础能力课程对全体学生的必修覆盖率达100%</w:t>
      </w:r>
    </w:p>
    <w:p w14:paraId="5F3E190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专业核心课程中嵌入学科AI应用模块的比例≥60%</w:t>
      </w:r>
    </w:p>
    <w:p w14:paraId="17315AB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毕业生通过AI素养分层测评（基础运用/专业融合/批判创新）综合达标率≥85%</w:t>
      </w:r>
    </w:p>
    <w:p w14:paraId="74347ED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学生在课程作业/项目中能规范标注AI使用并评估其输出可靠性的比例≥80%</w:t>
      </w:r>
    </w:p>
    <w:p w14:paraId="6B9FD28B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标杆参照</w:t>
      </w:r>
      <w:r>
        <w:t>：上海科技大学已实现理工科100%AI必修，并依托信息学院开设AI荣誉项目（聚焦大模型、机器人、AI芯片，一对一导师+学术沙龙"吸氧计划"）；其AI for Faculty课程同步覆盖通识与分学科高阶模块。应用型本科不必照搬研究型大学的荣誉项目深度，但"AI作为全员基本素养、分层培养、学科融合"的方向具有普适性。</w:t>
      </w:r>
    </w:p>
    <w:p w14:paraId="66203651">
      <w:pPr>
        <w:pStyle w:val="169"/>
        <w:pBdr>
          <w:top w:val="single" w:color="CCCCCC" w:sz="8" w:space="0"/>
        </w:pBdr>
        <w:spacing w:after="240"/>
      </w:pPr>
    </w:p>
    <w:p w14:paraId="6D889909">
      <w:pPr>
        <w:pStyle w:val="5"/>
      </w:pPr>
      <w:r>
        <w:t>G2. 成长可视化与终身学习准备度</w:t>
      </w:r>
    </w:p>
    <w:p w14:paraId="456DA11B">
      <w:pPr>
        <w:pStyle w:val="6"/>
      </w:pPr>
      <w:r>
        <w:t>G2.1 成长过程可追溯性</w:t>
      </w:r>
    </w:p>
    <w:p w14:paraId="298F6B16">
      <w:r>
        <w:rPr>
          <w:b/>
        </w:rPr>
        <w:t>理想状态描述</w:t>
      </w:r>
      <w:r>
        <w:t>：每位学生的成长历程都有完整的、可追溯的记录——不是成绩单上的数字，而是一部丰富的成长故事。从入学时的能力基线，到每一次关键突破、每一个代表性作品、每一段深刻反思，构成了一幅立体的、动态的成长画像。学生自己看得清自己的成长轨迹，雇主也能通过成长画像判断学生的潜力。</w:t>
      </w:r>
    </w:p>
    <w:p w14:paraId="1AD9C20F">
      <w:r>
        <w:rPr>
          <w:b/>
        </w:rPr>
        <w:t>核心观测点</w:t>
      </w:r>
      <w:r>
        <w:t>：</w:t>
      </w:r>
    </w:p>
    <w:p w14:paraId="2FC816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成长记录系统的完整性与丰富度</w:t>
      </w:r>
    </w:p>
    <w:p w14:paraId="0438826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成长轨迹的可追溯性与可信度</w:t>
      </w:r>
    </w:p>
    <w:p w14:paraId="3810031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成长画像对就业/发展的实际支撑价值</w:t>
      </w:r>
    </w:p>
    <w:p w14:paraId="68215A2C">
      <w:r>
        <w:rPr>
          <w:b/>
        </w:rPr>
        <w:t>参考度量方式</w:t>
      </w:r>
      <w:r>
        <w:t>：</w:t>
      </w:r>
    </w:p>
    <w:p w14:paraId="12FC47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学生成长档案覆盖率100%，平均记录条目≥100条/人</w:t>
      </w:r>
    </w:p>
    <w:p w14:paraId="3D44F6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成长档案包含≥5个维度的发展证据</w:t>
      </w:r>
    </w:p>
    <w:p w14:paraId="2353B40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雇主认为成长画像对人才判断有参考价值≥75%</w:t>
      </w:r>
    </w:p>
    <w:p w14:paraId="1FAD3003">
      <w:pPr>
        <w:pStyle w:val="6"/>
      </w:pPr>
      <w:r>
        <w:t>G2.2 终身学习能力与准备度</w:t>
      </w:r>
    </w:p>
    <w:p w14:paraId="6D96CFBA">
      <w:r>
        <w:rPr>
          <w:b/>
        </w:rPr>
        <w:t>理想状态描述</w:t>
      </w:r>
      <w:r>
        <w:t>：毕业生不是"学完了"，而是"准备好了一直学"。他们拥有自主学习的能力、持续进化的意识、拥抱变化的心态。离开学校后，他们不需要被"要求学习"，而是自然地、持续地在新环境中学习、成长、进化。大学四年最大的收获，不是某个知识点，而是"学会了如何学习"和"爱上了成长本身"。</w:t>
      </w:r>
    </w:p>
    <w:p w14:paraId="0FB32E53">
      <w:r>
        <w:rPr>
          <w:b/>
        </w:rPr>
        <w:t>核心观测点</w:t>
      </w:r>
      <w:r>
        <w:t>：</w:t>
      </w:r>
    </w:p>
    <w:p w14:paraId="342D094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自主学习能力的成熟度</w:t>
      </w:r>
    </w:p>
    <w:p w14:paraId="61E832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持续学习的意愿与习惯</w:t>
      </w:r>
    </w:p>
    <w:p w14:paraId="31E762A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适应变化与拥抱不确定性的能力</w:t>
      </w:r>
    </w:p>
    <w:p w14:paraId="387C58C0">
      <w:r>
        <w:rPr>
          <w:b/>
        </w:rPr>
        <w:t>参考度量方式</w:t>
      </w:r>
      <w:r>
        <w:t>：</w:t>
      </w:r>
    </w:p>
    <w:p w14:paraId="0BA0AB2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毕业生自主学习能力测评达标率≥85%</w:t>
      </w:r>
    </w:p>
    <w:p w14:paraId="7BDCEB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毕业后1年内持续学习行为（在线课程/职业培训/自主学习等）参与率≥80%</w:t>
      </w:r>
    </w:p>
    <w:p w14:paraId="59DD64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毕业后职业发展呈持续上升趋势的比例≥75%</w:t>
      </w:r>
    </w:p>
    <w:p w14:paraId="7BDF79B9">
      <w:pPr>
        <w:pStyle w:val="169"/>
        <w:pBdr>
          <w:top w:val="single" w:color="CCCCCC" w:sz="8" w:space="0"/>
        </w:pBdr>
        <w:spacing w:after="240"/>
      </w:pPr>
    </w:p>
    <w:p w14:paraId="2A635FB8">
      <w:pPr>
        <w:pStyle w:val="5"/>
      </w:pPr>
      <w:r>
        <w:t>G3. 长期发展追踪</w:t>
      </w:r>
    </w:p>
    <w:p w14:paraId="7A5531F1">
      <w:pPr>
        <w:pStyle w:val="6"/>
      </w:pPr>
      <w:r>
        <w:t>G3.1 毕业后发展追踪体系</w:t>
      </w:r>
    </w:p>
    <w:p w14:paraId="425EEB59">
      <w:r>
        <w:rPr>
          <w:b/>
        </w:rPr>
        <w:t>理想状态描述</w:t>
      </w:r>
      <w:r>
        <w:t>：专业不是在学生毕业那天才"完成使命"，而是持续追踪每位毕业生毕业后3-5年的发展轨迹。追踪不是为了填写评估表格，而是为了回答一个核心问题：我们的教育是否真正为学生的一生奠定了坚实的基础？追踪数据也是专业持续改进的核心输入——毕业生的发展轨迹，是对教育质量最有力的检验。</w:t>
      </w:r>
    </w:p>
    <w:p w14:paraId="2EC407E7">
      <w:r>
        <w:rPr>
          <w:b/>
        </w:rPr>
        <w:t>核心观测点</w:t>
      </w:r>
      <w:r>
        <w:t>：</w:t>
      </w:r>
    </w:p>
    <w:p w14:paraId="51B3EA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追踪体系的制度化与常态化</w:t>
      </w:r>
    </w:p>
    <w:p w14:paraId="19CBAB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追踪数据的完整性与深度</w:t>
      </w:r>
    </w:p>
    <w:p w14:paraId="2DB01B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追踪数据向教学改进的转化</w:t>
      </w:r>
    </w:p>
    <w:p w14:paraId="3FF15FE4">
      <w:r>
        <w:rPr>
          <w:b/>
        </w:rPr>
        <w:t>参考度量方式</w:t>
      </w:r>
      <w:r>
        <w:t>：</w:t>
      </w:r>
    </w:p>
    <w:p w14:paraId="4FD4C9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毕业后追踪覆盖率≥80%，追踪周期≥3年</w:t>
      </w:r>
    </w:p>
    <w:p w14:paraId="70F483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追踪维度≥5个（就业质量/职业发展/能力成长/满意度/社会贡献等）</w:t>
      </w:r>
    </w:p>
    <w:p w14:paraId="050179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追踪数据每年转化为≥3项教学改进行动</w:t>
      </w:r>
    </w:p>
    <w:p w14:paraId="5A41F212">
      <w:pPr>
        <w:pStyle w:val="6"/>
      </w:pPr>
      <w:r>
        <w:t>G3.2 毕业生长期成就与社会贡献</w:t>
      </w:r>
    </w:p>
    <w:p w14:paraId="67C49645">
      <w:r>
        <w:rPr>
          <w:b/>
        </w:rPr>
        <w:t>理想状态描述</w:t>
      </w:r>
      <w:r>
        <w:t>：最终极的检验标准是——毕业生在5-10年后的发展成就和社会贡献。他们是否成为所在领域的骨干力量？是否推动了产业的进步？是否在各自的岗位上创造了独特的价值？他们的发展轨迹是否证明了专业教育的长期价值？这不是短期就业数据能够回答的问题，而是教育的"后劲儿"——真正好的教育，其价值会随着时间推移越来越明显。</w:t>
      </w:r>
    </w:p>
    <w:p w14:paraId="6EA2411D">
      <w:r>
        <w:rPr>
          <w:b/>
        </w:rPr>
        <w:t>核心观测点</w:t>
      </w:r>
      <w:r>
        <w:t>：</w:t>
      </w:r>
    </w:p>
    <w:p w14:paraId="580ABE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毕业生5-10年后的职业发展水平</w:t>
      </w:r>
    </w:p>
    <w:p w14:paraId="46C368C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毕业生的行业影响力与社会贡献</w:t>
      </w:r>
    </w:p>
    <w:p w14:paraId="3222D35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毕业生对专业教育的长期价值评价</w:t>
      </w:r>
    </w:p>
    <w:p w14:paraId="0C5B9795">
      <w:r>
        <w:rPr>
          <w:b/>
        </w:rPr>
        <w:t>参考度量方式</w:t>
      </w:r>
      <w:r>
        <w:t>：</w:t>
      </w:r>
    </w:p>
    <w:p w14:paraId="4ECBBD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毕业5年后担任核心岗位/中层以上管理/创业的比例≥40%</w:t>
      </w:r>
    </w:p>
    <w:p w14:paraId="05C437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毕业生获得行业认可（奖项/专利/标准/重要项目等）的比例≥20%</w:t>
      </w:r>
    </w:p>
    <w:p w14:paraId="010E2F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毕业5年后学生对专业教育价值评价≥4.5/5分</w:t>
      </w:r>
    </w:p>
    <w:p w14:paraId="4ABB49D3">
      <w:pPr>
        <w:pStyle w:val="169"/>
        <w:pBdr>
          <w:top w:val="single" w:color="CCCCCC" w:sz="8" w:space="0"/>
        </w:pBdr>
        <w:spacing w:after="240"/>
      </w:pPr>
    </w:p>
    <w:p w14:paraId="0100DFA2">
      <w:pPr>
        <w:pStyle w:val="4"/>
      </w:pPr>
      <w:r>
        <w:t>两份指标体系的关系说明</w:t>
      </w:r>
    </w:p>
    <w:p w14:paraId="24A0525B">
      <w:pPr>
        <w:pStyle w:val="5"/>
      </w:pPr>
      <w:r>
        <w:t>一、本质关系：目的与路径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B2FACB0">
        <w:trPr>
          <w:jc w:val="center"/>
        </w:trPr>
        <w:tc>
          <w:tcPr>
            <w:tcW w:w="2771" w:type="dxa"/>
            <w:shd w:val="clear" w:color="auto" w:fill="F2F2F2"/>
          </w:tcPr>
          <w:p w14:paraId="3CE7094C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4E95B088">
            <w:pPr>
              <w:jc w:val="left"/>
            </w:pPr>
            <w:r>
              <w:rPr>
                <w:b/>
              </w:rPr>
              <w:t>建设期指标</w:t>
            </w:r>
          </w:p>
        </w:tc>
        <w:tc>
          <w:tcPr>
            <w:tcW w:w="2771" w:type="dxa"/>
            <w:shd w:val="clear" w:color="auto" w:fill="F2F2F2"/>
          </w:tcPr>
          <w:p w14:paraId="35B21F9C">
            <w:pPr>
              <w:jc w:val="left"/>
            </w:pPr>
            <w:r>
              <w:rPr>
                <w:b/>
              </w:rPr>
              <w:t>理想态指标（本体系）</w:t>
            </w:r>
          </w:p>
        </w:tc>
      </w:tr>
      <w:tr w14:paraId="071E7AA3">
        <w:trPr>
          <w:jc w:val="center"/>
        </w:trPr>
        <w:tc>
          <w:tcPr>
            <w:tcW w:w="2771" w:type="dxa"/>
          </w:tcPr>
          <w:p w14:paraId="6BBF622A">
            <w:pPr>
              <w:jc w:val="left"/>
            </w:pPr>
            <w:r>
              <w:rPr>
                <w:b/>
              </w:rPr>
              <w:t>关注焦点</w:t>
            </w:r>
          </w:p>
        </w:tc>
        <w:tc>
          <w:tcPr>
            <w:tcW w:w="2771" w:type="dxa"/>
          </w:tcPr>
          <w:p w14:paraId="12E3E446">
            <w:pPr>
              <w:jc w:val="left"/>
            </w:pPr>
            <w:r>
              <w:t>你在做什么</w:t>
            </w:r>
          </w:p>
        </w:tc>
        <w:tc>
          <w:tcPr>
            <w:tcW w:w="2771" w:type="dxa"/>
          </w:tcPr>
          <w:p w14:paraId="73C5A249">
            <w:pPr>
              <w:jc w:val="left"/>
            </w:pPr>
            <w:r>
              <w:t>你最终成为了什么</w:t>
            </w:r>
          </w:p>
        </w:tc>
      </w:tr>
      <w:tr w14:paraId="1E157938">
        <w:trPr>
          <w:jc w:val="center"/>
        </w:trPr>
        <w:tc>
          <w:tcPr>
            <w:tcW w:w="2771" w:type="dxa"/>
          </w:tcPr>
          <w:p w14:paraId="129F0C5B">
            <w:pPr>
              <w:jc w:val="left"/>
            </w:pPr>
            <w:r>
              <w:rPr>
                <w:b/>
              </w:rPr>
              <w:t>度量逻辑</w:t>
            </w:r>
          </w:p>
        </w:tc>
        <w:tc>
          <w:tcPr>
            <w:tcW w:w="2771" w:type="dxa"/>
          </w:tcPr>
          <w:p w14:paraId="2B75A7C8">
            <w:pPr>
              <w:jc w:val="left"/>
            </w:pPr>
            <w:r>
              <w:t>过程性度量（"是否""比例""次数"）</w:t>
            </w:r>
          </w:p>
        </w:tc>
        <w:tc>
          <w:tcPr>
            <w:tcW w:w="2771" w:type="dxa"/>
          </w:tcPr>
          <w:p w14:paraId="0102E770">
            <w:pPr>
              <w:jc w:val="left"/>
            </w:pPr>
            <w:r>
              <w:t>结果性度量（"深度""水平""成效"）</w:t>
            </w:r>
          </w:p>
        </w:tc>
      </w:tr>
      <w:tr w14:paraId="2957ED02">
        <w:trPr>
          <w:jc w:val="center"/>
        </w:trPr>
        <w:tc>
          <w:tcPr>
            <w:tcW w:w="2771" w:type="dxa"/>
          </w:tcPr>
          <w:p w14:paraId="08346C3B">
            <w:pPr>
              <w:jc w:val="left"/>
            </w:pPr>
            <w:r>
              <w:rPr>
                <w:b/>
              </w:rPr>
              <w:t>时间视角</w:t>
            </w:r>
          </w:p>
        </w:tc>
        <w:tc>
          <w:tcPr>
            <w:tcW w:w="2771" w:type="dxa"/>
          </w:tcPr>
          <w:p w14:paraId="6AA6560B">
            <w:pPr>
              <w:jc w:val="left"/>
            </w:pPr>
            <w:r>
              <w:t>当下与近期</w:t>
            </w:r>
          </w:p>
        </w:tc>
        <w:tc>
          <w:tcPr>
            <w:tcW w:w="2771" w:type="dxa"/>
          </w:tcPr>
          <w:p w14:paraId="732C4F98">
            <w:pPr>
              <w:jc w:val="left"/>
            </w:pPr>
            <w:r>
              <w:t>终局与长远</w:t>
            </w:r>
          </w:p>
        </w:tc>
      </w:tr>
      <w:tr w14:paraId="459C153A">
        <w:trPr>
          <w:jc w:val="center"/>
        </w:trPr>
        <w:tc>
          <w:tcPr>
            <w:tcW w:w="2771" w:type="dxa"/>
          </w:tcPr>
          <w:p w14:paraId="1FEB002E">
            <w:pPr>
              <w:jc w:val="left"/>
            </w:pPr>
            <w:r>
              <w:rPr>
                <w:b/>
              </w:rPr>
              <w:t>价值导向</w:t>
            </w:r>
          </w:p>
        </w:tc>
        <w:tc>
          <w:tcPr>
            <w:tcW w:w="2771" w:type="dxa"/>
          </w:tcPr>
          <w:p w14:paraId="250C13F1">
            <w:pPr>
              <w:jc w:val="left"/>
            </w:pPr>
            <w:r>
              <w:t>确保过程不走偏</w:t>
            </w:r>
          </w:p>
        </w:tc>
        <w:tc>
          <w:tcPr>
            <w:tcW w:w="2771" w:type="dxa"/>
          </w:tcPr>
          <w:p w14:paraId="7AC87D77">
            <w:pPr>
              <w:jc w:val="left"/>
            </w:pPr>
            <w:r>
              <w:t>确保方向不错位</w:t>
            </w:r>
          </w:p>
        </w:tc>
      </w:tr>
      <w:tr w14:paraId="00B0F1DA">
        <w:trPr>
          <w:jc w:val="center"/>
        </w:trPr>
        <w:tc>
          <w:tcPr>
            <w:tcW w:w="2771" w:type="dxa"/>
          </w:tcPr>
          <w:p w14:paraId="3168F12A">
            <w:pPr>
              <w:jc w:val="left"/>
            </w:pPr>
            <w:r>
              <w:rPr>
                <w:b/>
              </w:rPr>
              <w:t>使用场景</w:t>
            </w:r>
          </w:p>
        </w:tc>
        <w:tc>
          <w:tcPr>
            <w:tcW w:w="2771" w:type="dxa"/>
          </w:tcPr>
          <w:p w14:paraId="02FC3586">
            <w:pPr>
              <w:jc w:val="left"/>
            </w:pPr>
            <w:r>
              <w:t>建设过程中的自我检查与阶段评估</w:t>
            </w:r>
          </w:p>
        </w:tc>
        <w:tc>
          <w:tcPr>
            <w:tcW w:w="2771" w:type="dxa"/>
          </w:tcPr>
          <w:p w14:paraId="6473890F">
            <w:pPr>
              <w:jc w:val="left"/>
            </w:pPr>
            <w:r>
              <w:t>建设完成后的终态评价与持续改进</w:t>
            </w:r>
          </w:p>
        </w:tc>
      </w:tr>
    </w:tbl>
    <w:p w14:paraId="454F9D60"/>
    <w:p w14:paraId="01D75886">
      <w:pPr>
        <w:pStyle w:val="5"/>
      </w:pPr>
      <w:r>
        <w:t>二、典型对照示例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E7F0D71">
        <w:trPr>
          <w:jc w:val="center"/>
        </w:trPr>
        <w:tc>
          <w:tcPr>
            <w:tcW w:w="2771" w:type="dxa"/>
            <w:shd w:val="clear" w:color="auto" w:fill="F2F2F2"/>
          </w:tcPr>
          <w:p w14:paraId="425ADB42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3AE6630D">
            <w:pPr>
              <w:jc w:val="left"/>
            </w:pPr>
            <w:r>
              <w:rPr>
                <w:b/>
              </w:rPr>
              <w:t>建设期指标示例</w:t>
            </w:r>
          </w:p>
        </w:tc>
        <w:tc>
          <w:tcPr>
            <w:tcW w:w="2771" w:type="dxa"/>
            <w:shd w:val="clear" w:color="auto" w:fill="F2F2F2"/>
          </w:tcPr>
          <w:p w14:paraId="32385249">
            <w:pPr>
              <w:jc w:val="left"/>
            </w:pPr>
            <w:r>
              <w:rPr>
                <w:b/>
              </w:rPr>
              <w:t>理想态指标对应</w:t>
            </w:r>
          </w:p>
        </w:tc>
      </w:tr>
      <w:tr w14:paraId="161FDFF6">
        <w:trPr>
          <w:jc w:val="center"/>
        </w:trPr>
        <w:tc>
          <w:tcPr>
            <w:tcW w:w="2771" w:type="dxa"/>
          </w:tcPr>
          <w:p w14:paraId="39DDF922">
            <w:pPr>
              <w:jc w:val="left"/>
            </w:pPr>
            <w:r>
              <w:t>产教融合</w:t>
            </w:r>
          </w:p>
        </w:tc>
        <w:tc>
          <w:tcPr>
            <w:tcW w:w="2771" w:type="dxa"/>
          </w:tcPr>
          <w:p w14:paraId="4913366A">
            <w:pPr>
              <w:jc w:val="left"/>
            </w:pPr>
            <w:r>
              <w:t>是否签订了校企合作协议？合作企业≥5家？</w:t>
            </w:r>
          </w:p>
        </w:tc>
        <w:tc>
          <w:tcPr>
            <w:tcW w:w="2771" w:type="dxa"/>
          </w:tcPr>
          <w:p w14:paraId="3491B956">
            <w:pPr>
              <w:jc w:val="left"/>
            </w:pPr>
            <w:r>
              <w:t>产业是否成为人才培养的共生伙伴？产教是否形成协同进化关系？</w:t>
            </w:r>
          </w:p>
        </w:tc>
      </w:tr>
      <w:tr w14:paraId="1E90477F">
        <w:trPr>
          <w:jc w:val="center"/>
        </w:trPr>
        <w:tc>
          <w:tcPr>
            <w:tcW w:w="2771" w:type="dxa"/>
          </w:tcPr>
          <w:p w14:paraId="0C9D292B">
            <w:pPr>
              <w:jc w:val="left"/>
            </w:pPr>
            <w:r>
              <w:t>课程体系</w:t>
            </w:r>
          </w:p>
        </w:tc>
        <w:tc>
          <w:tcPr>
            <w:tcW w:w="2771" w:type="dxa"/>
          </w:tcPr>
          <w:p w14:paraId="4FEE8A04">
            <w:pPr>
              <w:jc w:val="left"/>
            </w:pPr>
            <w:r>
              <w:t>是否完成了课程映射矩阵？覆盖率是否≥80%？</w:t>
            </w:r>
          </w:p>
        </w:tc>
        <w:tc>
          <w:tcPr>
            <w:tcW w:w="2771" w:type="dxa"/>
          </w:tcPr>
          <w:p w14:paraId="64BE3653">
            <w:pPr>
              <w:jc w:val="left"/>
            </w:pPr>
            <w:r>
              <w:t>课程体系是否实现了AI赋能的三层架构？知识-场景绑定是否达到理想水平？</w:t>
            </w:r>
          </w:p>
        </w:tc>
      </w:tr>
      <w:tr w14:paraId="0177AD4B">
        <w:trPr>
          <w:jc w:val="center"/>
        </w:trPr>
        <w:tc>
          <w:tcPr>
            <w:tcW w:w="2771" w:type="dxa"/>
          </w:tcPr>
          <w:p w14:paraId="2489EC64">
            <w:pPr>
              <w:jc w:val="left"/>
            </w:pPr>
            <w:r>
              <w:t>教学模式</w:t>
            </w:r>
          </w:p>
        </w:tc>
        <w:tc>
          <w:tcPr>
            <w:tcW w:w="2771" w:type="dxa"/>
          </w:tcPr>
          <w:p w14:paraId="745E47F1">
            <w:pPr>
              <w:jc w:val="left"/>
            </w:pPr>
            <w:r>
              <w:t>是否引入了AI教学工具？使用率是否达标？</w:t>
            </w:r>
          </w:p>
        </w:tc>
        <w:tc>
          <w:tcPr>
            <w:tcW w:w="2771" w:type="dxa"/>
          </w:tcPr>
          <w:p w14:paraId="25420481">
            <w:pPr>
              <w:jc w:val="left"/>
            </w:pPr>
            <w:r>
              <w:t>人机协同教学是否达到流畅自然的水平？课堂是否真正实现了能力培养？</w:t>
            </w:r>
          </w:p>
        </w:tc>
      </w:tr>
      <w:tr w14:paraId="4E86398E">
        <w:trPr>
          <w:jc w:val="center"/>
        </w:trPr>
        <w:tc>
          <w:tcPr>
            <w:tcW w:w="2771" w:type="dxa"/>
          </w:tcPr>
          <w:p w14:paraId="6594D216">
            <w:pPr>
              <w:jc w:val="left"/>
            </w:pPr>
            <w:r>
              <w:t>教师队伍</w:t>
            </w:r>
          </w:p>
        </w:tc>
        <w:tc>
          <w:tcPr>
            <w:tcW w:w="2771" w:type="dxa"/>
          </w:tcPr>
          <w:p w14:paraId="665DA028">
            <w:pPr>
              <w:jc w:val="left"/>
            </w:pPr>
            <w:r>
              <w:t>具有产业经历的教师比例是否≥50%？</w:t>
            </w:r>
          </w:p>
        </w:tc>
        <w:tc>
          <w:tcPr>
            <w:tcW w:w="2771" w:type="dxa"/>
          </w:tcPr>
          <w:p w14:paraId="10D37C40">
            <w:pPr>
              <w:jc w:val="left"/>
            </w:pPr>
            <w:r>
              <w:t>教师是否完成了从知识传授者到成长引导者的角色蜕变？</w:t>
            </w:r>
          </w:p>
        </w:tc>
      </w:tr>
      <w:tr w14:paraId="6F48EF9B">
        <w:trPr>
          <w:jc w:val="center"/>
        </w:trPr>
        <w:tc>
          <w:tcPr>
            <w:tcW w:w="2771" w:type="dxa"/>
          </w:tcPr>
          <w:p w14:paraId="4871591C">
            <w:pPr>
              <w:jc w:val="left"/>
            </w:pPr>
            <w:r>
              <w:t>评价机制</w:t>
            </w:r>
          </w:p>
        </w:tc>
        <w:tc>
          <w:tcPr>
            <w:tcW w:w="2771" w:type="dxa"/>
          </w:tcPr>
          <w:p w14:paraId="5A5A6A64">
            <w:pPr>
              <w:jc w:val="left"/>
            </w:pPr>
            <w:r>
              <w:t>是否建立了过程性评价制度？</w:t>
            </w:r>
          </w:p>
        </w:tc>
        <w:tc>
          <w:tcPr>
            <w:tcW w:w="2771" w:type="dxa"/>
          </w:tcPr>
          <w:p w14:paraId="6F04F291">
            <w:pPr>
              <w:jc w:val="left"/>
            </w:pPr>
            <w:r>
              <w:t>评价是否实现了从存量到流量、从文凭到能力的根本转型？</w:t>
            </w:r>
          </w:p>
        </w:tc>
      </w:tr>
      <w:tr w14:paraId="5643CEB7">
        <w:trPr>
          <w:jc w:val="center"/>
        </w:trPr>
        <w:tc>
          <w:tcPr>
            <w:tcW w:w="2771" w:type="dxa"/>
          </w:tcPr>
          <w:p w14:paraId="7230F95C">
            <w:pPr>
              <w:jc w:val="left"/>
            </w:pPr>
            <w:r>
              <w:t>学生发展</w:t>
            </w:r>
          </w:p>
        </w:tc>
        <w:tc>
          <w:tcPr>
            <w:tcW w:w="2771" w:type="dxa"/>
          </w:tcPr>
          <w:p w14:paraId="6C261A7B">
            <w:pPr>
              <w:jc w:val="left"/>
            </w:pPr>
            <w:r>
              <w:t>就业率是否达标？薪资水平是否合格？</w:t>
            </w:r>
          </w:p>
        </w:tc>
        <w:tc>
          <w:tcPr>
            <w:tcW w:w="2771" w:type="dxa"/>
          </w:tcPr>
          <w:p w14:paraId="6B7450D5">
            <w:pPr>
              <w:jc w:val="left"/>
            </w:pPr>
            <w:r>
              <w:t>学生是否具备终身学习能力和AI时代三大核心能力？</w:t>
            </w:r>
          </w:p>
        </w:tc>
      </w:tr>
      <w:tr w14:paraId="05C3C18D">
        <w:trPr>
          <w:jc w:val="center"/>
        </w:trPr>
        <w:tc>
          <w:tcPr>
            <w:tcW w:w="2771" w:type="dxa"/>
          </w:tcPr>
          <w:p w14:paraId="36E16316">
            <w:pPr>
              <w:jc w:val="left"/>
            </w:pPr>
            <w:r>
              <w:t>组织治理</w:t>
            </w:r>
          </w:p>
        </w:tc>
        <w:tc>
          <w:tcPr>
            <w:tcW w:w="2771" w:type="dxa"/>
          </w:tcPr>
          <w:p w14:paraId="664B91C7">
            <w:pPr>
              <w:jc w:val="left"/>
            </w:pPr>
            <w:r>
              <w:t>是否建立了跨学科课程组/项目组？教师跨学院授课比例是否达标？</w:t>
            </w:r>
          </w:p>
        </w:tc>
        <w:tc>
          <w:tcPr>
            <w:tcW w:w="2771" w:type="dxa"/>
          </w:tcPr>
          <w:p w14:paraId="014E393D">
            <w:pPr>
              <w:jc w:val="left"/>
            </w:pPr>
            <w:r>
              <w:t>科层是否扁平化？教师是否能跨单位动态配置？组织是否为人服务而非人为组织让路？</w:t>
            </w:r>
          </w:p>
        </w:tc>
      </w:tr>
      <w:tr w14:paraId="0AD427AD">
        <w:trPr>
          <w:jc w:val="center"/>
        </w:trPr>
        <w:tc>
          <w:tcPr>
            <w:tcW w:w="2771" w:type="dxa"/>
          </w:tcPr>
          <w:p w14:paraId="27CCB93E">
            <w:pPr>
              <w:jc w:val="left"/>
            </w:pPr>
            <w:r>
              <w:t>AI素养</w:t>
            </w:r>
          </w:p>
        </w:tc>
        <w:tc>
          <w:tcPr>
            <w:tcW w:w="2771" w:type="dxa"/>
          </w:tcPr>
          <w:p w14:paraId="2FDBDF98">
            <w:pPr>
              <w:jc w:val="left"/>
            </w:pPr>
            <w:r>
              <w:t>是否开设AI通识课？教师AI培训覆盖率是否达标？</w:t>
            </w:r>
          </w:p>
        </w:tc>
        <w:tc>
          <w:tcPr>
            <w:tcW w:w="2771" w:type="dxa"/>
          </w:tcPr>
          <w:p w14:paraId="05ECD918">
            <w:pPr>
              <w:jc w:val="left"/>
            </w:pPr>
            <w:r>
              <w:t>学生是否具备"理解AI、运用AI、驾驭AI"的分层AI核心素养？AI是否系统嵌入全员培养方案？</w:t>
            </w:r>
          </w:p>
        </w:tc>
      </w:tr>
    </w:tbl>
    <w:p w14:paraId="25E8BFCB"/>
    <w:p w14:paraId="1B57DC92">
      <w:pPr>
        <w:pStyle w:val="5"/>
      </w:pPr>
      <w:r>
        <w:t>三、使用建议</w:t>
      </w:r>
    </w:p>
    <w:p w14:paraId="5025ABDF">
      <w:r>
        <w:rPr>
          <w:b/>
        </w:rPr>
        <w:t>1. 双体系联动使用</w:t>
      </w:r>
    </w:p>
    <w:p w14:paraId="76DE5223">
      <w:r>
        <w:t>建议将两份指标体系作为"一张地图的两面"来使用：</w:t>
      </w:r>
    </w:p>
    <w:p w14:paraId="2E6A3D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建设期指标</w:t>
      </w:r>
      <w:r>
        <w:t>用于"导航"——在建设过程中定期对照，确保每一步都走在正确的方向上；</w:t>
      </w:r>
    </w:p>
    <w:p w14:paraId="46DF38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理想态指标</w:t>
      </w:r>
      <w:r>
        <w:t>用于"定位"——在建设的关键节点上回望，确认是否正在接近理想终态。</w:t>
      </w:r>
    </w:p>
    <w:p w14:paraId="68097E09">
      <w:r>
        <w:rPr>
          <w:b/>
        </w:rPr>
        <w:t>2. 分阶段侧重</w:t>
      </w:r>
    </w:p>
    <w:p w14:paraId="28BC2C6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建设期前段</w:t>
      </w:r>
      <w:r>
        <w:t>（第1-2年）：以建设期指标为主，夯实基础，确保关键动作到位；</w:t>
      </w:r>
    </w:p>
    <w:p w14:paraId="7B0014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建设期后段</w:t>
      </w:r>
      <w:r>
        <w:t>（第3-4年）：逐步增加理想态指标的权重，开始关注结果的达成度；</w:t>
      </w:r>
    </w:p>
    <w:p w14:paraId="23A75A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建成期及之后</w:t>
      </w:r>
      <w:r>
        <w:t>：以理想态指标为主，持续关注理想状态的维持与进化。</w:t>
      </w:r>
    </w:p>
    <w:p w14:paraId="613B173E">
      <w:r>
        <w:rPr>
          <w:b/>
        </w:rPr>
        <w:t>3. 差异化应用</w:t>
      </w:r>
    </w:p>
    <w:p w14:paraId="784345B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对于刚启动转型的专业，先用建设期指标"兜底"，确保基本动作不走样；</w:t>
      </w:r>
    </w:p>
    <w:p w14:paraId="76CD68C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对于已完成基础建设的专业，直接用理想态指标"拉高"，牵引向更高水平迈进；</w:t>
      </w:r>
    </w:p>
    <w:p w14:paraId="4A22F7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对于已达到较高水平的专业，以理想态指标为"自我革新"的参照系，持续追求卓越。</w:t>
      </w:r>
    </w:p>
    <w:p w14:paraId="49DDF9E3">
      <w:r>
        <w:rPr>
          <w:b/>
        </w:rPr>
        <w:t>4. 动态演进</w:t>
      </w:r>
    </w:p>
    <w:p w14:paraId="069505C7">
      <w:r>
        <w:t>本理想态指标体系本身也需要持续演进。建议每2-3年进行一次审视和更新，将教育领域的最新发展（特别是AI技术的突破性进展）纳入指标内涵，确保指标体系始终保持前瞻性和引领性。</w:t>
      </w:r>
    </w:p>
    <w:p w14:paraId="4B0B82BA">
      <w:pPr>
        <w:pStyle w:val="169"/>
        <w:pBdr>
          <w:top w:val="single" w:color="CCCCCC" w:sz="8" w:space="0"/>
        </w:pBdr>
        <w:spacing w:after="240"/>
      </w:pPr>
    </w:p>
    <w:p w14:paraId="6A160D36">
      <w:pPr>
        <w:pStyle w:val="4"/>
      </w:pPr>
      <w:r>
        <w:t>附录：标杆案例参考——上海科技大学AI赋能教育的制度实践</w:t>
      </w:r>
    </w:p>
    <w:p w14:paraId="602E8939">
      <w:pPr>
        <w:pStyle w:val="164"/>
        <w:pBdr>
          <w:left w:val="single" w:color="CCCCCC" w:sz="24" w:space="0"/>
        </w:pBdr>
        <w:shd w:val="clear" w:fill="F8F8F8"/>
      </w:pPr>
      <w:r>
        <w:t>本附录以上海科技大学为研究型大学样本，提炼其在组织治理、AI赋能教学、师资发展、人才培养等方面的制度设计原理。</w:t>
      </w:r>
      <w:r>
        <w:rPr>
          <w:b/>
        </w:rPr>
        <w:t>上科大是小规模、高水平、研究型、创新型大学（师生比约1:10–1:12、常任教授制、地处张江科学城），其具体数字不能直接作为省属应用型本科的达标地标；本体系借鉴的是制度逻辑，度量标准已按应用型本科实际重新校准。</w:t>
      </w:r>
    </w:p>
    <w:p w14:paraId="151AF83A">
      <w:pPr>
        <w:pStyle w:val="5"/>
      </w:pPr>
      <w:r>
        <w:t>一、组织治理：大学院制与扁平化</w:t>
      </w:r>
    </w:p>
    <w:p w14:paraId="6775195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学院下不设系</w:t>
      </w:r>
      <w:r>
        <w:t>：上科大设物质、生命、信息、创管、创艺等学院，实行"大学院制，学院下不设系"。如物质学院涵盖物理、化学、材料，下设相对独立的交叉研究部，以促进学科交叉。（对应本体系 D5.1）</w:t>
      </w:r>
    </w:p>
    <w:p w14:paraId="61D441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扁平化行政团队</w:t>
      </w:r>
      <w:r>
        <w:t>：人力资源处明确以"高效、精干、扁平化的教辅及行政团队"为建设目标，减少层级内耗。（对应 D5.1）</w:t>
      </w:r>
    </w:p>
    <w:p w14:paraId="5D18DB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双聘与柔性流动</w:t>
      </w:r>
      <w:r>
        <w:t>：教师可在学院与研究所之间双聘（如生命学院与iHuman研究所双聘），常任教授与特聘教授并行，与中科院研究所、龙头企业共建联合实验室，形成高流动性师资配置。（对应 D5.2）</w:t>
      </w:r>
    </w:p>
    <w:p w14:paraId="4B425A95">
      <w:pPr>
        <w:pStyle w:val="5"/>
      </w:pPr>
      <w:r>
        <w:t>二、AI赋能教学：校级平台底座</w:t>
      </w:r>
    </w:p>
    <w:p w14:paraId="5D3B3FFA">
      <w:r>
        <w:t>上科大作为上海市教育信息化应用标杆培育校，系统规划教育数字化转型，建成校级AI辅助教学平台（对应 C1.2）：</w:t>
      </w:r>
    </w:p>
    <w:p w14:paraId="0CBC863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在线课堂</w:t>
      </w:r>
      <w:r>
        <w:t>：录播系统按课表自动录制，自动生成语音文本、翻译、课件切片、摘要、热词云。</w:t>
      </w:r>
    </w:p>
    <w:p w14:paraId="1A21CB2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多模态教学资源中心</w:t>
      </w:r>
      <w:r>
        <w:t>：汇聚培养方案、课程数据、教学大纲、直播录播、馆藏与开放获取文献、GitHub开源代码、软件工具，一站式服务。</w:t>
      </w:r>
    </w:p>
    <w:p w14:paraId="3B87CC5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课程知识图谱</w:t>
      </w:r>
      <w:r>
        <w:t>：为课程构建知识图谱，串联碎片化知识点，形成系统化学习路径。</w:t>
      </w:r>
    </w:p>
    <w:p w14:paraId="460BAC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课程智能助手与智能学伴</w:t>
      </w:r>
      <w:r>
        <w:t>：基于本地化大模型，辅助教师出题、批改、生成随堂测试与讨论主题；辅助学生答疑、文献阅读、论文写作。《高等材料学》《普通化学》《生物医学影像》《高等数学》等已落地。</w:t>
      </w:r>
    </w:p>
    <w:p w14:paraId="46578754">
      <w:pPr>
        <w:pStyle w:val="5"/>
      </w:pPr>
      <w:r>
        <w:t>三、教师AI能力发展：分层分类培训</w:t>
      </w:r>
    </w:p>
    <w:p w14:paraId="51BBDD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 for Faculty 系列</w:t>
      </w:r>
      <w:r>
        <w:t>："通识普及+学科定制"双轨。通识课覆盖语义识别、三维重建、数据生成、序列建模、语言模型、概率模型及AI4S（AI for Science）平台；分学院高阶课按学科定制（物质学院讲材料设计与生成模型、生命学院讲医疗影像与序列建模、创艺学院讲Stable Diffusion、Fine-Tuning、多Agent与可控AIGC），学员结业须提交应用Proposal。（对应 D3.1）</w:t>
      </w:r>
    </w:p>
    <w:p w14:paraId="03CDF6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教学发展中心进阶营</w:t>
      </w:r>
      <w:r>
        <w:t>："AI时代教与学"专题培训覆盖教师角色转型（顾小清）、实用AI技能与工具链（陈江）、AI助课/助教/助学/助评四助（赵鲁涛）、深度学习设计（梁竹梅）及师生心理健康。新教师入职培训亦包含"AI重塑教学与科研"模块。（对应 D1.1、D3.1）</w:t>
      </w:r>
    </w:p>
    <w:p w14:paraId="5321F3EF">
      <w:pPr>
        <w:pStyle w:val="5"/>
      </w:pPr>
      <w:r>
        <w:t>四、人才培养：AI素养与全员赋能</w:t>
      </w:r>
    </w:p>
    <w:p w14:paraId="2DC1017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AI全员必修</w:t>
      </w:r>
      <w:r>
        <w:t>：据上科大常务副校长印杰2026年全国两会期间透露，学校理工科已实现100%AI必修，推动AI等前沿技术融入教学。（对应 G1.4）</w:t>
      </w:r>
    </w:p>
    <w:p w14:paraId="78E762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AI荣誉项目</w:t>
      </w:r>
      <w:r>
        <w:t>：信息学院2024年秋季启动AI荣誉项目，聚焦大模型、机器人、AI芯片，配一对一导师、加快课程修读、学术沙龙"吸氧计划"，引导学生开展前沿研究。（对应 G1.4 高阶通道）</w:t>
      </w:r>
    </w:p>
    <w:p w14:paraId="672FA30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研究型教学</w:t>
      </w:r>
      <w:r>
        <w:t>：63%的课程采用基于研究的教学模式，82%本科生大三前进入实验室（注：研究型大学标准，应用型本科不可直接对标）。</w:t>
      </w:r>
    </w:p>
    <w:p w14:paraId="4B24E175">
      <w:pPr>
        <w:pStyle w:val="5"/>
      </w:pPr>
      <w:r>
        <w:t>五、教师评价与"在场"：制度托底</w:t>
      </w:r>
    </w:p>
    <w:p w14:paraId="7287E9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常任教授制（Tenure Track）</w:t>
      </w:r>
      <w:r>
        <w:t>：考核重教学、科研、服务三方面，坚持"重品行、重育人、重学问、重能力、重公认"，不唯帽子、不唯数量，不将收入与科研项目挂钩，帮助教师摆脱年度工作量考核束缚。（对应 E2）</w:t>
      </w:r>
    </w:p>
    <w:p w14:paraId="6F5812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学院+书院协同</w:t>
      </w:r>
      <w:r>
        <w:t>：常任教授均担任书院导师，定期与本科生见面、轮流入住宿舍楼，自发开设研讨课、带社会实践，将"在场"制度化。（对应 D1.2）</w:t>
      </w:r>
    </w:p>
    <w:p w14:paraId="216D05D2">
      <w:pPr>
        <w:pStyle w:val="5"/>
      </w:pPr>
      <w:r>
        <w:t>六、对应用型本科的转译提示</w:t>
      </w:r>
    </w:p>
    <w:p w14:paraId="76E566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借逻辑不借数字</w:t>
      </w:r>
      <w:r>
        <w:t>：63%研究型教学、82%进实验室、84%深造率等是研究型大学参数，应用型本科应按自身定位重新设定（如研究型/项目式教学覆盖率可先定30%–40%）。</w:t>
      </w:r>
    </w:p>
    <w:p w14:paraId="15D787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平台优先于工具堆砌</w:t>
      </w:r>
      <w:r>
        <w:t>：优先建校级统一资源中心与课程智能助手，避免教师各自找工具的碎片化。</w:t>
      </w:r>
    </w:p>
    <w:p w14:paraId="445BF2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分层培训可低成本起步</w:t>
      </w:r>
      <w:r>
        <w:t>：不依赖顶尖师资，可采用"校外专家讲座+校内种子教师+学科工作坊+项目结业"的组合。</w:t>
      </w:r>
    </w:p>
    <w:p w14:paraId="3B1942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组织变革分步走</w:t>
      </w:r>
      <w:r>
        <w:t>：不必一步取消"系"，可先设跨学科课程组/项目组、双聘制、跨专业选课，逐步软化科层边界。</w:t>
      </w:r>
    </w:p>
    <w:p w14:paraId="511BE59D">
      <w:r>
        <w:rPr>
          <w:b/>
        </w:rPr>
        <w:t>资料来源</w:t>
      </w:r>
      <w:r>
        <w:t>：上海科技大学官网（shanghaitech.edu.cn）、上科大AI创新计划官网（ai.shanghaitech.edu.cn）、上科大AI辅助教学平台（aiplat.shanghaitech.edu.cn）、上科大教学发展中心（citl.shanghaitech.edu.cn）、科技日报《上海科技大学：打造精品化特色化办学新范式》（2025-08）、上海电视台/解放日报等公开报道（2025–2026）。</w:t>
      </w:r>
    </w:p>
    <w:p w14:paraId="6100F36B">
      <w:pPr>
        <w:pStyle w:val="169"/>
        <w:pBdr>
          <w:top w:val="single" w:color="CCCCCC" w:sz="8" w:space="0"/>
        </w:pBdr>
        <w:spacing w:after="240"/>
      </w:pPr>
    </w:p>
    <w:p w14:paraId="75DFE212">
      <w:pPr>
        <w:pStyle w:val="164"/>
        <w:pBdr>
          <w:left w:val="single" w:color="CCCCCC" w:sz="24" w:space="0"/>
        </w:pBdr>
        <w:shd w:val="clear" w:fill="F8F8F8"/>
      </w:pPr>
      <w:r>
        <w:t>第四代大学不是终点，而是一种持续进化的状态。这份指标体系描述的不是一个静态的"达标线"，而是一个动态的"理想态"。真正的教育创新，永远在路上。</w:t>
      </w:r>
    </w:p>
    <w:p w14:paraId="1EE7D78A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BF9E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D0D6D2A1C9FAAEC82414896AFF08AE08_42</vt:lpwstr>
  </property>
</Properties>
</file>