
<file path=[Content_Types].xml><?xml version="1.0" encoding="utf-8"?>
<Types xmlns="http://schemas.openxmlformats.org/package/2006/content-types">
  <Default ContentType="image/png" Extension="png"/>
  <Default ContentType="image/png" Extension="tmp"/>
  <Default ContentType="image/jpeg" Extension="jpeg"/>
  <Default ContentType="image/jpeg" Extension="jpg!d"/>
  <Default ContentType="image/jpg" Extension="jpg"/>
  <Default ContentType="image/webp" Extension="webp"/>
  <Default ContentType="image/bmp" Extension="bmp"/>
  <Default ContentType="image/gif" Extension="gif"/>
  <Default ContentType="image/tiff" Extension="tiff"/>
  <Default ContentType="image/x-wmf" Extension="wmf"/>
  <Default ContentType="image/x-wmf" Extension="bin"/>
  <Default ContentType="image/x-emf" Extension="emf"/>
  <Default ContentType="image/aces" Extension="exr"/>
  <Default ContentType="image/x-icon" Extension="ico"/>
  <Default ContentType="application/vnd.openxmlformats-package.relationships+xml" Extension="rels"/>
  <Default ContentType="application/xml" Extension="xml"/>
  <Override PartName="/_rels/.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word/_rels/document.xml.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Relationships xmlns="http://schemas.openxmlformats.org/package/2006/relationships">
  <Relationship Id="rId1" Type="http://schemas.openxmlformats.org/package/2006/relationships/metadata/core-properties" Target="docProps/core.xml" />
  <Relationship Id="rId2" Type="http://schemas.openxmlformats.org/officeDocument/2006/relationships/extended-properties" Target="docProps/app.xml" />
  <Relationship Id="rId3" Type="http://schemas.openxmlformats.org/officeDocument/2006/relationships/officeDocument" Target="word/document.xml" />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wp14="http://schemas.microsoft.com/office/word/2010/wordprocessingDrawing" xmlns:w14="http://schemas.microsoft.com/office/word/2010/wordml" xmlns:w15="http://schemas.microsoft.com/office/word/2012/wordml" mc:Ignorable="w14 w15 wp14">
  <w:body>
    <w:p>
      <w:pPr>
        <w:pStyle w:val="dingding-heading1"/>
      </w:pPr>
      <w:r>
        <w:rPr>
          <w:sz w:val="48"/>
          <w:b w:val="1"/>
        </w:rPr>
        <w:t xml:space="preserve">平方Narrative(中英双语）Palantir风格</w:t>
      </w:r>
    </w:p>
    <w:p>
      <w:bookmarkStart w:id="mt0uidicwiyhgg0al8k" w:name="mt0uidicwiyhgg0al8k"/>
      <w:pPr>
        <w:pStyle w:val="dingding-heading1"/>
        <w:ind/>
      </w:pPr>
      <w:r>
        <w:t xml:space="preserve">VISIONSQUARE INC.</w:t>
      </w:r>
      <w:bookmarkEnd w:id="mt0uidicwiyhgg0al8k"/>
    </w:p>
    <w:p>
      <w:bookmarkStart w:id="mt0uidicxdbohq6ynw8" w:name="mt0uidicxdbohq6ynw8"/>
      <w:pPr>
        <w:pStyle w:val="dingding-heading2"/>
        <w:ind/>
      </w:pPr>
      <w:r>
        <w:t xml:space="preserve">平方创想教育科技（北京）有限公司</w:t>
      </w:r>
      <w:bookmarkEnd w:id="mt0uidicxdbohq6ynw8"/>
    </w:p>
    <w:p>
      <w:pPr>
        <w:pBdr>
          <w:top w:val="none" w:sz="6" w:space="0" w:color="000000"/>
        </w:pBdr>
      </w:pPr>
    </w:p>
    <w:p>
      <w:pPr/>
      <w:r>
        <w:t xml:space="preserve">We build trustworthy data infrastructure and AI platforms for the education, science, and talent sectors — industries where decisions about people shape the future of nations. Those decisions must be grounded in truth, not guesswork. To make them so, institutions need data and AI they can trust.</w:t>
      </w:r>
    </w:p>
    <w:p>
      <w:pPr/>
      <w:r>
        <w:t xml:space="preserve">We were founded in 2013 and started building data infrastructure for the education sector in China to assist in talent evaluation, academic development planning, and institutional decision-making. We later began working with government agencies, research institutions, and commercial enterprises across the broader education-science-talent ecosystem.</w:t>
      </w:r>
    </w:p>
    <w:p>
      <w:pPr/>
      <w:r>
        <w:t xml:space="preserve">We have built a core technology stack called SquareCore, which consists of three tightly integrated components: Knowledge Square (our data and knowledge infrastructure), SquareAI (our industry-vertical AI engine and agent framework), and Flora (our low-code development framework for rapidly building and deploying applications). Together, these components form a central operating system for the education-science-talent sector — an industry that, despite its enormous societal importance, has been underserved by technology for decades.</w:t>
      </w:r>
    </w:p>
    <w:p>
      <w:pPr/>
      <w:r>
        <w:t xml:space="preserve">Knowledge Square, our foundational layer, was constructed over more than a decade of continuous investment. We were building structured data assets across 233 countries and territories before it was fashionable to talk about "data moats." Our knowledge graph connects people to institutions, research outputs to industry needs, and talent to opportunity — across 15,000+ universities, 34 million researcher profiles, 230 million academic papers, and 180 million patents.</w:t>
      </w:r>
    </w:p>
    <w:p>
      <w:pPr/>
      <w:r>
        <w:t xml:space="preserve">SquareAI, our intelligence layer, was built on top of this data foundation. It is not a general-purpose large language model. It is an industry-vertical AI engine trained on the specialized knowledge, evaluation frameworks, and domain logic that our team has accumulated through a decade of working with the Ministry of Education, top universities, and government talent agencies. We have deployed six scene-specific models covering academic development, campus recruitment, institution governance, industry-academia collaboration, global talent mapping, and institutional empowerment.</w:t>
      </w:r>
    </w:p>
    <w:p>
      <w:pPr/>
      <w:r>
        <w:t xml:space="preserve">Flora, our delivery layer, enables us to rapidly build, customize, and deploy workstation products and AI agents for different customer segments — from individual students to university presidents to government science bureaus — without starting from scratch each time.</w:t>
      </w:r>
    </w:p>
    <w:p>
      <w:pPr/>
      <w:r>
        <w:t xml:space="preserve">Our software is deployed in the field. Our technology transfer AI agent, "JiZhuanTong" (技转通), was publicly launched in Wuxi and received front-page coverage in the Wuxi Daily. It is now being deployed in Shanghai Xuhui, Shenzhen Longgang, and Beijing Haidian. Our personal AI agent, "ZhiJi" (知己), serves over 3 million registered users. Our institutional AI agent, "YiDa" (一答), is being adopted by universities and enterprises across China.</w:t>
      </w:r>
    </w:p>
    <w:p>
      <w:pPr/>
      <w:r>
        <w:t xml:space="preserve">The stakes are high. The education-science-talent sector is where a country's human capital is formed, evaluated, allocated, and deployed. A wrong decision about which researcher to fund, which student to admit, which technology to transfer, or which talent to recruit can have consequences that ripple for decades. We believe that the institutions responsible for these decisions deserve the same caliber of data infrastructure and AI that the defense and intelligence communities demand — and that is exactly what we have built.</w:t>
      </w:r>
    </w:p>
    <w:p>
      <w:pPr>
        <w:pBdr>
          <w:top w:val="none" w:sz="6" w:space="0" w:color="000000"/>
        </w:pBdr>
      </w:pPr>
    </w:p>
    <w:p>
      <w:bookmarkStart w:id="mt0uididofv4a7z3bor" w:name="mt0uididofv4a7z3bor"/>
      <w:pPr>
        <w:pStyle w:val="dingding-heading2"/>
        <w:ind/>
      </w:pPr>
      <w:r>
        <w:t xml:space="preserve">Our History</w:t>
      </w:r>
      <w:bookmarkEnd w:id="mt0uididofv4a7z3bor"/>
    </w:p>
    <w:p>
      <w:pPr/>
      <w:r>
        <w:t xml:space="preserve">VisionSquare was founded in 2013 by Gang Wang, a technology entrepreneur with deep expertise in education data science and AI. Our first product, ApplySquare (申请方), was a platform for international education planning, serving students navigating the complex decisions involved in studying abroad.</w:t>
      </w:r>
    </w:p>
    <w:p>
      <w:pPr/>
      <w:r>
        <w:t xml:space="preserve">In 2014, we received our angel round of funding. By 2016, we had completed our Series A and launched our institutional brand, SquareStrategics (方略), to serve universities and government education agencies. We established a data processing center and began building what would become the largest structured data infrastructure in the education-science-talent vertical in China.</w:t>
      </w:r>
    </w:p>
    <w:p>
      <w:pPr/>
      <w:r>
        <w:t xml:space="preserve">In 2017, we co-founded the Global School and Student Development Evaluation Research Center with Tsinghua University — a partnership that deepened our understanding of talent evaluation at the highest levels. We also began work on major Ministry of Education data projects, including the "Double First-Class" university evaluation initiative.</w:t>
      </w:r>
    </w:p>
    <w:p>
      <w:pPr/>
      <w:r>
        <w:t xml:space="preserve">By 2019, we released Flora, our proprietary development framework, and published our first Global Education Think Tank Evaluation Report — a publication that has been released annually for seven consecutive years.</w:t>
      </w:r>
    </w:p>
    <w:p>
      <w:pPr/>
      <w:r>
        <w:t xml:space="preserve">In 2022, we completed our Series B funding and were named to the "High-Growth Digital Empowerment Service Organizations to Watch" list. We participated in drafting national and industry standards for smart campus big data.</w:t>
      </w:r>
    </w:p>
    <w:p>
      <w:pPr/>
      <w:r>
        <w:t xml:space="preserve">In 2025, we released our first industry-vertical large language model for the education-science-talent sector, along with ZhiJi (知己), our personal AI agent. We were commissioned by the Ministry of Education to build the integrated Education-Science-Talent knowledge graph and supported the Central Talent Leadership Group in constructing a global talent database.</w:t>
      </w:r>
    </w:p>
    <w:p>
      <w:pPr/>
      <w:r>
        <w:t xml:space="preserve">In 2026, we released YiDa (一答), our institutional AI agent, and launched JiZhuanTong (技转通), our technology transfer AI agent, in Wuxi — marking the beginning of our multi-city deployment strategy. We are now pursuing our B+ round of funding.</w:t>
      </w:r>
    </w:p>
    <w:p>
      <w:pPr/>
      <w:r>
        <w:t xml:space="preserve">Our journey has been one of continuous, compounding investment in data, knowledge, and AI capabilities. Unlike companies that pivot to new trends, we have spent over a decade building the industry's most comprehensive data and knowledge infrastructure. We believe this investment is now ready to generate outsized returns as the AI agent era makes our accumulated assets dramatically more valuable.</w:t>
      </w:r>
    </w:p>
    <w:p>
      <w:pPr>
        <w:pBdr>
          <w:top w:val="none" w:sz="6" w:space="0" w:color="000000"/>
        </w:pBdr>
      </w:pPr>
    </w:p>
    <w:p>
      <w:bookmarkStart w:id="mt0uididnfcvzripvnd" w:name="mt0uididnfcvzripvnd"/>
      <w:pPr>
        <w:pStyle w:val="dingding-heading2"/>
        <w:ind/>
      </w:pPr>
      <w:r>
        <w:t xml:space="preserve">Our Platforms and Products</w:t>
      </w:r>
      <w:bookmarkEnd w:id="mt0uididnfcvzripvnd"/>
    </w:p>
    <w:p>
      <w:pPr/>
      <w:r>
        <w:t xml:space="preserve">We have built an integrated product ecosystem consisting of AI agents, workstations, intelligent tools, and marketplace platforms.</w:t>
      </w:r>
    </w:p>
    <w:p>
      <w:bookmarkStart w:id="mt0uididjdlzyp9h6z" w:name="mt0uididjdlzyp9h6z"/>
      <w:pPr>
        <w:pStyle w:val="dingding-heading3"/>
        <w:ind/>
      </w:pPr>
      <w:r>
        <w:t xml:space="preserve">AI Agents</w:t>
      </w:r>
      <w:bookmarkEnd w:id="mt0uididjdlzyp9h6z"/>
    </w:p>
    <w:p>
      <w:pPr/>
      <w:r>
        <w:t xml:space="preserve">ZhiJi (知己) — Personal AI Agent. ZhiJi accompanies individuals throughout their growth journey — from academic planning and university selection to career development and lifelong learning. It leverages our knowledge graph and industry AI to provide personalized, trustworthy guidance at every critical decision point. ZhiJi currently serves over 3 million registered users across our ApplySquare, FutureSquare, and DeepTalent platforms.</w:t>
      </w:r>
    </w:p>
    <w:p>
      <w:pPr/>
      <w:r>
        <w:t xml:space="preserve">YiDa (一答) — Institutional AI Agent. YiDa serves organizations — universities, government agencies, and enterprises — by providing AI-powered talent search, verification, and decision support. It penetrates the full chain of talent management: finding the right person, verifying their credentials, and recommending actionable next steps. YiDa is built on the same SquareAI engine as ZhiJi but is configured for organizational workflows and multi-user collaboration.</w:t>
      </w:r>
    </w:p>
    <w:p>
      <w:pPr/>
      <w:r>
        <w:t xml:space="preserve">JiZhuanTong (技转通) — Technology Transfer AI Agent. JiZhuanTong is our flagship agent for the science-to-industry technology transfer market. It uses a proprietary three-dimensional matching engine — connecting researchers, research outputs, and industry needs — to solve the "information asymmetry, low matching efficiency, and high transaction cost" problems that plague technology transfer worldwide. It has been deployed in four cities across China: Wuxi (live, with official media coverage), Shanghai Xuhui (launching), Shenzhen Longgang (in progress), and Beijing Haidian (integrated into regional talent platform).</w:t>
      </w:r>
    </w:p>
    <w:p>
      <w:bookmarkStart w:id="mt0uidido8c1yn4em8f" w:name="mt0uidido8c1yn4em8f"/>
      <w:pPr>
        <w:pStyle w:val="dingding-heading3"/>
        <w:ind/>
      </w:pPr>
      <w:r>
        <w:t xml:space="preserve">Workstations</w:t>
      </w:r>
      <w:bookmarkEnd w:id="mt0uidido8c1yn4em8f"/>
    </w:p>
    <w:p>
      <w:pPr/>
      <w:r>
        <w:t xml:space="preserve">Our workstation products serve as the primary interface through which institutional users interact with our data and AI capabilities:</w:t>
      </w:r>
    </w:p>
    <w:p>
      <w:pPr/>
      <w:r>
        <w:t xml:space="preserve">SquareStrategics (方略) Workstations — for universities: education research, institutional governance, talent development, and science and technology management.</w:t>
      </w:r>
    </w:p>
    <w:p>
      <w:pPr/>
      <w:r>
        <w:t xml:space="preserve">PolaRise (北辰) Workstations — for education service enterprises: intelligent customer service, demand analysis, report generation, and operational efficiency tools.</w:t>
      </w:r>
    </w:p>
    <w:p>
      <w:pPr/>
      <w:r>
        <w:t xml:space="preserve">ApplySquare / FutureSquare / DeepTalent Workstations — for individuals: international education planning, domestic academic development, and career placement.</w:t>
      </w:r>
    </w:p>
    <w:p>
      <w:bookmarkStart w:id="mt0uidieng8kjej3e8m" w:name="mt0uidieng8kjej3e8m"/>
      <w:pPr>
        <w:pStyle w:val="dingding-heading3"/>
        <w:ind/>
      </w:pPr>
      <w:r>
        <w:t xml:space="preserve">Marketplace</w:t>
      </w:r>
      <w:bookmarkEnd w:id="mt0uidieng8kjej3e8m"/>
    </w:p>
    <w:p>
      <w:pPr/>
      <w:r>
        <w:t xml:space="preserve">We have built a dual-engine marketplace system:</w:t>
      </w:r>
    </w:p>
    <w:p>
      <w:pPr/>
      <w:r>
        <w:t xml:space="preserve">SquareStrategics Select (方略严选) — a curated B2B marketplace for organizations, covering 1,000+ institutional partners. Buyers include university departments, research labs, and enterprise R&amp;D units. Suppliers include scientific instrument vendors, reagent suppliers, IT system providers, and consulting firms.</w:t>
      </w:r>
    </w:p>
    <w:p>
      <w:pPr/>
      <w:r>
        <w:t xml:space="preserve">PolaRise Select (北辰严选) — a curated B2C marketplace for individuals, providing vetted educational services, tutoring resources, and career development products.</w:t>
      </w:r>
    </w:p>
    <w:p>
      <w:pPr/>
      <w:r>
        <w:t xml:space="preserve">Both marketplaces operate on a trust-based model. We do not simply list products on a shelf. Every resource in our marketplace is evaluated against our proprietary assessment standards — an approach we call "select, don't aggregate." We believe this is the future of industry-specific commerce: AI-driven, trust-verified, and personalized through agents rather than search bars.</w:t>
      </w:r>
    </w:p>
    <w:p>
      <w:pPr>
        <w:pBdr>
          <w:top w:val="none" w:sz="6" w:space="0" w:color="000000"/>
        </w:pBdr>
      </w:pPr>
    </w:p>
    <w:p>
      <w:bookmarkStart w:id="mt0uidiexdsgxyv37hr" w:name="mt0uidiexdsgxyv37hr"/>
      <w:pPr>
        <w:pStyle w:val="dingding-heading2"/>
        <w:ind/>
      </w:pPr>
      <w:r>
        <w:t xml:space="preserve">Our Technology</w:t>
      </w:r>
      <w:bookmarkEnd w:id="mt0uidiexdsgxyv37hr"/>
    </w:p>
    <w:p>
      <w:pPr/>
      <w:r>
        <w:t xml:space="preserve">SquareCore is the foundation upon which all of our products are built. It consists of three tightly integrated components.</w:t>
      </w:r>
    </w:p>
    <w:p>
      <w:bookmarkStart w:id="mt0uidif1w1inxmtvxv" w:name="mt0uidif1w1inxmtvxv"/>
      <w:pPr>
        <w:pStyle w:val="dingding-heading3"/>
        <w:ind/>
      </w:pPr>
      <w:r>
        <w:t xml:space="preserve">Knowledge Square — Data and Knowledge Infrastructure</w:t>
      </w:r>
      <w:bookmarkEnd w:id="mt0uidif1w1inxmtvxv"/>
    </w:p>
    <w:p>
      <w:pPr/>
      <w:r>
        <w:t xml:space="preserve">Knowledge Square is the result of over a decade of continuous data acquisition, cleaning, structuring, and knowledge graph construction. It is not a database. It is an industry-grade knowledge infrastructure that connects:</w:t>
      </w:r>
    </w:p>
    <w:p>
      <w:pPr/>
      <w:r>
        <w:t xml:space="preserve">34 million+ global researcher profiles</w:t>
      </w:r>
    </w:p>
    <w:p>
      <w:pPr/>
      <w:r>
        <w:t xml:space="preserve">230 million+ academic papers</w:t>
      </w:r>
    </w:p>
    <w:p>
      <w:pPr/>
      <w:r>
        <w:t xml:space="preserve">180 million+ patent documents</w:t>
      </w:r>
    </w:p>
    <w:p>
      <w:pPr/>
      <w:r>
        <w:t xml:space="preserve">3 million+ research funding records</w:t>
      </w:r>
    </w:p>
    <w:p>
      <w:pPr/>
      <w:r>
        <w:t xml:space="preserve">400,000+ research institutions</w:t>
      </w:r>
    </w:p>
    <w:p>
      <w:pPr/>
      <w:r>
        <w:t xml:space="preserve">15,000+ universities across 154 countries</w:t>
      </w:r>
    </w:p>
    <w:p>
      <w:pPr/>
      <w:r>
        <w:t xml:space="preserve">233 countries and territories of structured education-science-talent data</w:t>
      </w:r>
    </w:p>
    <w:p>
      <w:pPr/>
      <w:r>
        <w:t xml:space="preserve">The knowledge infrastructure integrates three types of graphs:</w:t>
      </w:r>
    </w:p>
    <w:p>
      <w:pPr/>
      <w:r>
        <w:t xml:space="preserve">Knowledge Graph (connecting things to things — e.g., a technology to a patent to a research field)</w:t>
      </w:r>
    </w:p>
    <w:p>
      <w:pPr/>
      <w:r>
        <w:t xml:space="preserve">Cognitive Graph (connecting things to people — e.g., a technology to its inventor)</w:t>
      </w:r>
    </w:p>
    <w:p>
      <w:pPr/>
      <w:r>
        <w:t xml:space="preserve">Relationship Graph (connecting people to people — e.g., a researcher to their collaborators, mentors, and students)</w:t>
      </w:r>
    </w:p>
    <w:p>
      <w:pPr/>
      <w:r>
        <w:t xml:space="preserve">This triple-graph architecture enables queries that no general-purpose search engine can answer: "Find me a researcher who has published in carbon nanotube synthesis, has industry collaboration experience in Jiangsu Province, holds at least two transferred patents, and is open to advisory engagements."</w:t>
      </w:r>
    </w:p>
    <w:p>
      <w:bookmarkStart w:id="mt0uidig46ep8o3i1gr" w:name="mt0uidig46ep8o3i1gr"/>
      <w:pPr>
        <w:pStyle w:val="dingding-heading3"/>
        <w:ind/>
      </w:pPr>
      <w:r>
        <w:t xml:space="preserve">SquareAI — Industry-Vertical AI Engine</w:t>
      </w:r>
      <w:bookmarkEnd w:id="mt0uidig46ep8o3i1gr"/>
    </w:p>
    <w:p>
      <w:pPr/>
      <w:r>
        <w:t xml:space="preserve">SquareAI is not a wrapper around a general-purpose large language model. It is a four-layer AI architecture specifically designed for high-stakes, high-knowledge-density domains:</w:t>
      </w:r>
    </w:p>
    <w:p>
      <w:pPr/>
      <w:r>
        <w:t xml:space="preserve">Layer 1: Capability Modules (Skill Set). Seven foundational AI capabilities: Comprehension, Analysis, Matching, Resource Management, Verification, Positioning &amp; Diagnosis, and Planning. Each capability module is trained on domain-specific data and logic.</w:t>
      </w:r>
    </w:p>
    <w:p>
      <w:pPr/>
      <w:r>
        <w:t xml:space="preserve">Layer 2: Industry-Vertical Model. Built on foundation LLMs but deeply customized through RAG (Retrieval-Augmented Generation), SFT (Supervised Fine-Tuning), RLHF (Reinforcement Learning from Human Feedback), knowledge distillation, and few-shot adaptation using our proprietary data.</w:t>
      </w:r>
    </w:p>
    <w:p>
      <w:pPr/>
      <w:r>
        <w:t xml:space="preserve">Layer 3: Harness Assembly. An engineering control layer that ensures every AI output is stable, bounded, and aligned with industry rules. This includes blueprint design, state space management, domain knowledge injection, procedural assembly, and boundary constraints. This layer is what makes our AI "trustworthy" rather than merely "intelligent."</w:t>
      </w:r>
    </w:p>
    <w:p>
      <w:pPr/>
      <w:r>
        <w:t xml:space="preserve">Layer 4: Multi-Agent Orchestration. Supports four orchestration patterns: Manager-Worker (hierarchical task dispatch), Handoff (sequential specialist routing), Swarm (parallel decentralized emergence), and A2A (Agent-to-Agent fully automated workflows). This layer powers our most advanced use cases, where multiple AI agents collaborate to solve complex, multi-step problems.</w:t>
      </w:r>
    </w:p>
    <w:p>
      <w:bookmarkStart w:id="mt0uidihs1wivp7pcm" w:name="mt0uidihs1wivp7pcm"/>
      <w:pPr>
        <w:pStyle w:val="dingding-heading3"/>
        <w:ind/>
      </w:pPr>
      <w:r>
        <w:t xml:space="preserve">Flora — Low-Code Development Framework</w:t>
      </w:r>
      <w:bookmarkEnd w:id="mt0uidihs1wivp7pcm"/>
    </w:p>
    <w:p>
      <w:pPr/>
      <w:r>
        <w:t xml:space="preserve">Flora enables our engineering team — and, increasingly, our partners — to rapidly build, customize, and deploy workstation products and AI agents without rebuilding from scratch. A new city deployment of JiZhuanTong, for example, can be completed in weeks rather than months, because Flora provides the scaffolding for data integration, user interface generation, and agent configuration.</w:t>
      </w:r>
    </w:p>
    <w:p>
      <w:bookmarkStart w:id="mt0uidihpka04zfjj5r" w:name="mt0uidihpka04zfjj5r"/>
      <w:pPr>
        <w:pStyle w:val="dingding-heading3"/>
        <w:ind/>
      </w:pPr>
      <w:r>
        <w:t xml:space="preserve">First Principles</w:t>
      </w:r>
      <w:bookmarkEnd w:id="mt0uidihpka04zfjj5r"/>
    </w:p>
    <w:p>
      <w:pPr/>
      <w:r>
        <w:t xml:space="preserve">Our technology is built on principles that we believe are essential for AI systems operating in high-stakes domains:</w:t>
      </w:r>
    </w:p>
    <w:p>
      <w:pPr/>
      <w:r>
        <w:t xml:space="preserve">True Knowledge, True Data. In domains where decisions affect people's careers, education, and life trajectories, AI hallucinations are not merely inconvenient — they are dangerous. Our architecture ensures that every AI output is grounded in verified data and structured knowledge, not probabilistic guesswork.</w:t>
      </w:r>
    </w:p>
    <w:p>
      <w:pPr/>
      <w:r>
        <w:t xml:space="preserve">Orchestrate, Don't Replace. Our customers already have systems that work. Our software does not displace them. Instead, SquareCore serves as a substrate that binds an institution's existing IT landscape together, orchestrating and augmenting existing tools rather than replacing them.</w:t>
      </w:r>
    </w:p>
    <w:p>
      <w:pPr/>
      <w:r>
        <w:t xml:space="preserve">Security and Privacy by Design. We do not collect, mine, or sell data. We build platforms that enable our customers to integrate and leverage their own data. Our government customers trust us with their most sensitive talent data because our security architecture was designed to handle classified-grade information from the start.</w:t>
      </w:r>
    </w:p>
    <w:p>
      <w:pPr/>
      <w:r>
        <w:t xml:space="preserve">Decision is the Entry Point. We believe that in the education-science-talent sector, the ultimate value is in helping people and organizations make better decisions — about who to hire, where to study, which technology to transfer, which talent to recruit. Every product we build is designed to culminate in a trustworthy, data-driven decision.</w:t>
      </w:r>
    </w:p>
    <w:p>
      <w:pPr>
        <w:pBdr>
          <w:top w:val="none" w:sz="6" w:space="0" w:color="000000"/>
        </w:pBdr>
      </w:pPr>
    </w:p>
    <w:p>
      <w:bookmarkStart w:id="mt0uidiicd6kda8i81n" w:name="mt0uidiicd6kda8i81n"/>
      <w:pPr>
        <w:pStyle w:val="dingding-heading2"/>
        <w:ind/>
      </w:pPr>
      <w:r>
        <w:t xml:space="preserve">Market Opportunity</w:t>
      </w:r>
      <w:bookmarkEnd w:id="mt0uidiicd6kda8i81n"/>
    </w:p>
    <w:p>
      <w:pPr/>
      <w:r>
        <w:t xml:space="preserve">We estimate our total addressable market ("TAM") across the education, science, and talent sectors to be approximately RMB 200 billion (approximately $28 billion) annually. This estimate reflects the aggregate spending on data infrastructure, AI services, evaluation tools, and digital transformation across four customer segments in China, with significant additional opportunity internationally.</w:t>
      </w:r>
    </w:p>
    <w:p>
      <w:bookmarkStart w:id="mt0uidijg6qb8i59t3" w:name="mt0uidijg6qb8i59t3"/>
      <w:pPr>
        <w:pStyle w:val="dingding-heading3"/>
        <w:ind/>
      </w:pPr>
      <w:r>
        <w:t xml:space="preserve">Government (ToG)</w:t>
      </w:r>
      <w:bookmarkEnd w:id="mt0uidijg6qb8i59t3"/>
    </w:p>
    <w:p>
      <w:pPr/>
      <w:r>
        <w:t xml:space="preserve">China has 333 prefecture-level cities. Approximately 200 of these cities have active science and technology bureaus with dedicated budgets for technology transfer, talent management, and innovation ecosystem digitalization. Based on publicly available government procurement data, the average annual budget for AI-enabled technology transfer and talent management services ranges from RMB 1–5 million per city.</w:t>
      </w:r>
    </w:p>
    <w:p>
      <w:pPr/>
      <w:r>
        <w:t xml:space="preserve">We estimate the ToG SAM to be approximately RMB 1.6 billion per year. Our current penetration is 4 cities out of 200, or approximately 2%.</w:t>
      </w:r>
    </w:p>
    <w:p>
      <w:bookmarkStart w:id="mt0uidijkbbr95hh7ge" w:name="mt0uidijkbbr95hh7ge"/>
      <w:pPr>
        <w:pStyle w:val="dingding-heading3"/>
        <w:ind/>
      </w:pPr>
      <w:r>
        <w:t xml:space="preserve">Universities and Research Institutions (ToS)</w:t>
      </w:r>
      <w:bookmarkEnd w:id="mt0uidijkbbr95hh7ge"/>
    </w:p>
    <w:p>
      <w:pPr/>
      <w:r>
        <w:t xml:space="preserve">China has 3,074 universities, of which 147 are "Double First-Class" institutions with significant digitalization budgets. Based on publicly available education equipment procurement data, the average annual IT and data services budget for a Double First-Class university ranges from RMB 5–30 million, of which approximately 10–15% is allocated to AI, data analytics, and evaluation tools.</w:t>
      </w:r>
    </w:p>
    <w:p>
      <w:pPr/>
      <w:r>
        <w:t xml:space="preserve">We estimate the ToS SAM to be approximately RMB 1.7 billion per year. Our SquareStrategics brand has existing relationships with 1,600+ universities and 140+ Double First-Class institutions.</w:t>
      </w:r>
    </w:p>
    <w:p>
      <w:bookmarkStart w:id="mt0uidikthoiqg5uk6" w:name="mt0uidikthoiqg5uk6"/>
      <w:pPr>
        <w:pStyle w:val="dingding-heading3"/>
        <w:ind/>
      </w:pPr>
      <w:r>
        <w:t xml:space="preserve">Commercial Enterprises (ToB)</w:t>
      </w:r>
      <w:bookmarkEnd w:id="mt0uidikthoiqg5uk6"/>
    </w:p>
    <w:p>
      <w:pPr/>
      <w:r>
        <w:t xml:space="preserve">The education services industry in China comprises approximately 500,000 institutions, of which roughly 5,000 are mid-to-large enterprises with digital transformation budgets. Our PolaRise brand currently serves 1,000+ institutional partners.</w:t>
      </w:r>
    </w:p>
    <w:p>
      <w:pPr/>
      <w:r>
        <w:t xml:space="preserve">We estimate the ToB SAM to be approximately RMB 2.5 billion per year.</w:t>
      </w:r>
    </w:p>
    <w:p>
      <w:bookmarkStart w:id="mt0uidiklekeqgdxxlb" w:name="mt0uidiklekeqgdxxlb"/>
      <w:pPr>
        <w:pStyle w:val="dingding-heading3"/>
        <w:ind/>
      </w:pPr>
      <w:r>
        <w:t xml:space="preserve">Individual Users (ToC)</w:t>
      </w:r>
      <w:bookmarkEnd w:id="mt0uidiklekeqgdxxlb"/>
    </w:p>
    <w:p>
      <w:pPr/>
      <w:r>
        <w:t xml:space="preserve">China produces approximately 13.5 million college entrance exam candidates, 700,000 study-abroad applicants, and 12 million university graduates each year. Our ApplySquare platform has 3 million+ registered users. The ZhiJi AI agent is rapidly accumulating interaction users.</w:t>
      </w:r>
    </w:p>
    <w:p>
      <w:pPr/>
      <w:r>
        <w:t xml:space="preserve">We estimate the ToC SAM to be approximately RMB 5 billion per year, based on a freemium model with 0.5–5% paid conversion at average revenue per paying user of RMB 500–5,000.</w:t>
      </w:r>
    </w:p>
    <w:p>
      <w:bookmarkStart w:id="mt0uidil880fhr6lnsi" w:name="mt0uidil880fhr6lnsi"/>
      <w:pPr>
        <w:pStyle w:val="dingding-heading3"/>
        <w:ind/>
      </w:pPr>
      <w:r>
        <w:t xml:space="preserve">Marketplace</w:t>
      </w:r>
      <w:bookmarkEnd w:id="mt0uidil880fhr6lnsi"/>
    </w:p>
    <w:p>
      <w:pPr/>
      <w:r>
        <w:t xml:space="preserve">Our dual-engine marketplace (SquareStrategics Select + PolaRise Select) addresses the procurement and service matching needs of universities, research institutions, and individual users. The total procurement volume for scientific instruments, reagents, IT systems, and educational services across Chinese universities alone exceeds RMB 300 billion annually.</w:t>
      </w:r>
    </w:p>
    <w:p>
      <w:pPr>
        <w:pBdr>
          <w:top w:val="none" w:sz="6" w:space="0" w:color="000000"/>
        </w:pBdr>
      </w:pPr>
    </w:p>
    <w:p>
      <w:bookmarkStart w:id="mt0uidimj70ubs94m4" w:name="mt0uidimj70ubs94m4"/>
      <w:pPr>
        <w:pStyle w:val="dingding-heading2"/>
        <w:ind/>
      </w:pPr>
      <w:r>
        <w:t xml:space="preserve">Industry Trends</w:t>
      </w:r>
      <w:bookmarkEnd w:id="mt0uidimj70ubs94m4"/>
    </w:p>
    <w:p>
      <w:pPr/>
      <w:r>
        <w:t xml:space="preserve">We believe the following trends are among the most significant currently shaping the education-science-talent sector.</w:t>
      </w:r>
    </w:p>
    <w:p>
      <w:bookmarkStart w:id="mt0uidim0tzkdjfirmf" w:name="mt0uidim0tzkdjfirmf"/>
      <w:pPr>
        <w:pStyle w:val="dingding-heading3"/>
        <w:ind/>
      </w:pPr>
      <w:r>
        <w:t xml:space="preserve">The "Education-Science-Talent Integration" National Strategy</w:t>
      </w:r>
      <w:bookmarkEnd w:id="mt0uidim0tzkdjfirmf"/>
    </w:p>
    <w:p>
      <w:pPr/>
      <w:r>
        <w:t xml:space="preserve">China's 20th Party Congress and subsequent policy directives have established "integrated advancement of education, science, and talent" (教育科技人才一体化) as a top-level national strategy. This represents a fundamental shift from treating education, science, and talent as separate policy domains to managing them as a unified ecosystem. Institutions that can provide integrated data, AI, and evaluation capabilities across this ecosystem — as we do — are positioned at the center of a massive and growing market.</w:t>
      </w:r>
    </w:p>
    <w:p>
      <w:bookmarkStart w:id="mt0uidim73k0ti8mkzi" w:name="mt0uidim73k0ti8mkzi"/>
      <w:pPr>
        <w:pStyle w:val="dingding-heading3"/>
        <w:ind/>
      </w:pPr>
      <w:r>
        <w:t xml:space="preserve">The Shift from Tools to Agents</w:t>
      </w:r>
      <w:bookmarkEnd w:id="mt0uidim73k0ti8mkzi"/>
    </w:p>
    <w:p>
      <w:pPr/>
      <w:r>
        <w:t xml:space="preserve">The enterprise software industry is undergoing a paradigm shift from selling tools (SaaS) to deploying intelligent agents (AaaS — Agent-as-a-Service). In the education-science-talent sector, this shift is particularly significant because the decisions involved are too complex, too knowledge-intensive, and too consequential to be supported by simple dashboards or form-filling software. AI agents that can understand context, reason over domain knowledge, and guide users through multi-step decision processes are the future of this industry. We have built two such agents — ZhiJi and YiDa — and deployed a third, JiZhuanTong, in the technology transfer vertical.</w:t>
      </w:r>
    </w:p>
    <w:p>
      <w:bookmarkStart w:id="mt0uidinw2osf45wa9h" w:name="mt0uidinw2osf45wa9h"/>
      <w:pPr>
        <w:pStyle w:val="dingding-heading3"/>
        <w:ind/>
      </w:pPr>
      <w:r>
        <w:t xml:space="preserve">Decentralization of Resource Distribution</w:t>
      </w:r>
      <w:bookmarkEnd w:id="mt0uidinw2osf45wa9h"/>
    </w:p>
    <w:p>
      <w:pPr/>
      <w:r>
        <w:t xml:space="preserve">Traditional platforms (job boards, education marketplaces, technology transfer portals) operate on a centralized "shelf" model — users search, compare, and transact on the platform. We believe this model is being disrupted by agent-driven decentralization, where each user's personal AI agent directly negotiates with supplier agents (A2A — Agent-to-Agent) to find the optimal match. Our marketplace architecture is designed for this future: curated resources verified by our evaluation standards, distributed through AI agents rather than search interfaces.</w:t>
      </w:r>
    </w:p>
    <w:p>
      <w:pPr>
        <w:pBdr>
          <w:top w:val="none" w:sz="6" w:space="0" w:color="000000"/>
        </w:pBdr>
      </w:pPr>
    </w:p>
    <w:p>
      <w:bookmarkStart w:id="mt0uidin7tlco46wgud" w:name="mt0uidin7tlco46wgud"/>
      <w:pPr>
        <w:pStyle w:val="dingding-heading2"/>
        <w:ind/>
      </w:pPr>
      <w:r>
        <w:t xml:space="preserve">Challenges</w:t>
      </w:r>
      <w:bookmarkEnd w:id="mt0uidin7tlco46wgud"/>
    </w:p>
    <w:p>
      <w:pPr/>
      <w:r>
        <w:t xml:space="preserve">Building trustworthy AI for the education-science-talent sector presents unique challenges that most technology companies are unwilling or unable to address.</w:t>
      </w:r>
    </w:p>
    <w:p>
      <w:bookmarkStart w:id="mt0uidiof4mcabff63t" w:name="mt0uidiof4mcabff63t"/>
      <w:pPr>
        <w:pStyle w:val="dingding-heading3"/>
        <w:ind/>
      </w:pPr>
      <w:r>
        <w:t xml:space="preserve">High Knowledge Density, Low Fault Tolerance</w:t>
      </w:r>
      <w:bookmarkEnd w:id="mt0uidiof4mcabff63t"/>
    </w:p>
    <w:p>
      <w:pPr/>
      <w:r>
        <w:t xml:space="preserve">Unlike consumer internet applications where errors are inconvenient, decisions in our domain — which student to admit, which researcher to fund, which technology to transfer — have life-altering consequences. AI systems that hallucinate, fabricate credentials, or produce unreliable recommendations are not merely unhelpful; they are dangerous. This is why we have invested a decade in building verified, structured data assets rather than relying on web-scraped training data.</w:t>
      </w:r>
    </w:p>
    <w:p>
      <w:bookmarkStart w:id="mt0uidiovlel7g69b" w:name="mt0uidiovlel7g69b"/>
      <w:pPr>
        <w:pStyle w:val="dingding-heading3"/>
        <w:ind/>
      </w:pPr>
      <w:r>
        <w:t xml:space="preserve">Fragmented Data, Fragmented Institutions</w:t>
      </w:r>
      <w:bookmarkEnd w:id="mt0uidiovlel7g69b"/>
    </w:p>
    <w:p>
      <w:pPr/>
      <w:r>
        <w:t xml:space="preserve">The education-science-talent ecosystem is characterized by extreme data fragmentation. University data systems do not talk to government talent databases. Research output databases are disconnected from industry needs databases. Individual career records are scattered across dozens of platforms. Building a unified data asset that connects all of these sources — as Knowledge Square does — requires years of painstaking data engineering and domain expertise.</w:t>
      </w:r>
    </w:p>
    <w:p>
      <w:bookmarkStart w:id="mt0uidipqueelkk6k3k" w:name="mt0uidipqueelkk6k3k"/>
      <w:pPr>
        <w:pStyle w:val="dingding-heading3"/>
        <w:ind/>
      </w:pPr>
      <w:r>
        <w:t xml:space="preserve">The "Black Box" Problem for Government and University Customers</w:t>
      </w:r>
      <w:bookmarkEnd w:id="mt0uidipqueelkk6k3k"/>
    </w:p>
    <w:p>
      <w:pPr/>
      <w:r>
        <w:t xml:space="preserve">Government agencies and universities are notoriously opaque to outside investors and technology vendors. Budgets are allocated through complex bureaucratic processes, procurement cycles are long, and decision-makers are difficult to identify. We have spent over a decade building relationships with these institutions — including direct commissions from the Ministry of Education and partnerships with Tsinghua University — and this institutional knowledge is one of our most significant competitive advantages.</w:t>
      </w:r>
    </w:p>
    <w:p>
      <w:pPr>
        <w:pBdr>
          <w:top w:val="none" w:sz="6" w:space="0" w:color="000000"/>
        </w:pBdr>
      </w:pPr>
    </w:p>
    <w:p>
      <w:bookmarkStart w:id="mt0uidiqmupva0e469n" w:name="mt0uidiqmupva0e469n"/>
      <w:pPr>
        <w:pStyle w:val="dingding-heading2"/>
        <w:ind/>
      </w:pPr>
      <w:r>
        <w:t xml:space="preserve">Competitive Strengths</w:t>
      </w:r>
      <w:bookmarkEnd w:id="mt0uidiqmupva0e469n"/>
    </w:p>
    <w:p>
      <w:pPr/>
      <w:r>
        <w:t xml:space="preserve">We believe our competitive strengths set us apart from the rest of the industry.</w:t>
      </w:r>
    </w:p>
    <w:p>
      <w:pPr/>
      <w:r>
        <w:t xml:space="preserve">We have spent a decade building what cannot be built quickly. Our knowledge infrastructure — 34 million researcher profiles, 230 million papers, 180 million patents, structured across 233 countries — is the result of continuous, compounding investment since 2013. A competitor starting today would need years and hundreds of millions of RMB to replicate even a fraction of this asset. Data in the education-science-talent sector is not freely available on the internet; it requires specialized collection, verification, and structuring processes that we have refined over more than a decade.</w:t>
      </w:r>
    </w:p>
    <w:p>
      <w:pPr/>
      <w:r>
        <w:t xml:space="preserve">We are trusted by the institutions that matter most. We have been commissioned by the Ministry of Education to build the national Education-Science-Talent integrated knowledge graph. We co-founded a research center with Tsinghua University. We have served 13 government agencies, 1,600+ universities, and 140+ Double First-Class institutions. These relationships provide both revenue stability and irreplaceable domain knowledge.</w:t>
      </w:r>
    </w:p>
    <w:p>
      <w:pPr/>
      <w:r>
        <w:t xml:space="preserve">Our AI is trustworthy, not just intelligent. In a domain where decisions affect people's lives, "trustworthy" is more important than "powerful." Our four-layer SquareAI architecture — with its Harness Assembly layer for boundary constraints and procedural controls — ensures that every AI output is grounded, bounded, and auditable. We call this approach "True Knowledge, True Data" (科技求真).</w:t>
      </w:r>
    </w:p>
    <w:p>
      <w:pPr/>
      <w:r>
        <w:t xml:space="preserve">We serve all four customer segments with a unified infrastructure. Unlike point solutions that address only one customer type, our SquareCore infrastructure serves government (ToG), universities (ToS), enterprises (ToB), and individuals (ToC) from a single data and AI foundation. This creates powerful cross-selling opportunities and data network effects: every new university that joins our platform enriches our knowledge graph, which makes our AI agents more valuable for every other customer.</w:t>
      </w:r>
    </w:p>
    <w:p>
      <w:pPr/>
      <w:r>
        <w:t xml:space="preserve">Our agents are companions, not tools. ZhiJi and YiDa are not chatbots. They are "companion-style" (伴随式) AI agents designed to accompany users throughout their entire lifecycle — from a student's first college application to a researcher's hundredth patent transfer. This longitudinal relationship generates continuously compounding data value and creates deep switching costs.</w:t>
      </w:r>
    </w:p>
    <w:p>
      <w:pPr/>
      <w:r>
        <w:t xml:space="preserve">We have already proven multi-city deployment. JiZhuanTong has been deployed in four cities (Wuxi, Shanghai Xuhui, Shenzhen Longgang, Beijing Haidian), demonstrating that our technology transfer solution is not a one-off pilot but a scalable, replicable product. Our deployment timeline has compressed significantly: what once took months can now be accomplished in weeks using Flora.</w:t>
      </w:r>
    </w:p>
    <w:p>
      <w:pPr/>
      <w:r>
        <w:t xml:space="preserve">We are aligned with national strategy. Our business is precisely positioned at the intersection of China's top-level "Education-Science-Talent Integration" policy priority. We are not adapting an existing product to fit a policy trend; our entire company was built around this mission from its founding in 2013.</w:t>
      </w:r>
    </w:p>
    <w:p>
      <w:pPr>
        <w:pBdr>
          <w:top w:val="none" w:sz="6" w:space="0" w:color="000000"/>
        </w:pBdr>
      </w:pPr>
    </w:p>
    <w:p>
      <w:bookmarkStart w:id="mt0uidisp05tktm0mon" w:name="mt0uidisp05tktm0mon"/>
      <w:pPr>
        <w:pStyle w:val="dingding-heading2"/>
        <w:ind/>
      </w:pPr>
      <w:r>
        <w:t xml:space="preserve">Growth Strategies</w:t>
      </w:r>
      <w:bookmarkEnd w:id="mt0uidisp05tktm0mon"/>
    </w:p>
    <w:p>
      <w:pPr/>
      <w:r>
        <w:t xml:space="preserve">We are pursuing a number of strategies to continue to grow the company across our government, institutional, commercial, and consumer business segments.</w:t>
      </w:r>
    </w:p>
    <w:p>
      <w:pPr/>
      <w:r>
        <w:t xml:space="preserve">Expand JiZhuanTong to 20+ cities by 2027. Our technology transfer AI agent has proven product-market fit in four cities. We intend to expand to 20–30 cities within two years, leveraging Flora's rapid deployment capabilities and our existing government relationships.</w:t>
      </w:r>
    </w:p>
    <w:p>
      <w:pPr/>
      <w:r>
        <w:t xml:space="preserve">Convert existing relationships to recurring revenue. Our SquareStrategics brand has relationships with 1,600+ universities. We intend to convert these relationships from project-based engagements to SaaS subscriptions and AaaS (Agent-as-a-Service) token-based recurring revenue.</w:t>
      </w:r>
    </w:p>
    <w:p>
      <w:pPr/>
      <w:r>
        <w:t xml:space="preserve">Scale our marketplace through agent-driven distribution. Rather than building a traditional e-commerce platform, we are pioneering agent-driven marketplace distribution, where ZhiJi and YiDa recommend curated resources from our Select marketplaces as part of their decision-support workflows. This approach eliminates customer acquisition cost for the marketplace by embedding it directly into the agent experience.</w:t>
      </w:r>
    </w:p>
    <w:p>
      <w:pPr/>
      <w:r>
        <w:t xml:space="preserve">Deepen our partnership with Tsinghua University. With Vice President Yang Bin serving as our joint application academic lead, we are pursuing deeper strategic collaboration with Tsinghua across technology transfer, talent evaluation standards, and AI-powered education innovation.</w:t>
      </w:r>
    </w:p>
    <w:p>
      <w:pPr/>
      <w:r>
        <w:t xml:space="preserve">Pursue B+ round funding at RMB 1 billion valuation. We are raising RMB 30–50 million to accelerate market expansion (RMB 15 million), R&amp;D investment (RMB 10 million), and team building (RMB 5 million). Our 2027 revenue target is RMB 50 million.</w:t>
      </w:r>
    </w:p>
    <w:p>
      <w:pPr/>
      <w:r>
        <w:t xml:space="preserve">Establish industry standards. Through our SquareStrategics Research Institute (方略研究院), which has published evaluation reports for seven consecutive years and contributed to national and industry standards for smart campus big data, we intend to help define the standards for AI-powered talent evaluation, technology transfer, and institutional governance — ensuring that our platforms are not merely compliant with industry standards, but are the standard.</w:t>
      </w:r>
    </w:p>
    <w:p>
      <w:pPr>
        <w:pBdr>
          <w:top w:val="none" w:sz="6" w:space="0" w:color="000000"/>
        </w:pBdr>
      </w:pPr>
    </w:p>
    <w:p>
      <w:bookmarkStart w:id="mt0uidius751l1m53a" w:name="mt0uidius751l1m53a"/>
      <w:pPr>
        <w:pStyle w:val="dingding-heading2"/>
        <w:ind/>
      </w:pPr>
      <w:r>
        <w:t xml:space="preserve">Global Benchmarks</w:t>
      </w:r>
      <w:bookmarkEnd w:id="mt0uidius751l1m53a"/>
    </w:p>
    <w:p>
      <w:pPr/>
      <w:r>
        <w:t xml:space="preserve">We are not the first company to build a data-and-AI infrastructure business in a high-stakes, knowledge-intensive vertical. We take inspiration from — and benchmark ourselves against — the following global leaders:</w:t>
      </w:r>
    </w:p>
    <w:tbl>
      <w:tblPr>
        <w:tblStyle w:val="tableHeader"/>
        <w:tblW w:w="0" w:type="auto"/>
        <w:tblLook w:firstRow="1" w:lastRow="0" w:firstColumn="0" w:lastColumn="0" w:noHBand="0" w:noVBand="0"/>
      </w:tblPr>
      <w:tblGrid>
        <w:gridCol w:w="2430"/>
        <w:gridCol w:w="2430"/>
        <w:gridCol w:w="2430"/>
        <w:gridCol w:w="2430"/>
      </w:tblGrid>
      <w:tr>
        <w:trPr>
          <w:trHeight w:val="0"/>
        </w:trPr>
        <w:tc>
          <w:tcPr>
            <w:tcW w:w="2430" w:type="dxa"/>
            <w:tcBorders/>
            <w:shd w:val="clear" w:color="auto" w:fill="FFFFFF"/>
          </w:tcPr>
          <w:p>
            <w:pPr/>
            <w:r>
              <w:t xml:space="preserve">Company</w:t>
            </w:r>
          </w:p>
        </w:tc>
        <w:tc>
          <w:tcPr>
            <w:tcW w:w="2430" w:type="dxa"/>
            <w:tcBorders/>
            <w:shd w:val="clear" w:color="auto" w:fill="FFFFFF"/>
          </w:tcPr>
          <w:p>
            <w:pPr/>
            <w:r>
              <w:t xml:space="preserve">Vertical</w:t>
            </w:r>
          </w:p>
        </w:tc>
        <w:tc>
          <w:tcPr>
            <w:tcW w:w="2430" w:type="dxa"/>
            <w:tcBorders/>
            <w:shd w:val="clear" w:color="auto" w:fill="FFFFFF"/>
          </w:tcPr>
          <w:p>
            <w:pPr/>
            <w:r>
              <w:t xml:space="preserve">Core Model</w:t>
            </w:r>
          </w:p>
        </w:tc>
        <w:tc>
          <w:tcPr>
            <w:tcW w:w="2430" w:type="dxa"/>
            <w:tcBorders/>
            <w:shd w:val="clear" w:color="auto" w:fill="FFFFFF"/>
          </w:tcPr>
          <w:p>
            <w:pPr/>
            <w:r>
              <w:t xml:space="preserve">Key Metrics</w:t>
            </w:r>
          </w:p>
        </w:tc>
      </w:tr>
      <w:tr>
        <w:trPr>
          <w:trHeight w:val="0"/>
        </w:trPr>
        <w:tc>
          <w:tcPr>
            <w:tcW w:w="2430" w:type="dxa"/>
            <w:tcBorders>
              <w:bottom w:val="single" w:sz="6" w:space="0" w:color="000000"/>
              <w:right w:val="single" w:sz="6" w:space="0" w:color="000000"/>
              <w:left w:val="single" w:sz="2" w:space="0" w:color="000000"/>
            </w:tcBorders>
          </w:tcPr>
          <w:p>
            <w:pPr/>
            <w:r>
              <w:t xml:space="preserve">Palantir</w:t>
            </w:r>
          </w:p>
        </w:tc>
        <w:tc>
          <w:tcPr>
            <w:tcW w:w="2430" w:type="dxa"/>
            <w:tcBorders>
              <w:bottom w:val="single" w:sz="6" w:space="0" w:color="000000"/>
              <w:right w:val="single" w:sz="6" w:space="0" w:color="000000"/>
              <w:left w:val="single" w:sz="6" w:space="0" w:color="000000"/>
            </w:tcBorders>
          </w:tcPr>
          <w:p>
            <w:pPr/>
            <w:r>
              <w:t xml:space="preserve">Government &amp; Enterprise Intelligence</w:t>
            </w:r>
          </w:p>
        </w:tc>
        <w:tc>
          <w:tcPr>
            <w:tcW w:w="2430" w:type="dxa"/>
            <w:tcBorders>
              <w:bottom w:val="single" w:sz="6" w:space="0" w:color="000000"/>
              <w:right w:val="single" w:sz="6" w:space="0" w:color="000000"/>
              <w:left w:val="single" w:sz="6" w:space="0" w:color="000000"/>
            </w:tcBorders>
          </w:tcPr>
          <w:p>
            <w:pPr/>
            <w:r>
              <w:t xml:space="preserve">Proprietary data integration platform + AI (Gotham/Foundry/AIP)</w:t>
            </w:r>
          </w:p>
        </w:tc>
        <w:tc>
          <w:tcPr>
            <w:tcW w:w="2430" w:type="dxa"/>
            <w:tcBorders>
              <w:bottom w:val="single" w:sz="6" w:space="0" w:color="000000"/>
              <w:right w:val="single" w:sz="2" w:space="0" w:color="000000"/>
              <w:left w:val="single" w:sz="6" w:space="0" w:color="000000"/>
            </w:tcBorders>
          </w:tcPr>
          <w:p>
            <w:pPr/>
            <w:r>
              <w:t xml:space="preserve">~$3.9B revenue (2025E), $300B+ market cap</w:t>
            </w:r>
          </w:p>
        </w:tc>
      </w:tr>
      <w:tr>
        <w:trPr>
          <w:trHeight w:val="0"/>
        </w:trPr>
        <w:tc>
          <w:tcPr>
            <w:tcW w:w="2430" w:type="dxa"/>
            <w:tcBorders>
              <w:bottom w:val="single" w:sz="6" w:space="0" w:color="000000"/>
              <w:top w:val="single" w:sz="6" w:space="0" w:color="000000"/>
              <w:right w:val="single" w:sz="6" w:space="0" w:color="000000"/>
              <w:left w:val="single" w:sz="2" w:space="0" w:color="000000"/>
            </w:tcBorders>
          </w:tcPr>
          <w:p>
            <w:pPr/>
            <w:r>
              <w:t xml:space="preserve">Bloomberg</w:t>
            </w:r>
          </w:p>
        </w:tc>
        <w:tc>
          <w:tcPr>
            <w:tcW w:w="2430" w:type="dxa"/>
            <w:tcBorders>
              <w:bottom w:val="single" w:sz="6" w:space="0" w:color="000000"/>
              <w:top w:val="single" w:sz="6" w:space="0" w:color="000000"/>
              <w:right w:val="single" w:sz="6" w:space="0" w:color="000000"/>
              <w:left w:val="single" w:sz="6" w:space="0" w:color="000000"/>
            </w:tcBorders>
          </w:tcPr>
          <w:p>
            <w:pPr/>
            <w:r>
              <w:t xml:space="preserve">Financial Data &amp; Analytics</w:t>
            </w:r>
          </w:p>
        </w:tc>
        <w:tc>
          <w:tcPr>
            <w:tcW w:w="2430" w:type="dxa"/>
            <w:tcBorders>
              <w:bottom w:val="single" w:sz="6" w:space="0" w:color="000000"/>
              <w:top w:val="single" w:sz="6" w:space="0" w:color="000000"/>
              <w:right w:val="single" w:sz="6" w:space="0" w:color="000000"/>
              <w:left w:val="single" w:sz="6" w:space="0" w:color="000000"/>
            </w:tcBorders>
          </w:tcPr>
          <w:p>
            <w:pPr/>
            <w:r>
              <w:t xml:space="preserve">Bloomberg Terminal + BloombergGPT</w:t>
            </w:r>
          </w:p>
        </w:tc>
        <w:tc>
          <w:tcPr>
            <w:tcW w:w="2430" w:type="dxa"/>
            <w:tcBorders>
              <w:bottom w:val="single" w:sz="6" w:space="0" w:color="000000"/>
              <w:top w:val="single" w:sz="6" w:space="0" w:color="000000"/>
              <w:right w:val="single" w:sz="2" w:space="0" w:color="000000"/>
              <w:left w:val="single" w:sz="6" w:space="0" w:color="000000"/>
            </w:tcBorders>
          </w:tcPr>
          <w:p>
            <w:pPr/>
            <w:r>
              <w:t xml:space="preserve">310,000+ terminal users, ~$12B annual revenue</w:t>
            </w:r>
          </w:p>
        </w:tc>
      </w:tr>
      <w:tr>
        <w:trPr>
          <w:trHeight w:val="0"/>
        </w:trPr>
        <w:tc>
          <w:tcPr>
            <w:tcW w:w="2430" w:type="dxa"/>
            <w:tcBorders>
              <w:bottom w:val="single" w:sz="6" w:space="0" w:color="000000"/>
              <w:top w:val="single" w:sz="6" w:space="0" w:color="000000"/>
              <w:right w:val="single" w:sz="6" w:space="0" w:color="000000"/>
              <w:left w:val="single" w:sz="2" w:space="0" w:color="000000"/>
            </w:tcBorders>
          </w:tcPr>
          <w:p>
            <w:pPr/>
            <w:r>
              <w:t xml:space="preserve">KE Holdings (贝壳)</w:t>
            </w:r>
          </w:p>
        </w:tc>
        <w:tc>
          <w:tcPr>
            <w:tcW w:w="2430" w:type="dxa"/>
            <w:tcBorders>
              <w:bottom w:val="single" w:sz="6" w:space="0" w:color="000000"/>
              <w:top w:val="single" w:sz="6" w:space="0" w:color="000000"/>
              <w:right w:val="single" w:sz="6" w:space="0" w:color="000000"/>
              <w:left w:val="single" w:sz="6" w:space="0" w:color="000000"/>
            </w:tcBorders>
          </w:tcPr>
          <w:p>
            <w:pPr/>
            <w:r>
              <w:t xml:space="preserve">Real Estate</w:t>
            </w:r>
          </w:p>
        </w:tc>
        <w:tc>
          <w:tcPr>
            <w:tcW w:w="2430" w:type="dxa"/>
            <w:tcBorders>
              <w:bottom w:val="single" w:sz="6" w:space="0" w:color="000000"/>
              <w:top w:val="single" w:sz="6" w:space="0" w:color="000000"/>
              <w:right w:val="single" w:sz="6" w:space="0" w:color="000000"/>
              <w:left w:val="single" w:sz="6" w:space="0" w:color="000000"/>
            </w:tcBorders>
          </w:tcPr>
          <w:p>
            <w:pPr/>
            <w:r>
              <w:t xml:space="preserve">"Housing Dictionary" data asset + tech platform</w:t>
            </w:r>
          </w:p>
        </w:tc>
        <w:tc>
          <w:tcPr>
            <w:tcW w:w="2430" w:type="dxa"/>
            <w:tcBorders>
              <w:bottom w:val="single" w:sz="6" w:space="0" w:color="000000"/>
              <w:top w:val="single" w:sz="6" w:space="0" w:color="000000"/>
              <w:right w:val="single" w:sz="2" w:space="0" w:color="000000"/>
              <w:left w:val="single" w:sz="6" w:space="0" w:color="000000"/>
            </w:tcBorders>
          </w:tcPr>
          <w:p>
            <w:pPr/>
            <w:r>
              <w:t xml:space="preserve">RMB 3.3T+ transaction volume (2024), RMB 93.5B net revenue</w:t>
            </w:r>
          </w:p>
        </w:tc>
      </w:tr>
      <w:tr>
        <w:trPr>
          <w:trHeight w:val="0"/>
        </w:trPr>
        <w:tc>
          <w:tcPr>
            <w:tcW w:w="2430" w:type="dxa"/>
            <w:tcBorders>
              <w:bottom w:val="single" w:sz="6" w:space="0" w:color="000000"/>
              <w:top w:val="single" w:sz="6" w:space="0" w:color="000000"/>
              <w:right w:val="single" w:sz="6" w:space="0" w:color="000000"/>
              <w:left w:val="single" w:sz="2" w:space="0" w:color="000000"/>
            </w:tcBorders>
          </w:tcPr>
          <w:p>
            <w:pPr/>
            <w:r>
              <w:t xml:space="preserve">Harvey</w:t>
            </w:r>
          </w:p>
        </w:tc>
        <w:tc>
          <w:tcPr>
            <w:tcW w:w="2430" w:type="dxa"/>
            <w:tcBorders>
              <w:bottom w:val="single" w:sz="6" w:space="0" w:color="000000"/>
              <w:top w:val="single" w:sz="6" w:space="0" w:color="000000"/>
              <w:right w:val="single" w:sz="6" w:space="0" w:color="000000"/>
              <w:left w:val="single" w:sz="6" w:space="0" w:color="000000"/>
            </w:tcBorders>
          </w:tcPr>
          <w:p>
            <w:pPr/>
            <w:r>
              <w:t xml:space="preserve">Legal AI</w:t>
            </w:r>
          </w:p>
        </w:tc>
        <w:tc>
          <w:tcPr>
            <w:tcW w:w="2430" w:type="dxa"/>
            <w:tcBorders>
              <w:bottom w:val="single" w:sz="6" w:space="0" w:color="000000"/>
              <w:top w:val="single" w:sz="6" w:space="0" w:color="000000"/>
              <w:right w:val="single" w:sz="6" w:space="0" w:color="000000"/>
              <w:left w:val="single" w:sz="6" w:space="0" w:color="000000"/>
            </w:tcBorders>
          </w:tcPr>
          <w:p>
            <w:pPr/>
            <w:r>
              <w:t xml:space="preserve">Domain-specific LLM for law firms</w:t>
            </w:r>
          </w:p>
        </w:tc>
        <w:tc>
          <w:tcPr>
            <w:tcW w:w="2430" w:type="dxa"/>
            <w:tcBorders>
              <w:bottom w:val="single" w:sz="6" w:space="0" w:color="000000"/>
              <w:top w:val="single" w:sz="6" w:space="0" w:color="000000"/>
              <w:right w:val="single" w:sz="2" w:space="0" w:color="000000"/>
              <w:left w:val="single" w:sz="6" w:space="0" w:color="000000"/>
            </w:tcBorders>
          </w:tcPr>
          <w:p>
            <w:pPr/>
            <w:r>
              <w:t xml:space="preserve">$3B+ valuation, $300M+ raised</w:t>
            </w:r>
          </w:p>
        </w:tc>
      </w:tr>
      <w:tr>
        <w:trPr>
          <w:trHeight w:val="0"/>
        </w:trPr>
        <w:tc>
          <w:tcPr>
            <w:tcW w:w="2430" w:type="dxa"/>
            <w:tcBorders>
              <w:bottom w:val="single" w:sz="6" w:space="0" w:color="000000"/>
              <w:top w:val="single" w:sz="6" w:space="0" w:color="000000"/>
              <w:right w:val="single" w:sz="6" w:space="0" w:color="000000"/>
              <w:left w:val="single" w:sz="2" w:space="0" w:color="000000"/>
            </w:tcBorders>
          </w:tcPr>
          <w:p>
            <w:pPr/>
            <w:r>
              <w:t xml:space="preserve">OpenEvidence</w:t>
            </w:r>
          </w:p>
        </w:tc>
        <w:tc>
          <w:tcPr>
            <w:tcW w:w="2430" w:type="dxa"/>
            <w:tcBorders>
              <w:bottom w:val="single" w:sz="6" w:space="0" w:color="000000"/>
              <w:top w:val="single" w:sz="6" w:space="0" w:color="000000"/>
              <w:right w:val="single" w:sz="6" w:space="0" w:color="000000"/>
              <w:left w:val="single" w:sz="6" w:space="0" w:color="000000"/>
            </w:tcBorders>
          </w:tcPr>
          <w:p>
            <w:pPr/>
            <w:r>
              <w:t xml:space="preserve">Medical AI</w:t>
            </w:r>
          </w:p>
        </w:tc>
        <w:tc>
          <w:tcPr>
            <w:tcW w:w="2430" w:type="dxa"/>
            <w:tcBorders>
              <w:bottom w:val="single" w:sz="6" w:space="0" w:color="000000"/>
              <w:top w:val="single" w:sz="6" w:space="0" w:color="000000"/>
              <w:right w:val="single" w:sz="6" w:space="0" w:color="000000"/>
              <w:left w:val="single" w:sz="6" w:space="0" w:color="000000"/>
            </w:tcBorders>
          </w:tcPr>
          <w:p>
            <w:pPr/>
            <w:r>
              <w:t xml:space="preserve">Clinical decision support AI</w:t>
            </w:r>
          </w:p>
        </w:tc>
        <w:tc>
          <w:tcPr>
            <w:tcW w:w="2430" w:type="dxa"/>
            <w:tcBorders>
              <w:bottom w:val="single" w:sz="6" w:space="0" w:color="000000"/>
              <w:top w:val="single" w:sz="6" w:space="0" w:color="000000"/>
              <w:right w:val="single" w:sz="2" w:space="0" w:color="000000"/>
              <w:left w:val="single" w:sz="6" w:space="0" w:color="000000"/>
            </w:tcBorders>
          </w:tcPr>
          <w:p>
            <w:pPr/>
            <w:r>
              <w:t xml:space="preserve">$3.5B valuation, covers 40% of U.S. physicians</w:t>
            </w:r>
          </w:p>
        </w:tc>
      </w:tr>
      <w:tr>
        <w:trPr>
          <w:trHeight w:val="0"/>
        </w:trPr>
        <w:tc>
          <w:tcPr>
            <w:tcW w:w="2430" w:type="dxa"/>
            <w:tcBorders>
              <w:bottom w:val="single" w:sz="2" w:space="0" w:color="000000"/>
              <w:top w:val="single" w:sz="6" w:space="0" w:color="000000"/>
              <w:right w:val="single" w:sz="6" w:space="0" w:color="000000"/>
              <w:left w:val="single" w:sz="2" w:space="0" w:color="000000"/>
            </w:tcBorders>
          </w:tcPr>
          <w:p>
            <w:pPr/>
            <w:r>
              <w:t xml:space="preserve">QCC (企查查)</w:t>
            </w:r>
          </w:p>
        </w:tc>
        <w:tc>
          <w:tcPr>
            <w:tcW w:w="2430" w:type="dxa"/>
            <w:tcBorders>
              <w:bottom w:val="single" w:sz="2" w:space="0" w:color="000000"/>
              <w:top w:val="single" w:sz="6" w:space="0" w:color="000000"/>
              <w:right w:val="single" w:sz="6" w:space="0" w:color="000000"/>
              <w:left w:val="single" w:sz="6" w:space="0" w:color="000000"/>
            </w:tcBorders>
          </w:tcPr>
          <w:p>
            <w:pPr/>
            <w:r>
              <w:t xml:space="preserve">Enterprise Credit Data</w:t>
            </w:r>
          </w:p>
        </w:tc>
        <w:tc>
          <w:tcPr>
            <w:tcW w:w="2430" w:type="dxa"/>
            <w:tcBorders>
              <w:bottom w:val="single" w:sz="2" w:space="0" w:color="000000"/>
              <w:top w:val="single" w:sz="6" w:space="0" w:color="000000"/>
              <w:right w:val="single" w:sz="6" w:space="0" w:color="000000"/>
              <w:left w:val="single" w:sz="6" w:space="0" w:color="000000"/>
            </w:tcBorders>
          </w:tcPr>
          <w:p>
            <w:pPr/>
            <w:r>
              <w:t xml:space="preserve">Business data search + AI</w:t>
            </w:r>
          </w:p>
        </w:tc>
        <w:tc>
          <w:tcPr>
            <w:tcW w:w="2430" w:type="dxa"/>
            <w:tcBorders>
              <w:bottom w:val="single" w:sz="2" w:space="0" w:color="000000"/>
              <w:top w:val="single" w:sz="6" w:space="0" w:color="000000"/>
              <w:right w:val="single" w:sz="2" w:space="0" w:color="000000"/>
              <w:left w:val="single" w:sz="6" w:space="0" w:color="000000"/>
            </w:tcBorders>
          </w:tcPr>
          <w:p>
            <w:pPr/>
            <w:r>
              <w:t xml:space="preserve">RMB 7.8B revenue (2025), 100B+ RMB valuation, IPO pending</w:t>
            </w:r>
          </w:p>
        </w:tc>
      </w:tr>
    </w:tbl>
    <w:p>
      <w:pPr/>
      <w:r>
        <w:t xml:space="preserve">Our positioning: VisionSquare is to the education-science-talent sector what Palantir is to government intelligence, what Bloomberg is to financial markets, and what KE Holdings is to real estate — the company that owns the industry's most comprehensive data infrastructure and uses it to power AI-driven decisions at scale.</w:t>
      </w:r>
    </w:p>
    <w:p>
      <w:pPr>
        <w:pBdr>
          <w:top w:val="none" w:sz="6" w:space="0" w:color="000000"/>
        </w:pBdr>
      </w:pPr>
    </w:p>
    <w:p>
      <w:bookmarkStart w:id="mt0uidiwr1h9v1cxbi9" w:name="mt0uidiwr1h9v1cxbi9"/>
      <w:pPr>
        <w:pStyle w:val="dingding-heading2"/>
        <w:ind/>
      </w:pPr>
      <w:r>
        <w:t xml:space="preserve">Our Values</w:t>
      </w:r>
      <w:bookmarkEnd w:id="mt0uidiwr1h9v1cxbi9"/>
    </w:p>
    <w:p>
      <w:pPr/>
      <w:r>
        <w:t xml:space="preserve">We have chosen a side. We build technology that serves the public interest — helping students find their best path, helping researchers find their best collaborators, helping governments find their best talent, and helping institutions make their best decisions.</w:t>
      </w:r>
    </w:p>
    <w:p>
      <w:pPr/>
      <w:r>
        <w:t xml:space="preserve">We do not sell data. We do not trade in personal information. We build platforms that enable our customers to integrate and leverage their own data — data that they already have.</w:t>
      </w:r>
    </w:p>
    <w:p>
      <w:pPr/>
      <w:r>
        <w:t xml:space="preserve">We believe that in the education-science-talent sector, trust is not a feature. It is the product. Every evaluation we publish, every recommendation our agents make, and every match our platform delivers must be grounded in verified truth. This is what we mean by "科技求真" — Technology for Truth.</w:t>
      </w:r>
    </w:p>
    <w:p>
      <w:pPr/>
      <w:r>
        <w:t xml:space="preserve">The systemic challenges facing education, science, and talent systems around the world — fragmented data, information asymmetry, institutional inertia, and the misallocation of human capital — will continue to require both public and private institutions to transform themselves. We believe that the institutions and individuals who depend on trustworthy data and AI to navigate these challenges deserve better than what the market currently offers.</w:t>
      </w:r>
    </w:p>
    <w:p>
      <w:pPr/>
      <w:r>
        <w:t xml:space="preserve">We have spent over a decade building something better. And we are just getting started.</w:t>
      </w:r>
    </w:p>
    <w:p>
      <w:pPr>
        <w:pBdr>
          <w:top w:val="none" w:sz="6" w:space="0" w:color="000000"/>
        </w:pBdr>
      </w:pPr>
    </w:p>
    <w:p>
      <w:pPr/>
      <w:r>
        <w:t xml:space="preserve">VisionSquare Inc. · 平方创想教育科技（北京）有限公司 · Business Narrative · 2026</w:t>
      </w:r>
    </w:p>
    <w:p>
      <w:pPr/>
      <w:r/>
    </w:p>
    <w:p>
      <w:pPr/>
      <w:r/>
    </w:p>
    <w:p>
      <w:pPr/>
      <w:r/>
    </w:p>
    <w:p>
      <w:bookmarkStart w:id="mt0unh9uhmvku71fw8m" w:name="mt0unh9uhmvku71fw8m"/>
      <w:pPr>
        <w:pStyle w:val="dingding-heading1"/>
        <w:ind/>
      </w:pPr>
      <w:r>
        <w:t xml:space="preserve">平方创想教育科技（北京）有限公司</w:t>
      </w:r>
      <w:bookmarkEnd w:id="mt0unh9uhmvku71fw8m"/>
    </w:p>
    <w:p>
      <w:bookmarkStart w:id="mt0unh9vdoxvs3v73a" w:name="mt0unh9vdoxvs3v73a"/>
      <w:pPr>
        <w:pStyle w:val="dingding-heading2"/>
        <w:ind/>
      </w:pPr>
      <w:r>
        <w:t xml:space="preserve">VISIONSQUARE INC.</w:t>
      </w:r>
      <w:bookmarkEnd w:id="mt0unh9vdoxvs3v73a"/>
    </w:p>
    <w:p>
      <w:pPr>
        <w:pBdr>
          <w:top w:val="none" w:sz="6" w:space="0" w:color="000000"/>
        </w:pBdr>
      </w:pPr>
    </w:p>
    <w:p>
      <w:pPr/>
      <w:r>
        <w:t xml:space="preserve">我们为教育、科技、人才领域构建可信任的数据基础设施与AI平台。在这个领域，关于"人"的每一个决策——录取谁、资助谁、引进谁、转化谁的成果——都可能影响一个人的命运和一个国家的未来。这样的决策不能靠猜测，而必须建立在真实的数据和可信的智能之上。</w:t>
      </w:r>
    </w:p>
    <w:p>
      <w:pPr/>
      <w:r>
        <w:t xml:space="preserve">我们成立于2013年，从教育领域开始构建数据基础设施，辅助人才评价、学业发展规划与机构决策。此后，我们将服务扩展到政府机构、科研院所和产业端企业，覆盖了整个"教育—科技—人才"一体化生态系统。</w:t>
      </w:r>
    </w:p>
    <w:p>
      <w:pPr/>
      <w:r>
        <w:t xml:space="preserve">我们构建了名为 SquareCore 的核心技术底座，由三个紧密耦合的组件构成：Knowledge Square（知识与数据基础设施）、SquareAI（行业垂直AI引擎与智能体框架）和 Flora（低代码开发框架）。三者共同构成了教育科技人才行业的中央操作系统——这个对社会至关重要的行业，被技术赋能的程度却远远落后于它应有的水平，已经持续了数十年。</w:t>
      </w:r>
    </w:p>
    <w:p>
      <w:pPr>
        <w:pBdr>
          <w:top w:val="none" w:sz="6" w:space="0" w:color="000000"/>
        </w:pBdr>
      </w:pPr>
    </w:p>
    <w:p>
      <w:bookmarkStart w:id="mt0unh9xw2cjs9rtp3c" w:name="mt0unh9xw2cjs9rtp3c"/>
      <w:pPr>
        <w:pStyle w:val="dingding-heading2"/>
        <w:ind/>
      </w:pPr>
      <w:r>
        <w:t xml:space="preserve">创业历程</w:t>
      </w:r>
      <w:bookmarkEnd w:id="mt0unh9xw2cjs9rtp3c"/>
    </w:p>
    <w:p>
      <w:pPr/>
      <w:r>
        <w:t xml:space="preserve">平方创想由王刚于2013年创立。公司的第一款产品"申请方"（ApplySquare）是一个服务于国际教育规划的平台，帮助学生应对留学过程中复杂的决策挑战。</w:t>
      </w:r>
    </w:p>
    <w:p>
      <w:pPr/>
      <w:r>
        <w:t xml:space="preserve">2014年，我们获得天使轮融资。2016年，完成A轮融资，发布面向高校和政府的品牌"方略"（SquareStrategics），建立数据加工中心，开始系统性构建中国乃至全球最大的教育科技人才垂直领域结构化数据基础设施。</w:t>
      </w:r>
    </w:p>
    <w:p>
      <w:pPr/>
      <w:r>
        <w:t xml:space="preserve">2017年，我们与清华大学共建"全球学校与学生发展评价研究中心"——这一合作深化了我们对最高层级人才评价体系的理解。同年，我们承接教育部大数据课题与"双一流"评价重大攻关课题，发布面向个人的品牌"学业有方"（FutureSquare）。</w:t>
      </w:r>
    </w:p>
    <w:p>
      <w:pPr/>
      <w:r>
        <w:t xml:space="preserve">2018年，完成A+轮融资，拓展国际化领域，参与清华大学全球战略1.0制定及全球胜任力评价指标体系搭建。</w:t>
      </w:r>
    </w:p>
    <w:p>
      <w:pPr/>
      <w:r>
        <w:t xml:space="preserve">2019年，发布自研底层架构Flora引擎，发布首个《全球教育智库PAP评价研究报告》——此后每年持续发布，至今已连续七年。</w:t>
      </w:r>
    </w:p>
    <w:p>
      <w:pPr/>
      <w:r>
        <w:t xml:space="preserve">2022年，完成B轮融资。发布面向产业端的品牌"北辰"（PolaRise），入选"值得关注的高成长数字化赋能服务机构"榜单，参与编制智慧校园大数据国家标准和团体标准。</w:t>
      </w:r>
    </w:p>
    <w:p>
      <w:pPr/>
      <w:r>
        <w:t xml:space="preserve">2025年，发布首个教育科技人才行业垂域大模型，发布面向个人的智能体"知己"（ZhiJi）。配合教育部建设教育科技人才一体化图谱，配合中央人才工作领导小组建设全球人才库。</w:t>
      </w:r>
    </w:p>
    <w:p>
      <w:pPr/>
      <w:r>
        <w:t xml:space="preserve">2026年，发布面向组织的智能体"一答"（YiDa），发布科技成果转化智能体"技转通"（JiZhuanTong）并在无锡正式首发上线，获《无锡日报》整版报道。上海徐汇、深圳龙岗、北京海淀同步推进部署。启动B+轮融资。</w:t>
      </w:r>
    </w:p>
    <w:p>
      <w:pPr/>
      <w:r>
        <w:t xml:space="preserve">我们的旅程是一段持续、复利式的投资过程。 十三年来，我们没有追逐风口，而是日复一日地构建数据、积累知识、打磨AI能力。与那些因为AI热潮才开始寻找行业场景的公司不同，我们在AI浪潮到来之前就已经完成了最艰难的底层建设。我们相信，这些积累在智能体时代将释放出指数级的价值。</w:t>
      </w:r>
    </w:p>
    <w:p>
      <w:pPr>
        <w:pBdr>
          <w:top w:val="none" w:sz="6" w:space="0" w:color="000000"/>
        </w:pBdr>
      </w:pPr>
    </w:p>
    <w:p>
      <w:bookmarkStart w:id="mt0unha01hkpturfh8gj" w:name="mt0unha01hkpturfh8gj"/>
      <w:pPr>
        <w:pStyle w:val="dingding-heading2"/>
        <w:ind/>
      </w:pPr>
      <w:r>
        <w:t xml:space="preserve">平台与产品体系</w:t>
      </w:r>
      <w:bookmarkEnd w:id="mt0unha01hkpturfh8gj"/>
    </w:p>
    <w:p>
      <w:pPr/>
      <w:r>
        <w:t xml:space="preserve">我们构建了一个由AI智能体、场景工作台、智能工具和交易平台组成的完整产品生态。</w:t>
      </w:r>
    </w:p>
    <w:p>
      <w:bookmarkStart w:id="mt0unha1okpmbeoi26n" w:name="mt0unha1okpmbeoi26n"/>
      <w:pPr>
        <w:pStyle w:val="dingding-heading3"/>
        <w:ind/>
      </w:pPr>
      <w:r>
        <w:t xml:space="preserve">AI智能体</w:t>
      </w:r>
      <w:bookmarkEnd w:id="mt0unha1okpmbeoi26n"/>
    </w:p>
    <w:p>
      <w:pPr/>
      <w:r>
        <w:t xml:space="preserve">知己（ZhiJi）—— 面向个人的伴随式AI智能体。 知己陪伴每一个人的成长旅程——从升学规划、院校选择到职业发展、终身学习。它利用我们的知识图谱和行业AI，在每一个关键决策节点提供个性化的可信任指导。知己目前覆盖申请方、学业有方、潜历等平台，累计注册用户超过300万。</w:t>
      </w:r>
    </w:p>
    <w:p>
      <w:pPr/>
      <w:r>
        <w:t xml:space="preserve">"知己专注于穿透时间——在不同阶段为用户寻找最优的上升通道。"</w:t>
      </w:r>
    </w:p>
    <w:p>
      <w:pPr/>
      <w:r>
        <w:t xml:space="preserve">一答（YiDa）—— 面向组织的智能体。 一答服务于各类组织——高校、政府机构、产业端企业——提供AI驱动的人才搜索、背景核验与决策支持。它贯穿组织"荐人、见人、鉴人"的全链条。一答与知己共享同一个SquareAI引擎，但针对组织工作流和多用户协同进行了深度适配。</w:t>
      </w:r>
    </w:p>
    <w:p>
      <w:pPr/>
      <w:r>
        <w:t xml:space="preserve">"一答专注于穿透组织——在复杂管理场景下提供确定性的执行依据。"</w:t>
      </w:r>
    </w:p>
    <w:p>
      <w:pPr/>
      <w:r>
        <w:t xml:space="preserve">技转通（JiZhuanTong）—— 科技成果转化AI智能体。 技转通是我们在产学研转化垂直领域的旗舰产品。它采用自研的"人才—成果—需求"三维匹配引擎，解决成果转化领域长期存在的"找不到、看不清、跟不住"三大痛点。目前已在四个城市落地部署：无锡（已上线，获官方媒体报道）、上海徐汇（即将上线）、深圳龙岗（推进中）、北京海淀（功能融合于区域人才平台）。</w:t>
      </w:r>
    </w:p>
    <w:p>
      <w:bookmarkStart w:id="mt0unha27358szkrive" w:name="mt0unha27358szkrive"/>
      <w:pPr>
        <w:pStyle w:val="dingding-heading3"/>
        <w:ind/>
      </w:pPr>
      <w:r>
        <w:t xml:space="preserve">场景工作台</w:t>
      </w:r>
      <w:bookmarkEnd w:id="mt0unha27358szkrive"/>
    </w:p>
    <w:p>
      <w:pPr/>
      <w:r>
        <w:t xml:space="preserve">我们的工作台产品是机构用户与我们的数据和AI能力交互的主要界面：</w:t>
      </w:r>
    </w:p>
    <w:p>
      <w:pPr/>
      <w:r>
        <w:t xml:space="preserve">方略（SquareStrategics）工作台 —— 面向高校：教育研究与院校治理、人才培养（招生/实践培养/国际化/职业发展）、科研成果服务与管理</w:t>
      </w:r>
    </w:p>
    <w:p>
      <w:pPr/>
      <w:r>
        <w:t xml:space="preserve">北辰（PolaRise）工作台 —— 面向教育服务企业：智能客服、需求分析、报告生成、课程学习、查问选服务平台</w:t>
      </w:r>
    </w:p>
    <w:p>
      <w:pPr/>
      <w:r>
        <w:t xml:space="preserve">个人/家庭工作台 —— 面向个人：申请方（国际升学）、学业有方（国内升学）、潜历（求职就业）</w:t>
      </w:r>
    </w:p>
    <w:p>
      <w:bookmarkStart w:id="mt0unha43fr72d97pww" w:name="mt0unha43fr72d97pww"/>
      <w:pPr>
        <w:pStyle w:val="dingding-heading3"/>
        <w:ind/>
      </w:pPr>
      <w:r>
        <w:t xml:space="preserve">严选交易平台（Marketplace）</w:t>
      </w:r>
      <w:bookmarkEnd w:id="mt0unha43fr72d97pww"/>
    </w:p>
    <w:p>
      <w:pPr/>
      <w:r>
        <w:t xml:space="preserve">我们构建了双引擎交易体系：</w:t>
      </w:r>
    </w:p>
    <w:p>
      <w:pPr/>
      <w:r>
        <w:t xml:space="preserve">方略严选 —— 面向组织（到企/到校）的精选B2B交易平台，已覆盖1,000+所机构交易网络。采购方包括高校处室、实验室、科研人员、企业研发部门；供给方包括科研仪器设备、试剂耗材、软硬件系统、培训与咨询服务等。</w:t>
      </w:r>
    </w:p>
    <w:p>
      <w:pPr/>
      <w:r>
        <w:t xml:space="preserve">北辰严选 —— 面向个人/家庭的精选B2C交易平台，提供经过评价认证的教育服务、辅导资源和职业发展产品。</w:t>
      </w:r>
    </w:p>
    <w:p>
      <w:pPr/>
      <w:r>
        <w:t xml:space="preserve">两个严选都不是传统的"货架电商"。每一个进入严选的资源，都经过我们的评价体系认证——我们称之为"严选，而非聚合"。我们相信，行业交易的未来是：AI驱动、信任认证、通过智能体个性化分发，而不是通过搜索框浏览。</w:t>
      </w:r>
    </w:p>
    <w:p>
      <w:pPr>
        <w:pBdr>
          <w:top w:val="none" w:sz="6" w:space="0" w:color="000000"/>
        </w:pBdr>
      </w:pPr>
    </w:p>
    <w:p>
      <w:bookmarkStart w:id="mt0unhac7hjj5fuqwp" w:name="mt0unhac7hjj5fuqwp"/>
      <w:pPr>
        <w:pStyle w:val="dingding-heading2"/>
        <w:ind/>
      </w:pPr>
      <w:r>
        <w:t xml:space="preserve">核心技术</w:t>
      </w:r>
      <w:bookmarkEnd w:id="mt0unhac7hjj5fuqwp"/>
    </w:p>
    <w:p>
      <w:pPr/>
      <w:r>
        <w:t xml:space="preserve">SquareCore是我们所有产品的底座，由三个紧密集成的组件构成。</w:t>
      </w:r>
    </w:p>
    <w:p>
      <w:bookmarkStart w:id="mt0unhad4qv6bqfsk65" w:name="mt0unhad4qv6bqfsk65"/>
      <w:pPr>
        <w:pStyle w:val="dingding-heading3"/>
        <w:ind/>
      </w:pPr>
      <w:r>
        <w:t xml:space="preserve">Knowledge Square —— 知识与数据基础设施</w:t>
      </w:r>
      <w:bookmarkEnd w:id="mt0unhad4qv6bqfsk65"/>
    </w:p>
    <w:p>
      <w:pPr/>
      <w:r>
        <w:t xml:space="preserve">Knowledge Square是十余年持续投资的成果。它不是一个数据库，而是一个行业级的知识基础设施，连接着：</w:t>
      </w:r>
    </w:p>
    <w:tbl>
      <w:tblPr>
        <w:tblStyle w:val="tableHeader"/>
        <w:tblW w:w="0" w:type="auto"/>
        <w:tblLook w:firstRow="1" w:lastRow="0" w:firstColumn="0" w:lastColumn="0" w:noHBand="0" w:noVBand="0"/>
      </w:tblPr>
      <w:tblGrid>
        <w:gridCol w:w="4875"/>
        <w:gridCol w:w="4875"/>
      </w:tblGrid>
      <w:tr>
        <w:trPr>
          <w:trHeight w:val="0"/>
        </w:trPr>
        <w:tc>
          <w:tcPr>
            <w:tcW w:w="4875" w:type="dxa"/>
            <w:tcBorders>
              <w:bottom w:val="single" w:sz="6" w:space="0" w:color="979A9B"/>
              <w:top w:val="single" w:sz="6" w:space="0" w:color="979A9B"/>
              <w:right w:val="single" w:sz="6" w:space="0" w:color="979A9B"/>
              <w:left w:val="single" w:sz="6" w:space="0" w:color="979A9B"/>
            </w:tcBorders>
            <w:shd w:val="clear" w:color="auto" w:fill="FFFFFF"/>
          </w:tcPr>
          <w:p>
            <w:pPr/>
            <w:r>
              <w:t xml:space="preserve">数据资产</w:t>
            </w:r>
          </w:p>
        </w:tc>
        <w:tc>
          <w:tcPr>
            <w:tcW w:w="4875" w:type="dxa"/>
            <w:tcBorders>
              <w:bottom w:val="single" w:sz="6" w:space="0" w:color="979A9B"/>
              <w:top w:val="single" w:sz="6" w:space="0" w:color="979A9B"/>
              <w:right w:val="single" w:sz="6" w:space="0" w:color="979A9B"/>
              <w:left w:val="single" w:sz="6" w:space="0" w:color="979A9B"/>
            </w:tcBorders>
            <w:shd w:val="clear" w:color="auto" w:fill="FFFFFF"/>
          </w:tcPr>
          <w:p>
            <w:pPr/>
            <w:r>
              <w:t xml:space="preserve">规模</w:t>
            </w:r>
          </w:p>
        </w:tc>
      </w:tr>
      <w:tr>
        <w:trPr>
          <w:trHeight w:val="0"/>
        </w:trPr>
        <w:tc>
          <w:tcPr>
            <w:tcW w:w="4875" w:type="dxa"/>
            <w:tcBorders>
              <w:bottom w:val="single" w:sz="6" w:space="0" w:color="000000"/>
              <w:top w:val="single" w:sz="6" w:space="0" w:color="979A9B"/>
              <w:right w:val="single" w:sz="6" w:space="0" w:color="000000"/>
              <w:left w:val="single" w:sz="2" w:space="0" w:color="000000"/>
            </w:tcBorders>
          </w:tcPr>
          <w:p>
            <w:pPr/>
            <w:r>
              <w:t xml:space="preserve">全球人才底库</w:t>
            </w:r>
          </w:p>
        </w:tc>
        <w:tc>
          <w:tcPr>
            <w:tcW w:w="4875" w:type="dxa"/>
            <w:tcBorders>
              <w:bottom w:val="single" w:sz="6" w:space="0" w:color="000000"/>
              <w:top w:val="single" w:sz="6" w:space="0" w:color="979A9B"/>
              <w:right w:val="single" w:sz="2" w:space="0" w:color="000000"/>
              <w:left w:val="single" w:sz="6" w:space="0" w:color="000000"/>
            </w:tcBorders>
          </w:tcPr>
          <w:p>
            <w:pPr/>
            <w:r>
              <w:t xml:space="preserve">3,400万+</w:t>
            </w:r>
          </w:p>
        </w:tc>
      </w:tr>
      <w:tr>
        <w:trPr>
          <w:trHeight w:val="0"/>
        </w:trPr>
        <w:tc>
          <w:tcPr>
            <w:tcW w:w="4875" w:type="dxa"/>
            <w:tcBorders>
              <w:bottom w:val="single" w:sz="6" w:space="0" w:color="000000"/>
              <w:top w:val="single" w:sz="6" w:space="0" w:color="000000"/>
              <w:right w:val="single" w:sz="6" w:space="0" w:color="000000"/>
              <w:left w:val="single" w:sz="2" w:space="0" w:color="000000"/>
            </w:tcBorders>
          </w:tcPr>
          <w:p>
            <w:pPr/>
            <w:r>
              <w:t xml:space="preserve">学术论文</w:t>
            </w:r>
          </w:p>
        </w:tc>
        <w:tc>
          <w:tcPr>
            <w:tcW w:w="4875" w:type="dxa"/>
            <w:tcBorders>
              <w:bottom w:val="single" w:sz="6" w:space="0" w:color="000000"/>
              <w:top w:val="single" w:sz="6" w:space="0" w:color="000000"/>
              <w:right w:val="single" w:sz="2" w:space="0" w:color="000000"/>
              <w:left w:val="single" w:sz="6" w:space="0" w:color="000000"/>
            </w:tcBorders>
          </w:tcPr>
          <w:p>
            <w:pPr/>
            <w:r>
              <w:t xml:space="preserve">2.3亿篇</w:t>
            </w:r>
          </w:p>
        </w:tc>
      </w:tr>
      <w:tr>
        <w:trPr>
          <w:trHeight w:val="0"/>
        </w:trPr>
        <w:tc>
          <w:tcPr>
            <w:tcW w:w="4875" w:type="dxa"/>
            <w:tcBorders>
              <w:bottom w:val="single" w:sz="6" w:space="0" w:color="000000"/>
              <w:top w:val="single" w:sz="6" w:space="0" w:color="000000"/>
              <w:right w:val="single" w:sz="6" w:space="0" w:color="000000"/>
              <w:left w:val="single" w:sz="2" w:space="0" w:color="000000"/>
            </w:tcBorders>
          </w:tcPr>
          <w:p>
            <w:pPr/>
            <w:r>
              <w:t xml:space="preserve">专利文献</w:t>
            </w:r>
          </w:p>
        </w:tc>
        <w:tc>
          <w:tcPr>
            <w:tcW w:w="4875" w:type="dxa"/>
            <w:tcBorders>
              <w:bottom w:val="single" w:sz="6" w:space="0" w:color="000000"/>
              <w:top w:val="single" w:sz="6" w:space="0" w:color="000000"/>
              <w:right w:val="single" w:sz="2" w:space="0" w:color="000000"/>
              <w:left w:val="single" w:sz="6" w:space="0" w:color="000000"/>
            </w:tcBorders>
          </w:tcPr>
          <w:p>
            <w:pPr/>
            <w:r>
              <w:t xml:space="preserve">1.8亿篇</w:t>
            </w:r>
          </w:p>
        </w:tc>
      </w:tr>
      <w:tr>
        <w:trPr>
          <w:trHeight w:val="0"/>
        </w:trPr>
        <w:tc>
          <w:tcPr>
            <w:tcW w:w="4875" w:type="dxa"/>
            <w:tcBorders>
              <w:bottom w:val="single" w:sz="6" w:space="0" w:color="000000"/>
              <w:top w:val="single" w:sz="6" w:space="0" w:color="000000"/>
              <w:right w:val="single" w:sz="6" w:space="0" w:color="000000"/>
              <w:left w:val="single" w:sz="2" w:space="0" w:color="000000"/>
            </w:tcBorders>
          </w:tcPr>
          <w:p>
            <w:pPr/>
            <w:r>
              <w:t xml:space="preserve">基金项目</w:t>
            </w:r>
          </w:p>
        </w:tc>
        <w:tc>
          <w:tcPr>
            <w:tcW w:w="4875" w:type="dxa"/>
            <w:tcBorders>
              <w:bottom w:val="single" w:sz="6" w:space="0" w:color="000000"/>
              <w:top w:val="single" w:sz="6" w:space="0" w:color="000000"/>
              <w:right w:val="single" w:sz="2" w:space="0" w:color="000000"/>
              <w:left w:val="single" w:sz="6" w:space="0" w:color="000000"/>
            </w:tcBorders>
          </w:tcPr>
          <w:p>
            <w:pPr/>
            <w:r>
              <w:t xml:space="preserve">300万+</w:t>
            </w:r>
          </w:p>
        </w:tc>
      </w:tr>
      <w:tr>
        <w:trPr>
          <w:trHeight w:val="0"/>
        </w:trPr>
        <w:tc>
          <w:tcPr>
            <w:tcW w:w="4875" w:type="dxa"/>
            <w:tcBorders>
              <w:bottom w:val="single" w:sz="6" w:space="0" w:color="000000"/>
              <w:top w:val="single" w:sz="6" w:space="0" w:color="000000"/>
              <w:right w:val="single" w:sz="6" w:space="0" w:color="000000"/>
              <w:left w:val="single" w:sz="2" w:space="0" w:color="000000"/>
            </w:tcBorders>
          </w:tcPr>
          <w:p>
            <w:pPr/>
            <w:r>
              <w:t xml:space="preserve">科研机构</w:t>
            </w:r>
          </w:p>
        </w:tc>
        <w:tc>
          <w:tcPr>
            <w:tcW w:w="4875" w:type="dxa"/>
            <w:tcBorders>
              <w:bottom w:val="single" w:sz="6" w:space="0" w:color="000000"/>
              <w:top w:val="single" w:sz="6" w:space="0" w:color="000000"/>
              <w:right w:val="single" w:sz="2" w:space="0" w:color="000000"/>
              <w:left w:val="single" w:sz="6" w:space="0" w:color="000000"/>
            </w:tcBorders>
          </w:tcPr>
          <w:p>
            <w:pPr/>
            <w:r>
              <w:t xml:space="preserve">400万+</w:t>
            </w:r>
          </w:p>
        </w:tc>
      </w:tr>
      <w:tr>
        <w:trPr>
          <w:trHeight w:val="0"/>
        </w:trPr>
        <w:tc>
          <w:tcPr>
            <w:tcW w:w="4875" w:type="dxa"/>
            <w:tcBorders>
              <w:bottom w:val="single" w:sz="6" w:space="0" w:color="000000"/>
              <w:top w:val="single" w:sz="6" w:space="0" w:color="000000"/>
              <w:right w:val="single" w:sz="6" w:space="0" w:color="000000"/>
              <w:left w:val="single" w:sz="2" w:space="0" w:color="000000"/>
            </w:tcBorders>
          </w:tcPr>
          <w:p>
            <w:pPr/>
            <w:r>
              <w:t xml:space="preserve">全球高校</w:t>
            </w:r>
          </w:p>
        </w:tc>
        <w:tc>
          <w:tcPr>
            <w:tcW w:w="4875" w:type="dxa"/>
            <w:tcBorders>
              <w:bottom w:val="single" w:sz="6" w:space="0" w:color="000000"/>
              <w:top w:val="single" w:sz="6" w:space="0" w:color="000000"/>
              <w:right w:val="single" w:sz="2" w:space="0" w:color="000000"/>
              <w:left w:val="single" w:sz="6" w:space="0" w:color="000000"/>
            </w:tcBorders>
          </w:tcPr>
          <w:p>
            <w:pPr/>
            <w:r>
              <w:t xml:space="preserve">15,000+所（覆盖154个国家）</w:t>
            </w:r>
          </w:p>
        </w:tc>
      </w:tr>
      <w:tr>
        <w:trPr>
          <w:trHeight w:val="0"/>
        </w:trPr>
        <w:tc>
          <w:tcPr>
            <w:tcW w:w="4875" w:type="dxa"/>
            <w:tcBorders>
              <w:bottom w:val="single" w:sz="6" w:space="0" w:color="000000"/>
              <w:top w:val="single" w:sz="6" w:space="0" w:color="000000"/>
              <w:right w:val="single" w:sz="6" w:space="0" w:color="000000"/>
              <w:left w:val="single" w:sz="2" w:space="0" w:color="000000"/>
            </w:tcBorders>
          </w:tcPr>
          <w:p>
            <w:pPr/>
            <w:r>
              <w:t xml:space="preserve">国家数据库</w:t>
            </w:r>
          </w:p>
        </w:tc>
        <w:tc>
          <w:tcPr>
            <w:tcW w:w="4875" w:type="dxa"/>
            <w:tcBorders>
              <w:bottom w:val="single" w:sz="6" w:space="0" w:color="000000"/>
              <w:top w:val="single" w:sz="6" w:space="0" w:color="000000"/>
              <w:right w:val="single" w:sz="2" w:space="0" w:color="000000"/>
              <w:left w:val="single" w:sz="6" w:space="0" w:color="000000"/>
            </w:tcBorders>
          </w:tcPr>
          <w:p>
            <w:pPr/>
            <w:r>
              <w:t xml:space="preserve">233个国家和地区</w:t>
            </w:r>
          </w:p>
        </w:tc>
      </w:tr>
      <w:tr>
        <w:trPr>
          <w:trHeight w:val="0"/>
        </w:trPr>
        <w:tc>
          <w:tcPr>
            <w:tcW w:w="4875" w:type="dxa"/>
            <w:tcBorders>
              <w:bottom w:val="single" w:sz="2" w:space="0" w:color="000000"/>
              <w:top w:val="single" w:sz="6" w:space="0" w:color="000000"/>
              <w:right w:val="single" w:sz="6" w:space="0" w:color="000000"/>
              <w:left w:val="single" w:sz="2" w:space="0" w:color="000000"/>
            </w:tcBorders>
          </w:tcPr>
          <w:p>
            <w:pPr/>
            <w:r>
              <w:t xml:space="preserve">累计服务人才</w:t>
            </w:r>
          </w:p>
        </w:tc>
        <w:tc>
          <w:tcPr>
            <w:tcW w:w="4875" w:type="dxa"/>
            <w:tcBorders>
              <w:bottom w:val="single" w:sz="2" w:space="0" w:color="000000"/>
              <w:top w:val="single" w:sz="6" w:space="0" w:color="000000"/>
              <w:right w:val="single" w:sz="2" w:space="0" w:color="000000"/>
              <w:left w:val="single" w:sz="6" w:space="0" w:color="000000"/>
            </w:tcBorders>
          </w:tcPr>
          <w:p>
            <w:pPr/>
            <w:r>
              <w:t xml:space="preserve">600万+</w:t>
            </w:r>
          </w:p>
        </w:tc>
      </w:tr>
    </w:tbl>
    <w:p>
      <w:pPr/>
      <w:r>
        <w:t xml:space="preserve">知识基础设施整合了三种图谱：</w:t>
      </w:r>
    </w:p>
    <w:p>
      <w:pPr/>
      <w:r>
        <w:t xml:space="preserve">知识图谱（物连物）—— 技术→专利→研究领域→产业方向</w:t>
      </w:r>
    </w:p>
    <w:p>
      <w:pPr/>
      <w:r>
        <w:t xml:space="preserve">认知图谱（物连人）—— 技术→发明人→团队→机构</w:t>
      </w:r>
    </w:p>
    <w:p>
      <w:pPr/>
      <w:r>
        <w:t xml:space="preserve">关系图谱（人连人）—— 研究者→合作者→导师→学生</w:t>
      </w:r>
    </w:p>
    <w:p>
      <w:pPr/>
      <w:r>
        <w:t xml:space="preserve">这种三图合一的架构使得系统能回答通用搜索引擎无法回答的问题："帮我找一位在碳纳米管合成领域发表过论文、在江苏省有产业合作经验、至少有两项已转化专利、且愿意担任技术顾问的研究者。"</w:t>
      </w:r>
    </w:p>
    <w:p>
      <w:bookmarkStart w:id="mt0unhah3hckpn5mbkd" w:name="mt0unhah3hckpn5mbkd"/>
      <w:pPr>
        <w:pStyle w:val="dingding-heading3"/>
        <w:ind/>
      </w:pPr>
      <w:r>
        <w:t xml:space="preserve">SquareAI —— 行业垂直AI引擎</w:t>
      </w:r>
      <w:bookmarkEnd w:id="mt0unhah3hckpn5mbkd"/>
    </w:p>
    <w:p>
      <w:pPr/>
      <w:r>
        <w:t xml:space="preserve">SquareAI不是通用大模型的简单封装。它是一个专为高风险、高知识密度领域设计的四层AI架构：</w:t>
      </w:r>
    </w:p>
    <w:p>
      <w:pPr/>
      <w:r>
        <w:t xml:space="preserve">Layer 1：能力层（Skill Set）。 七大基础AI能力模块——理解、分析、匹配、资源管理、查验、定位诊断、规划。每个模块都在领域专有数据和逻辑上训练。</w:t>
      </w:r>
    </w:p>
    <w:p>
      <w:pPr/>
      <w:r>
        <w:t xml:space="preserve">Layer 2：行业垂直模型层。 以通用大模型为基础，通过RAG（检索增强生成）、SFT（监督微调）、RLHF（人类反馈强化学习）、知识蒸馏、LoRA/PEFT等技术进行行业垂直训练。</w:t>
      </w:r>
    </w:p>
    <w:p>
      <w:pPr/>
      <w:r>
        <w:t xml:space="preserve">Layer 3：Harness装配层。 工程化控制层，确保每一个AI输出稳定、可控、不越界。包括基础蓝图设计、状态空间管理、专属知识注入、规程装配和边界约束五个子模块。这一层是我们的AI"可信任"而非仅仅"智能"的关键所在。</w:t>
      </w:r>
    </w:p>
    <w:p>
      <w:pPr/>
      <w:r>
        <w:t xml:space="preserve">Layer 4：多智能体协同层。 支持四种协同模式——总/分包模式（Manager派发，Worker并发执行）、Handoff转接模式（任务顺序移交专业智能体）、Swarm群模式（多智能体并行涌现）、A2A全自动模式（Agent-to-Agent无人工介入）。</w:t>
      </w:r>
    </w:p>
    <w:p>
      <w:bookmarkStart w:id="mt0unhaj18cgpqpc4fp" w:name="mt0unhaj18cgpqpc4fp"/>
      <w:pPr>
        <w:pStyle w:val="dingding-heading3"/>
        <w:ind/>
      </w:pPr>
      <w:r>
        <w:t xml:space="preserve">Flora —— 低代码开发框架</w:t>
      </w:r>
      <w:bookmarkEnd w:id="mt0unhaj18cgpqpc4fp"/>
    </w:p>
    <w:p>
      <w:pPr/>
      <w:r>
        <w:t xml:space="preserve">Flora使我们的团队——以及越来越多的合作伙伴——能够快速构建、定制和部署场景工作台与AI智能体。一个新城市的技转通部署，可以在数周内完成，而不是数月，因为Flora提供了数据集成、界面生成和智能体配置的完整脚手架。</w:t>
      </w:r>
    </w:p>
    <w:p>
      <w:bookmarkStart w:id="mt0unhak5kyv9g09rsq" w:name="mt0unhak5kyv9g09rsq"/>
      <w:pPr>
        <w:pStyle w:val="dingding-heading3"/>
        <w:ind/>
      </w:pPr>
      <w:r>
        <w:t xml:space="preserve">底层原则</w:t>
      </w:r>
      <w:bookmarkEnd w:id="mt0unhak5kyv9g09rsq"/>
    </w:p>
    <w:p>
      <w:pPr/>
      <w:r>
        <w:t xml:space="preserve">真知识，真数据（True Knowledge, True Data）。 在关乎人的前途命运的领域，AI幻觉不仅仅是不便——而是危险。我们的架构确保每一个AI输出都建立在经过验证的数据和结构化知识之上，而不是概率性猜测。</w:t>
      </w:r>
    </w:p>
    <w:p>
      <w:pPr/>
      <w:r>
        <w:t xml:space="preserve">协同，而非替代（Orchestrate, Don't Replace）。 我们的客户已有的系统仍在运转。我们的软件不会取代它们，而是作为底层基座将机构现有的IT系统编织在一起，协同增强而非推倒重来。</w:t>
      </w:r>
    </w:p>
    <w:p>
      <w:pPr/>
      <w:r>
        <w:t xml:space="preserve">决策是入口。 我们相信，在教育科技人才领域，终极价值在于帮助人和组织做出更好的决策。我们构建的每一个产品，最终都指向一个可信任的、数据驱动的决策。</w:t>
      </w:r>
    </w:p>
    <w:p>
      <w:pPr>
        <w:pBdr>
          <w:top w:val="none" w:sz="6" w:space="0" w:color="000000"/>
        </w:pBdr>
      </w:pPr>
    </w:p>
    <w:p>
      <w:bookmarkStart w:id="mt0unhams9whrmifzie" w:name="mt0unhams9whrmifzie"/>
      <w:pPr>
        <w:pStyle w:val="dingding-heading2"/>
        <w:ind/>
      </w:pPr>
      <w:r>
        <w:t xml:space="preserve">市场机会</w:t>
      </w:r>
      <w:bookmarkEnd w:id="mt0unhams9whrmifzie"/>
    </w:p>
    <w:p>
      <w:pPr/>
      <w:r>
        <w:t xml:space="preserve">我们估计，教育、科技、人才行业的数据基础设施与AI服务的总可服务市场规模（TAM）约为 2,000亿元人民币（约280亿美元）/年。</w:t>
      </w:r>
    </w:p>
    <w:tbl>
      <w:tblPr>
        <w:tblStyle w:val="tableHeader"/>
        <w:tblW w:w="0" w:type="auto"/>
        <w:tblLook w:firstRow="1" w:lastRow="0" w:firstColumn="0" w:lastColumn="0" w:noHBand="0" w:noVBand="0"/>
      </w:tblPr>
      <w:tblGrid>
        <w:gridCol w:w="1950"/>
        <w:gridCol w:w="1950"/>
        <w:gridCol w:w="1950"/>
        <w:gridCol w:w="1950"/>
        <w:gridCol w:w="1950"/>
      </w:tblGrid>
      <w:tr>
        <w:trPr>
          <w:trHeight w:val="0"/>
        </w:trPr>
        <w:tc>
          <w:tcPr>
            <w:tcW w:w="1950" w:type="dxa"/>
            <w:tcBorders>
              <w:bottom w:val="single" w:sz="6" w:space="0" w:color="000000"/>
              <w:top w:val="single" w:sz="2" w:space="0" w:color="000000"/>
              <w:right w:val="single" w:sz="6" w:space="0" w:color="000000"/>
              <w:left w:val="single" w:sz="2" w:space="0" w:color="000000"/>
            </w:tcBorders>
            <w:shd w:val="clear" w:color="auto" w:fill="FFFFFF"/>
          </w:tcPr>
          <w:p>
            <w:pPr/>
            <w:r>
              <w:t xml:space="preserve">客户群</w:t>
            </w:r>
          </w:p>
        </w:tc>
        <w:tc>
          <w:tcPr>
            <w:tcW w:w="1950" w:type="dxa"/>
            <w:tcBorders>
              <w:bottom w:val="single" w:sz="6" w:space="0" w:color="000000"/>
              <w:top w:val="single" w:sz="2" w:space="0" w:color="000000"/>
              <w:right w:val="single" w:sz="6" w:space="0" w:color="000000"/>
              <w:left w:val="single" w:sz="6" w:space="0" w:color="000000"/>
            </w:tcBorders>
            <w:shd w:val="clear" w:color="auto" w:fill="FFFFFF"/>
          </w:tcPr>
          <w:p>
            <w:pPr/>
            <w:r>
              <w:t xml:space="preserve">目标客户基数</w:t>
            </w:r>
          </w:p>
        </w:tc>
        <w:tc>
          <w:tcPr>
            <w:tcW w:w="1950" w:type="dxa"/>
            <w:tcBorders>
              <w:bottom w:val="single" w:sz="6" w:space="0" w:color="000000"/>
              <w:top w:val="single" w:sz="2" w:space="0" w:color="000000"/>
              <w:right w:val="single" w:sz="6" w:space="0" w:color="000000"/>
              <w:left w:val="single" w:sz="6" w:space="0" w:color="000000"/>
            </w:tcBorders>
            <w:shd w:val="clear" w:color="auto" w:fill="FFFFFF"/>
          </w:tcPr>
          <w:p>
            <w:pPr/>
            <w:r>
              <w:t xml:space="preserve">客单价区间</w:t>
            </w:r>
          </w:p>
        </w:tc>
        <w:tc>
          <w:tcPr>
            <w:tcW w:w="1950" w:type="dxa"/>
            <w:tcBorders>
              <w:bottom w:val="single" w:sz="6" w:space="0" w:color="000000"/>
              <w:top w:val="single" w:sz="2" w:space="0" w:color="000000"/>
              <w:right w:val="single" w:sz="6" w:space="0" w:color="000000"/>
              <w:left w:val="single" w:sz="6" w:space="0" w:color="000000"/>
            </w:tcBorders>
            <w:shd w:val="clear" w:color="auto" w:fill="FFFFFF"/>
          </w:tcPr>
          <w:p>
            <w:pPr/>
            <w:r>
              <w:t xml:space="preserve">可服务市场规模（SAM）</w:t>
            </w:r>
          </w:p>
        </w:tc>
        <w:tc>
          <w:tcPr>
            <w:tcW w:w="1950" w:type="dxa"/>
            <w:tcBorders>
              <w:bottom w:val="single" w:sz="6" w:space="0" w:color="000000"/>
              <w:top w:val="single" w:sz="2" w:space="0" w:color="000000"/>
              <w:right w:val="single" w:sz="2" w:space="0" w:color="000000"/>
              <w:left w:val="single" w:sz="6" w:space="0" w:color="000000"/>
            </w:tcBorders>
            <w:shd w:val="clear" w:color="auto" w:fill="FFFFFF"/>
          </w:tcPr>
          <w:p>
            <w:pPr/>
            <w:r>
              <w:t xml:space="preserve">当前渗透率</w:t>
            </w:r>
          </w:p>
        </w:tc>
      </w:tr>
      <w:tr>
        <w:trPr>
          <w:trHeight w:val="0"/>
        </w:trPr>
        <w:tc>
          <w:tcPr>
            <w:tcW w:w="1950" w:type="dxa"/>
            <w:tcBorders>
              <w:bottom w:val="single" w:sz="6" w:space="0" w:color="000000"/>
              <w:top w:val="single" w:sz="6" w:space="0" w:color="000000"/>
              <w:right w:val="single" w:sz="6" w:space="0" w:color="000000"/>
              <w:left w:val="single" w:sz="2" w:space="0" w:color="000000"/>
            </w:tcBorders>
          </w:tcPr>
          <w:p>
            <w:pPr/>
            <w:r>
              <w:t xml:space="preserve">ToG（政府）</w:t>
            </w:r>
          </w:p>
        </w:tc>
        <w:tc>
          <w:tcPr>
            <w:tcW w:w="1950" w:type="dxa"/>
            <w:tcBorders>
              <w:bottom w:val="single" w:sz="6" w:space="0" w:color="000000"/>
              <w:top w:val="single" w:sz="6" w:space="0" w:color="000000"/>
              <w:right w:val="single" w:sz="6" w:space="0" w:color="000000"/>
              <w:left w:val="single" w:sz="6" w:space="0" w:color="000000"/>
            </w:tcBorders>
          </w:tcPr>
          <w:p>
            <w:pPr/>
            <w:r>
              <w:t xml:space="preserve">~200个地级市科技局</w:t>
            </w:r>
          </w:p>
        </w:tc>
        <w:tc>
          <w:tcPr>
            <w:tcW w:w="1950" w:type="dxa"/>
            <w:tcBorders>
              <w:bottom w:val="single" w:sz="6" w:space="0" w:color="000000"/>
              <w:top w:val="single" w:sz="6" w:space="0" w:color="000000"/>
              <w:right w:val="single" w:sz="6" w:space="0" w:color="000000"/>
              <w:left w:val="single" w:sz="6" w:space="0" w:color="000000"/>
            </w:tcBorders>
          </w:tcPr>
          <w:p>
            <w:pPr/>
            <w:r>
              <w:t xml:space="preserve">80-200万/城市/年</w:t>
            </w:r>
          </w:p>
        </w:tc>
        <w:tc>
          <w:tcPr>
            <w:tcW w:w="1950" w:type="dxa"/>
            <w:tcBorders>
              <w:bottom w:val="single" w:sz="6" w:space="0" w:color="000000"/>
              <w:top w:val="single" w:sz="6" w:space="0" w:color="000000"/>
              <w:right w:val="single" w:sz="6" w:space="0" w:color="000000"/>
              <w:left w:val="single" w:sz="6" w:space="0" w:color="000000"/>
            </w:tcBorders>
          </w:tcPr>
          <w:p>
            <w:pPr/>
            <w:r>
              <w:t xml:space="preserve">~16亿/年</w:t>
            </w:r>
          </w:p>
        </w:tc>
        <w:tc>
          <w:tcPr>
            <w:tcW w:w="1950" w:type="dxa"/>
            <w:tcBorders>
              <w:bottom w:val="single" w:sz="6" w:space="0" w:color="000000"/>
              <w:top w:val="single" w:sz="6" w:space="0" w:color="000000"/>
              <w:right w:val="single" w:sz="2" w:space="0" w:color="000000"/>
              <w:left w:val="single" w:sz="6" w:space="0" w:color="000000"/>
            </w:tcBorders>
          </w:tcPr>
          <w:p>
            <w:pPr/>
            <w:r>
              <w:t xml:space="preserve">~2%（4城市）</w:t>
            </w:r>
          </w:p>
        </w:tc>
      </w:tr>
      <w:tr>
        <w:trPr>
          <w:trHeight w:val="0"/>
        </w:trPr>
        <w:tc>
          <w:tcPr>
            <w:tcW w:w="1950" w:type="dxa"/>
            <w:tcBorders>
              <w:bottom w:val="single" w:sz="6" w:space="0" w:color="000000"/>
              <w:top w:val="single" w:sz="6" w:space="0" w:color="000000"/>
              <w:right w:val="single" w:sz="6" w:space="0" w:color="000000"/>
              <w:left w:val="single" w:sz="2" w:space="0" w:color="000000"/>
            </w:tcBorders>
          </w:tcPr>
          <w:p>
            <w:pPr/>
            <w:r>
              <w:t xml:space="preserve">ToS（高校）</w:t>
            </w:r>
          </w:p>
        </w:tc>
        <w:tc>
          <w:tcPr>
            <w:tcW w:w="1950" w:type="dxa"/>
            <w:tcBorders>
              <w:bottom w:val="single" w:sz="6" w:space="0" w:color="000000"/>
              <w:top w:val="single" w:sz="6" w:space="0" w:color="000000"/>
              <w:right w:val="single" w:sz="6" w:space="0" w:color="000000"/>
              <w:left w:val="single" w:sz="6" w:space="0" w:color="000000"/>
            </w:tcBorders>
          </w:tcPr>
          <w:p>
            <w:pPr/>
            <w:r>
              <w:t xml:space="preserve">3,074所高校（147所双一流）</w:t>
            </w:r>
          </w:p>
        </w:tc>
        <w:tc>
          <w:tcPr>
            <w:tcW w:w="1950" w:type="dxa"/>
            <w:tcBorders>
              <w:bottom w:val="single" w:sz="6" w:space="0" w:color="000000"/>
              <w:top w:val="single" w:sz="6" w:space="0" w:color="000000"/>
              <w:right w:val="single" w:sz="6" w:space="0" w:color="000000"/>
              <w:left w:val="single" w:sz="6" w:space="0" w:color="000000"/>
            </w:tcBorders>
          </w:tcPr>
          <w:p>
            <w:pPr/>
            <w:r>
              <w:t xml:space="preserve">5-100万/校/年</w:t>
            </w:r>
          </w:p>
        </w:tc>
        <w:tc>
          <w:tcPr>
            <w:tcW w:w="1950" w:type="dxa"/>
            <w:tcBorders>
              <w:bottom w:val="single" w:sz="6" w:space="0" w:color="000000"/>
              <w:top w:val="single" w:sz="6" w:space="0" w:color="000000"/>
              <w:right w:val="single" w:sz="6" w:space="0" w:color="000000"/>
              <w:left w:val="single" w:sz="6" w:space="0" w:color="000000"/>
            </w:tcBorders>
          </w:tcPr>
          <w:p>
            <w:pPr/>
            <w:r>
              <w:t xml:space="preserve">~17亿/年</w:t>
            </w:r>
          </w:p>
        </w:tc>
        <w:tc>
          <w:tcPr>
            <w:tcW w:w="1950" w:type="dxa"/>
            <w:tcBorders>
              <w:bottom w:val="single" w:sz="6" w:space="0" w:color="000000"/>
              <w:top w:val="single" w:sz="6" w:space="0" w:color="000000"/>
              <w:right w:val="single" w:sz="2" w:space="0" w:color="000000"/>
              <w:left w:val="single" w:sz="6" w:space="0" w:color="000000"/>
            </w:tcBorders>
          </w:tcPr>
          <w:p>
            <w:pPr/>
            <w:r>
              <w:t xml:space="preserve">方略已触达1,600+所</w:t>
            </w:r>
          </w:p>
        </w:tc>
      </w:tr>
      <w:tr>
        <w:trPr>
          <w:trHeight w:val="0"/>
        </w:trPr>
        <w:tc>
          <w:tcPr>
            <w:tcW w:w="1950" w:type="dxa"/>
            <w:tcBorders>
              <w:bottom w:val="single" w:sz="6" w:space="0" w:color="000000"/>
              <w:top w:val="single" w:sz="6" w:space="0" w:color="000000"/>
              <w:right w:val="single" w:sz="6" w:space="0" w:color="000000"/>
              <w:left w:val="single" w:sz="2" w:space="0" w:color="000000"/>
            </w:tcBorders>
          </w:tcPr>
          <w:p>
            <w:pPr/>
            <w:r>
              <w:t xml:space="preserve">ToB（企业）</w:t>
            </w:r>
          </w:p>
        </w:tc>
        <w:tc>
          <w:tcPr>
            <w:tcW w:w="1950" w:type="dxa"/>
            <w:tcBorders>
              <w:bottom w:val="single" w:sz="6" w:space="0" w:color="000000"/>
              <w:top w:val="single" w:sz="6" w:space="0" w:color="000000"/>
              <w:right w:val="single" w:sz="6" w:space="0" w:color="000000"/>
              <w:left w:val="single" w:sz="6" w:space="0" w:color="000000"/>
            </w:tcBorders>
          </w:tcPr>
          <w:p>
            <w:pPr/>
            <w:r>
              <w:t xml:space="preserve">~5,000家中大型教育机构</w:t>
            </w:r>
          </w:p>
        </w:tc>
        <w:tc>
          <w:tcPr>
            <w:tcW w:w="1950" w:type="dxa"/>
            <w:tcBorders>
              <w:bottom w:val="single" w:sz="6" w:space="0" w:color="000000"/>
              <w:top w:val="single" w:sz="6" w:space="0" w:color="000000"/>
              <w:right w:val="single" w:sz="6" w:space="0" w:color="000000"/>
              <w:left w:val="single" w:sz="6" w:space="0" w:color="000000"/>
            </w:tcBorders>
          </w:tcPr>
          <w:p>
            <w:pPr/>
            <w:r>
              <w:t xml:space="preserve">3-10万/机构/年</w:t>
            </w:r>
          </w:p>
        </w:tc>
        <w:tc>
          <w:tcPr>
            <w:tcW w:w="1950" w:type="dxa"/>
            <w:tcBorders>
              <w:bottom w:val="single" w:sz="6" w:space="0" w:color="000000"/>
              <w:top w:val="single" w:sz="6" w:space="0" w:color="000000"/>
              <w:right w:val="single" w:sz="6" w:space="0" w:color="000000"/>
              <w:left w:val="single" w:sz="6" w:space="0" w:color="000000"/>
            </w:tcBorders>
          </w:tcPr>
          <w:p>
            <w:pPr/>
            <w:r>
              <w:t xml:space="preserve">~25亿/年</w:t>
            </w:r>
          </w:p>
        </w:tc>
        <w:tc>
          <w:tcPr>
            <w:tcW w:w="1950" w:type="dxa"/>
            <w:tcBorders>
              <w:bottom w:val="single" w:sz="6" w:space="0" w:color="000000"/>
              <w:top w:val="single" w:sz="6" w:space="0" w:color="000000"/>
              <w:right w:val="single" w:sz="2" w:space="0" w:color="000000"/>
              <w:left w:val="single" w:sz="6" w:space="0" w:color="000000"/>
            </w:tcBorders>
          </w:tcPr>
          <w:p>
            <w:pPr/>
            <w:r>
              <w:t xml:space="preserve">北辰已服务1,000+家</w:t>
            </w:r>
          </w:p>
        </w:tc>
      </w:tr>
      <w:tr>
        <w:trPr>
          <w:trHeight w:val="0"/>
        </w:trPr>
        <w:tc>
          <w:tcPr>
            <w:tcW w:w="1950" w:type="dxa"/>
            <w:tcBorders>
              <w:bottom w:val="single" w:sz="6" w:space="0" w:color="000000"/>
              <w:top w:val="single" w:sz="6" w:space="0" w:color="000000"/>
              <w:right w:val="single" w:sz="6" w:space="0" w:color="000000"/>
              <w:left w:val="single" w:sz="2" w:space="0" w:color="000000"/>
            </w:tcBorders>
          </w:tcPr>
          <w:p>
            <w:pPr/>
            <w:r>
              <w:t xml:space="preserve">ToC（个人）</w:t>
            </w:r>
          </w:p>
        </w:tc>
        <w:tc>
          <w:tcPr>
            <w:tcW w:w="1950" w:type="dxa"/>
            <w:tcBorders>
              <w:bottom w:val="single" w:sz="6" w:space="0" w:color="000000"/>
              <w:top w:val="single" w:sz="6" w:space="0" w:color="000000"/>
              <w:right w:val="single" w:sz="6" w:space="0" w:color="000000"/>
              <w:left w:val="single" w:sz="6" w:space="0" w:color="000000"/>
            </w:tcBorders>
          </w:tcPr>
          <w:p>
            <w:pPr/>
            <w:r>
              <w:t xml:space="preserve">~2,600万人/年（高考+留学+应届）</w:t>
            </w:r>
          </w:p>
        </w:tc>
        <w:tc>
          <w:tcPr>
            <w:tcW w:w="1950" w:type="dxa"/>
            <w:tcBorders>
              <w:bottom w:val="single" w:sz="6" w:space="0" w:color="000000"/>
              <w:top w:val="single" w:sz="6" w:space="0" w:color="000000"/>
              <w:right w:val="single" w:sz="6" w:space="0" w:color="000000"/>
              <w:left w:val="single" w:sz="6" w:space="0" w:color="000000"/>
            </w:tcBorders>
          </w:tcPr>
          <w:p>
            <w:pPr/>
            <w:r>
              <w:t xml:space="preserve">免费增值模式</w:t>
            </w:r>
          </w:p>
        </w:tc>
        <w:tc>
          <w:tcPr>
            <w:tcW w:w="1950" w:type="dxa"/>
            <w:tcBorders>
              <w:bottom w:val="single" w:sz="6" w:space="0" w:color="000000"/>
              <w:top w:val="single" w:sz="6" w:space="0" w:color="000000"/>
              <w:right w:val="single" w:sz="6" w:space="0" w:color="000000"/>
              <w:left w:val="single" w:sz="6" w:space="0" w:color="000000"/>
            </w:tcBorders>
          </w:tcPr>
          <w:p>
            <w:pPr/>
            <w:r>
              <w:t xml:space="preserve">~50亿/年</w:t>
            </w:r>
          </w:p>
        </w:tc>
        <w:tc>
          <w:tcPr>
            <w:tcW w:w="1950" w:type="dxa"/>
            <w:tcBorders>
              <w:bottom w:val="single" w:sz="6" w:space="0" w:color="000000"/>
              <w:top w:val="single" w:sz="6" w:space="0" w:color="000000"/>
              <w:right w:val="single" w:sz="2" w:space="0" w:color="000000"/>
              <w:left w:val="single" w:sz="6" w:space="0" w:color="000000"/>
            </w:tcBorders>
          </w:tcPr>
          <w:p>
            <w:pPr/>
            <w:r>
              <w:t xml:space="preserve">申请方300万+用户</w:t>
            </w:r>
          </w:p>
        </w:tc>
      </w:tr>
      <w:tr>
        <w:trPr>
          <w:trHeight w:val="0"/>
        </w:trPr>
        <w:tc>
          <w:tcPr>
            <w:tcW w:w="1950" w:type="dxa"/>
            <w:tcBorders>
              <w:bottom w:val="single" w:sz="2" w:space="0" w:color="000000"/>
              <w:top w:val="single" w:sz="6" w:space="0" w:color="000000"/>
              <w:right w:val="single" w:sz="6" w:space="0" w:color="000000"/>
              <w:left w:val="single" w:sz="2" w:space="0" w:color="000000"/>
            </w:tcBorders>
          </w:tcPr>
          <w:p>
            <w:pPr/>
            <w:r>
              <w:t xml:space="preserve">Marketplace</w:t>
            </w:r>
          </w:p>
        </w:tc>
        <w:tc>
          <w:tcPr>
            <w:tcW w:w="1950" w:type="dxa"/>
            <w:tcBorders>
              <w:bottom w:val="single" w:sz="2" w:space="0" w:color="000000"/>
              <w:top w:val="single" w:sz="6" w:space="0" w:color="000000"/>
              <w:right w:val="single" w:sz="6" w:space="0" w:color="000000"/>
              <w:left w:val="single" w:sz="6" w:space="0" w:color="000000"/>
            </w:tcBorders>
          </w:tcPr>
          <w:p>
            <w:pPr/>
            <w:r>
              <w:t xml:space="preserve">高校科研采购+个人教育消费</w:t>
            </w:r>
          </w:p>
        </w:tc>
        <w:tc>
          <w:tcPr>
            <w:tcW w:w="1950" w:type="dxa"/>
            <w:tcBorders>
              <w:bottom w:val="single" w:sz="2" w:space="0" w:color="000000"/>
              <w:top w:val="single" w:sz="6" w:space="0" w:color="000000"/>
              <w:right w:val="single" w:sz="6" w:space="0" w:color="000000"/>
              <w:left w:val="single" w:sz="6" w:space="0" w:color="000000"/>
            </w:tcBorders>
          </w:tcPr>
          <w:p>
            <w:pPr/>
            <w:r>
              <w:t xml:space="preserve">佣金3-8%</w:t>
            </w:r>
          </w:p>
        </w:tc>
        <w:tc>
          <w:tcPr>
            <w:tcW w:w="1950" w:type="dxa"/>
            <w:tcBorders>
              <w:bottom w:val="single" w:sz="2" w:space="0" w:color="000000"/>
              <w:top w:val="single" w:sz="6" w:space="0" w:color="000000"/>
              <w:right w:val="single" w:sz="6" w:space="0" w:color="000000"/>
              <w:left w:val="single" w:sz="6" w:space="0" w:color="000000"/>
            </w:tcBorders>
          </w:tcPr>
          <w:p>
            <w:pPr/>
            <w:r>
              <w:t xml:space="preserve">待验证</w:t>
            </w:r>
          </w:p>
        </w:tc>
        <w:tc>
          <w:tcPr>
            <w:tcW w:w="1950" w:type="dxa"/>
            <w:tcBorders>
              <w:bottom w:val="single" w:sz="2" w:space="0" w:color="000000"/>
              <w:top w:val="single" w:sz="6" w:space="0" w:color="000000"/>
              <w:right w:val="single" w:sz="2" w:space="0" w:color="000000"/>
              <w:left w:val="single" w:sz="6" w:space="0" w:color="000000"/>
            </w:tcBorders>
          </w:tcPr>
          <w:p>
            <w:pPr/>
            <w:r>
              <w:t xml:space="preserve">—</w:t>
            </w:r>
          </w:p>
        </w:tc>
      </w:tr>
    </w:tbl>
    <w:p>
      <w:pPr>
        <w:pBdr>
          <w:top w:val="none" w:sz="6" w:space="0" w:color="000000"/>
        </w:pBdr>
      </w:pPr>
    </w:p>
    <w:p>
      <w:bookmarkStart w:id="mt0unhapq4ndxuq4zf9" w:name="mt0unhapq4ndxuq4zf9"/>
      <w:pPr>
        <w:pStyle w:val="dingding-heading2"/>
        <w:ind/>
      </w:pPr>
      <w:r>
        <w:t xml:space="preserve">行业趋势</w:t>
      </w:r>
      <w:bookmarkEnd w:id="mt0unhapq4ndxuq4zf9"/>
    </w:p>
    <w:p>
      <w:bookmarkStart w:id="mt0unhap9divffti5kw" w:name="mt0unhap9divffti5kw"/>
      <w:pPr>
        <w:pStyle w:val="dingding-heading3"/>
        <w:ind/>
      </w:pPr>
      <w:r>
        <w:t xml:space="preserve">趋势一：教育科技人才一体化国家战略</w:t>
      </w:r>
      <w:bookmarkEnd w:id="mt0unhap9divffti5kw"/>
    </w:p>
    <w:p>
      <w:pPr/>
      <w:r>
        <w:t xml:space="preserve">二十大报告和二十届三中全会《决定》将"一体推进教育科技人才发展"确立为国家顶层战略。这意味着教育、科技、人才不再是三个独立的政策领域，而是一个统一的生态系统。能够跨越这三个领域提供整合数据、AI和评价能力的机构——正如我们所做的——站在了这个巨大且快速增长的市场的中心。</w:t>
      </w:r>
    </w:p>
    <w:p>
      <w:bookmarkStart w:id="mt0unhaqtdimray45h" w:name="mt0unhaqtdimray45h"/>
      <w:pPr>
        <w:pStyle w:val="dingding-heading3"/>
        <w:ind/>
      </w:pPr>
      <w:r>
        <w:t xml:space="preserve">趋势二：从工具到智能体</w:t>
      </w:r>
      <w:bookmarkEnd w:id="mt0unhaqtdimray45h"/>
    </w:p>
    <w:p>
      <w:pPr/>
      <w:r>
        <w:t xml:space="preserve">企业软件行业正在经历从"卖工具"（SaaS）到"部署智能体"（AaaS）的范式跃迁。在教育科技人才领域，这一转变尤为关键，因为这里的决策太复杂、太需要专业知识、后果太严重，简单的表单软件和仪表盘根本不够用。能够理解上下文、在领域知识上推理、引导用户完成多步骤决策流程的AI智能体，才是这个行业的未来。我们已经构建了三个这样的智能体——知己、一答和技转通。</w:t>
      </w:r>
    </w:p>
    <w:p>
      <w:bookmarkStart w:id="mt0unharyu1srj75ghe" w:name="mt0unharyu1srj75ghe"/>
      <w:pPr>
        <w:pStyle w:val="dingding-heading3"/>
        <w:ind/>
      </w:pPr>
      <w:r>
        <w:t xml:space="preserve">趋势三：资源分发的去中心化</w:t>
      </w:r>
      <w:bookmarkEnd w:id="mt0unharyu1srj75ghe"/>
    </w:p>
    <w:p>
      <w:pPr/>
      <w:r>
        <w:t xml:space="preserve">传统平台（招聘网站、教育市场、成果转化门户）采用中心化的"货架"模式——用户在平台上搜索、比较、交易。我们相信这种模式正在被智能体驱动的去中心化所颠覆：每个用户的伴随式AI智能体直接与供应方的数字分身进行谈判和匹配（A2A模式）。我们的交易平台架构正是为这个未来设计的。</w:t>
      </w:r>
    </w:p>
    <w:p>
      <w:pPr>
        <w:pBdr>
          <w:top w:val="none" w:sz="6" w:space="0" w:color="000000"/>
        </w:pBdr>
      </w:pPr>
    </w:p>
    <w:p>
      <w:bookmarkStart w:id="mt0unhat0sytl63wwxfn" w:name="mt0unhat0sytl63wwxfn"/>
      <w:pPr>
        <w:pStyle w:val="dingding-heading2"/>
        <w:ind/>
      </w:pPr>
      <w:r>
        <w:t xml:space="preserve">行业挑战</w:t>
      </w:r>
      <w:bookmarkEnd w:id="mt0unhat0sytl63wwxfn"/>
    </w:p>
    <w:p>
      <w:bookmarkStart w:id="mt0unhauctrcweqeptf" w:name="mt0unhauctrcweqeptf"/>
      <w:pPr>
        <w:pStyle w:val="dingding-heading3"/>
        <w:ind/>
      </w:pPr>
      <w:r>
        <w:t xml:space="preserve">知识密度高，容错率极低</w:t>
      </w:r>
      <w:bookmarkEnd w:id="mt0unhauctrcweqeptf"/>
    </w:p>
    <w:p>
      <w:pPr/>
      <w:r>
        <w:t xml:space="preserve">与消费互联网应用不同，我们领域中的错误不仅仅是"不方便"——录取错误的学生、资助错误的研究者、推荐不匹配的技术——后果可能改变人的一生。这就是为什么我们花了十年时间构建经过验证的结构化数据资产，而不是依赖网络爬取的训练数据。</w:t>
      </w:r>
    </w:p>
    <w:p>
      <w:bookmarkStart w:id="mt0unhavl0dsn93k1fj" w:name="mt0unhavl0dsn93k1fj"/>
      <w:pPr>
        <w:pStyle w:val="dingding-heading3"/>
        <w:ind/>
      </w:pPr>
      <w:r>
        <w:t xml:space="preserve">数据碎片化，机构碎片化</w:t>
      </w:r>
      <w:bookmarkEnd w:id="mt0unhavl0dsn93k1fj"/>
    </w:p>
    <w:p>
      <w:pPr/>
      <w:r>
        <w:t xml:space="preserve">高校数据系统与政府人才数据库不互通，科研成果数据库与产业需求数据库断裂，个人职业记录散落在数十个平台上。构建一个将所有这些来源统一起来的数据资产——正如Knowledge Square所做的——需要数年的艰苦数据工程和领域专业知识。</w:t>
      </w:r>
    </w:p>
    <w:p>
      <w:bookmarkStart w:id="mt0unhawiijlj6sk9p" w:name="mt0unhawiijlj6sk9p"/>
      <w:pPr>
        <w:pStyle w:val="dingding-heading3"/>
        <w:ind/>
      </w:pPr>
      <w:r>
        <w:t xml:space="preserve">政府和高校客户是"黑匣子"</w:t>
      </w:r>
      <w:bookmarkEnd w:id="mt0unhawiijlj6sk9p"/>
    </w:p>
    <w:p>
      <w:pPr/>
      <w:r>
        <w:t xml:space="preserve">政府机构和高校的预算分配流程复杂，采购周期长，决策者难以触达。我们花了十年时间与这些机构建立关系——包括来自教育部的直接委托和与清华大学的多项深度合作——这种制度性知识积累是我们最重要的竞争优势之一。</w:t>
      </w:r>
    </w:p>
    <w:p>
      <w:pPr>
        <w:pBdr>
          <w:top w:val="none" w:sz="6" w:space="0" w:color="000000"/>
        </w:pBdr>
      </w:pPr>
    </w:p>
    <w:p>
      <w:bookmarkStart w:id="mt0unhayeiu21k6tzck" w:name="mt0unhayeiu21k6tzck"/>
      <w:pPr>
        <w:pStyle w:val="dingding-heading2"/>
        <w:ind/>
      </w:pPr>
      <w:r>
        <w:t xml:space="preserve">竞争优势</w:t>
      </w:r>
      <w:bookmarkEnd w:id="mt0unhayeiu21k6tzck"/>
    </w:p>
    <w:p>
      <w:pPr/>
      <w:r>
        <w:t xml:space="preserve">一、我们花了十年构建了无法快速复制的东西。 3,400万人才画像、2.3亿篇论文、1.8亿篇专利、覆盖233个国家的结构化数据——这是自2013年以来持续复利投资的结果。教育科技人才领域的数据不是互联网上随处可得的；它需要专业化的采集、验证和结构化流程，这些流程我们已经打磨了十多年。今天的竞争者从零开始，需要数年时间和数亿元投入才能复制其中的一小部分。</w:t>
      </w:r>
    </w:p>
    <w:p>
      <w:pPr/>
      <w:r>
        <w:t xml:space="preserve">二、我们被最重要的机构所信任。 教育部委托我们建设教育科技人才一体化知识图谱。我们与清华大学共建了研究中心。我们已服务13个政府部门、1,600+所高校、140+所双一流院校。这些关系既提供了收入稳定性，也提供了不可替代的领域知识。</w:t>
      </w:r>
    </w:p>
    <w:p>
      <w:pPr/>
      <w:r>
        <w:t xml:space="preserve">三、我们的AI是可信任的，而不仅仅是智能的。 在关乎人的命运的领域，"可信"比"强大"更重要。我们四层SquareAI架构中的Harness装配层——包含边界约束和规程控制——确保每一个AI输出都是有据可查、可溯源、可审计的。我们称之为"科技求真"。</w:t>
      </w:r>
    </w:p>
    <w:p>
      <w:pPr/>
      <w:r>
        <w:t xml:space="preserve">四、我们用一套基础设施服务四类客户。 与只能服务一类客户的单点解决方案不同，我们的SquareCore基础设施从同一个数据和AI底座出发，同时服务政府（ToG）、高校（ToS）、企业（ToB）和个人（ToC）。这创造了强大的交叉销售机会和数据网络效应：每一个加入平台的新高校，都丰富了我们的知识图谱，让我们的AI智能体对所有其他客户更有价值。</w:t>
      </w:r>
    </w:p>
    <w:p>
      <w:pPr/>
      <w:r>
        <w:t xml:space="preserve">五、我们的智能体是伴侣，不是工具。 知己和一答不是聊天机器人。它们是"伴随式"智能体，设计为陪伴用户度过整个生命周期——从学生的第一次大学申请到研究者的第一百次专利转化。这种纵向关系产生持续复利的数据价值，并创造了深厚的转换成本。</w:t>
      </w:r>
    </w:p>
    <w:p>
      <w:pPr/>
      <w:r>
        <w:t xml:space="preserve">六、我们已经证明了多城市部署能力。 技转通已在四个城市落地（无锡/上海徐汇/深圳龙岗/北京海淀），证明我们的解决方案不是一次性试点，而是可规模化复制的产品。部署周期已从数月压缩到数周。</w:t>
      </w:r>
    </w:p>
    <w:p>
      <w:pPr/>
      <w:r>
        <w:t xml:space="preserve">七、我们与国家战略精确对齐。 我们的业务精准定位在"教育科技人才一体化"这一国家顶层战略的交汇点上。我们不是在把现有产品包装成政策热点；我们整家公司从2013年创立之日起，就围绕这一使命而建。</w:t>
      </w:r>
    </w:p>
    <w:p>
      <w:pPr>
        <w:pBdr>
          <w:top w:val="none" w:sz="6" w:space="0" w:color="000000"/>
        </w:pBdr>
      </w:pPr>
    </w:p>
    <w:p>
      <w:bookmarkStart w:id="mt0unhb3nb0i0bhv7sf" w:name="mt0unhb3nb0i0bhv7sf"/>
      <w:pPr>
        <w:pStyle w:val="dingding-heading2"/>
        <w:ind/>
      </w:pPr>
      <w:r>
        <w:t xml:space="preserve">增长策略</w:t>
      </w:r>
      <w:bookmarkEnd w:id="mt0unhb3nb0i0bhv7sf"/>
    </w:p>
    <w:p>
      <w:pPr/>
      <w:r>
        <w:t xml:space="preserve">一、2027年将技转通扩展至20+城市。 利用Flora的快速部署能力和现有政府关系，将已验证的产品模式规模化复制。</w:t>
      </w:r>
    </w:p>
    <w:p>
      <w:pPr/>
      <w:r>
        <w:t xml:space="preserve">二、将存量关系转化为经常性收入。 方略品牌拥有1,600+所高校关系。我们将推动这些关系从项目制向SaaS订阅和AaaS（Agent即服务）Token计费的经常性收入模式转型。</w:t>
      </w:r>
    </w:p>
    <w:p>
      <w:pPr/>
      <w:r>
        <w:t xml:space="preserve">三、通过智能体驱动的分发扩大交易规模。 知己和一答在提供决策支持的过程中自然推荐严选资源，将Marketplace的获客成本嵌入智能体体验中，实现零边际获客成本增长。</w:t>
      </w:r>
    </w:p>
    <w:p>
      <w:pPr/>
      <w:r>
        <w:t xml:space="preserve">四、深化与清华大学的战略合作。 杨斌副校长担任联合申报学术负责人，我们正在推进更深层次的战略合作——涵盖成果转化、人才评价标准和AI赋能教育创新。</w:t>
      </w:r>
    </w:p>
    <w:p>
      <w:pPr/>
      <w:r>
        <w:t xml:space="preserve">五、完成B+轮融资。 目标估值10亿元，融资3,000-5,000万元，用于市场拓展（1,500万）、研发投入（1,000万）和团队建设（500万）。2027年营收目标5,000万元。</w:t>
      </w:r>
    </w:p>
    <w:p>
      <w:pPr/>
      <w:r>
        <w:t xml:space="preserve">六、建立行业标准。 通过方略研究院——已连续七年发布评价报告，参与制定国家标准和团体标准——我们将推动"AI赋能人才评价""AI赋能成果转化"等领域的行业标准制定，确保我们的平台不仅仅符合行业标准，而是成为标准本身。</w:t>
      </w:r>
    </w:p>
    <w:p>
      <w:pPr>
        <w:pBdr>
          <w:top w:val="none" w:sz="6" w:space="0" w:color="000000"/>
        </w:pBdr>
      </w:pPr>
    </w:p>
    <w:p>
      <w:bookmarkStart w:id="mt0unhb8dn7h4hp6cg7" w:name="mt0unhb8dn7h4hp6cg7"/>
      <w:pPr>
        <w:pStyle w:val="dingding-heading2"/>
        <w:ind/>
      </w:pPr>
      <w:r>
        <w:t xml:space="preserve">全球对标</w:t>
      </w:r>
      <w:bookmarkEnd w:id="mt0unhb8dn7h4hp6cg7"/>
    </w:p>
    <w:tbl>
      <w:tblPr>
        <w:tblStyle w:val="tableHeader"/>
        <w:tblW w:w="0" w:type="auto"/>
        <w:tblLook w:firstRow="1" w:lastRow="0" w:firstColumn="0" w:lastColumn="0" w:noHBand="0" w:noVBand="0"/>
      </w:tblPr>
      <w:tblGrid>
        <w:gridCol w:w="2430"/>
        <w:gridCol w:w="2430"/>
        <w:gridCol w:w="2430"/>
        <w:gridCol w:w="2430"/>
      </w:tblGrid>
      <w:tr>
        <w:trPr>
          <w:trHeight w:val="0"/>
        </w:trPr>
        <w:tc>
          <w:tcPr>
            <w:tcW w:w="2430" w:type="dxa"/>
            <w:tcBorders>
              <w:bottom w:val="single" w:sz="6" w:space="0" w:color="000000"/>
              <w:top w:val="single" w:sz="2" w:space="0" w:color="000000"/>
              <w:right w:val="single" w:sz="6" w:space="0" w:color="000000"/>
              <w:left w:val="single" w:sz="2" w:space="0" w:color="000000"/>
            </w:tcBorders>
            <w:shd w:val="clear" w:color="auto"/>
          </w:tcPr>
          <w:p>
            <w:pPr/>
            <w:r>
              <w:t xml:space="preserve">公司</w:t>
            </w:r>
          </w:p>
        </w:tc>
        <w:tc>
          <w:tcPr>
            <w:tcW w:w="2430" w:type="dxa"/>
            <w:tcBorders>
              <w:bottom w:val="single" w:sz="6" w:space="0" w:color="000000"/>
              <w:top w:val="single" w:sz="2" w:space="0" w:color="000000"/>
              <w:right w:val="single" w:sz="6" w:space="0" w:color="000000"/>
              <w:left w:val="single" w:sz="6" w:space="0" w:color="000000"/>
            </w:tcBorders>
            <w:shd w:val="clear" w:color="auto"/>
          </w:tcPr>
          <w:p>
            <w:pPr/>
            <w:r>
              <w:t xml:space="preserve">行业</w:t>
            </w:r>
          </w:p>
        </w:tc>
        <w:tc>
          <w:tcPr>
            <w:tcW w:w="2430" w:type="dxa"/>
            <w:tcBorders>
              <w:bottom w:val="single" w:sz="6" w:space="0" w:color="000000"/>
              <w:top w:val="single" w:sz="2" w:space="0" w:color="000000"/>
              <w:right w:val="single" w:sz="6" w:space="0" w:color="000000"/>
              <w:left w:val="single" w:sz="6" w:space="0" w:color="000000"/>
            </w:tcBorders>
            <w:shd w:val="clear" w:color="auto"/>
          </w:tcPr>
          <w:p>
            <w:pPr/>
            <w:r>
              <w:t xml:space="preserve">核心模式</w:t>
            </w:r>
          </w:p>
        </w:tc>
        <w:tc>
          <w:tcPr>
            <w:tcW w:w="2430" w:type="dxa"/>
            <w:tcBorders>
              <w:bottom w:val="single" w:sz="6" w:space="0" w:color="000000"/>
              <w:top w:val="single" w:sz="2" w:space="0" w:color="000000"/>
              <w:right w:val="single" w:sz="2" w:space="0" w:color="000000"/>
              <w:left w:val="single" w:sz="6" w:space="0" w:color="000000"/>
            </w:tcBorders>
            <w:shd w:val="clear" w:color="auto"/>
          </w:tcPr>
          <w:p>
            <w:pPr/>
            <w:r>
              <w:t xml:space="preserve">关键指标</w:t>
            </w:r>
          </w:p>
        </w:tc>
      </w:tr>
      <w:tr>
        <w:trPr>
          <w:trHeight w:val="0"/>
        </w:trPr>
        <w:tc>
          <w:tcPr>
            <w:tcW w:w="2430" w:type="dxa"/>
            <w:tcBorders>
              <w:bottom w:val="single" w:sz="6" w:space="0" w:color="000000"/>
              <w:top w:val="single" w:sz="6" w:space="0" w:color="000000"/>
              <w:right w:val="single" w:sz="6" w:space="0" w:color="000000"/>
              <w:left w:val="single" w:sz="2" w:space="0" w:color="000000"/>
            </w:tcBorders>
          </w:tcPr>
          <w:p>
            <w:pPr/>
            <w:r>
              <w:t xml:space="preserve">Palantir</w:t>
            </w:r>
          </w:p>
        </w:tc>
        <w:tc>
          <w:tcPr>
            <w:tcW w:w="2430" w:type="dxa"/>
            <w:tcBorders>
              <w:bottom w:val="single" w:sz="6" w:space="0" w:color="000000"/>
              <w:top w:val="single" w:sz="6" w:space="0" w:color="000000"/>
              <w:right w:val="single" w:sz="6" w:space="0" w:color="000000"/>
              <w:left w:val="single" w:sz="6" w:space="0" w:color="000000"/>
            </w:tcBorders>
          </w:tcPr>
          <w:p>
            <w:pPr/>
            <w:r>
              <w:t xml:space="preserve">政务与企业情报</w:t>
            </w:r>
          </w:p>
        </w:tc>
        <w:tc>
          <w:tcPr>
            <w:tcW w:w="2430" w:type="dxa"/>
            <w:tcBorders>
              <w:bottom w:val="single" w:sz="6" w:space="0" w:color="000000"/>
              <w:top w:val="single" w:sz="6" w:space="0" w:color="000000"/>
              <w:right w:val="single" w:sz="6" w:space="0" w:color="000000"/>
              <w:left w:val="single" w:sz="6" w:space="0" w:color="000000"/>
            </w:tcBorders>
          </w:tcPr>
          <w:p>
            <w:pPr/>
            <w:r>
              <w:t xml:space="preserve">专有数据整合平台+AI</w:t>
            </w:r>
          </w:p>
        </w:tc>
        <w:tc>
          <w:tcPr>
            <w:tcW w:w="2430" w:type="dxa"/>
            <w:tcBorders>
              <w:bottom w:val="single" w:sz="6" w:space="0" w:color="000000"/>
              <w:top w:val="single" w:sz="6" w:space="0" w:color="000000"/>
              <w:right w:val="single" w:sz="2" w:space="0" w:color="000000"/>
              <w:left w:val="single" w:sz="6" w:space="0" w:color="000000"/>
            </w:tcBorders>
          </w:tcPr>
          <w:p>
            <w:pPr/>
            <w:r>
              <w:t xml:space="preserve">营收~39亿美元（2025E），市值3,000亿+</w:t>
            </w:r>
          </w:p>
        </w:tc>
      </w:tr>
      <w:tr>
        <w:trPr>
          <w:trHeight w:val="0"/>
        </w:trPr>
        <w:tc>
          <w:tcPr>
            <w:tcW w:w="2430" w:type="dxa"/>
            <w:tcBorders>
              <w:bottom w:val="single" w:sz="6" w:space="0" w:color="000000"/>
              <w:top w:val="single" w:sz="6" w:space="0" w:color="000000"/>
              <w:right w:val="single" w:sz="6" w:space="0" w:color="000000"/>
              <w:left w:val="single" w:sz="2" w:space="0" w:color="000000"/>
            </w:tcBorders>
          </w:tcPr>
          <w:p>
            <w:pPr/>
            <w:r>
              <w:t xml:space="preserve">Bloomberg</w:t>
            </w:r>
          </w:p>
        </w:tc>
        <w:tc>
          <w:tcPr>
            <w:tcW w:w="2430" w:type="dxa"/>
            <w:tcBorders>
              <w:bottom w:val="single" w:sz="6" w:space="0" w:color="000000"/>
              <w:top w:val="single" w:sz="6" w:space="0" w:color="000000"/>
              <w:right w:val="single" w:sz="6" w:space="0" w:color="000000"/>
              <w:left w:val="single" w:sz="6" w:space="0" w:color="000000"/>
            </w:tcBorders>
          </w:tcPr>
          <w:p>
            <w:pPr/>
            <w:r>
              <w:t xml:space="preserve">金融数据</w:t>
            </w:r>
          </w:p>
        </w:tc>
        <w:tc>
          <w:tcPr>
            <w:tcW w:w="2430" w:type="dxa"/>
            <w:tcBorders>
              <w:bottom w:val="single" w:sz="6" w:space="0" w:color="000000"/>
              <w:top w:val="single" w:sz="6" w:space="0" w:color="000000"/>
              <w:right w:val="single" w:sz="6" w:space="0" w:color="000000"/>
              <w:left w:val="single" w:sz="6" w:space="0" w:color="000000"/>
            </w:tcBorders>
          </w:tcPr>
          <w:p>
            <w:pPr/>
            <w:r>
              <w:t xml:space="preserve">彭博终端+BloombergGPT</w:t>
            </w:r>
          </w:p>
        </w:tc>
        <w:tc>
          <w:tcPr>
            <w:tcW w:w="2430" w:type="dxa"/>
            <w:tcBorders>
              <w:bottom w:val="single" w:sz="6" w:space="0" w:color="000000"/>
              <w:top w:val="single" w:sz="6" w:space="0" w:color="000000"/>
              <w:right w:val="single" w:sz="2" w:space="0" w:color="000000"/>
              <w:left w:val="single" w:sz="6" w:space="0" w:color="000000"/>
            </w:tcBorders>
          </w:tcPr>
          <w:p>
            <w:pPr/>
            <w:r>
              <w:t xml:space="preserve">31万+终端用户，年收入~120亿美元</w:t>
            </w:r>
          </w:p>
        </w:tc>
      </w:tr>
      <w:tr>
        <w:trPr>
          <w:trHeight w:val="0"/>
        </w:trPr>
        <w:tc>
          <w:tcPr>
            <w:tcW w:w="2430" w:type="dxa"/>
            <w:tcBorders>
              <w:bottom w:val="single" w:sz="6" w:space="0" w:color="000000"/>
              <w:top w:val="single" w:sz="6" w:space="0" w:color="000000"/>
              <w:right w:val="single" w:sz="6" w:space="0" w:color="000000"/>
              <w:left w:val="single" w:sz="2" w:space="0" w:color="000000"/>
            </w:tcBorders>
          </w:tcPr>
          <w:p>
            <w:pPr/>
            <w:r>
              <w:t xml:space="preserve">贝壳</w:t>
            </w:r>
          </w:p>
        </w:tc>
        <w:tc>
          <w:tcPr>
            <w:tcW w:w="2430" w:type="dxa"/>
            <w:tcBorders>
              <w:bottom w:val="single" w:sz="6" w:space="0" w:color="000000"/>
              <w:top w:val="single" w:sz="6" w:space="0" w:color="000000"/>
              <w:right w:val="single" w:sz="6" w:space="0" w:color="000000"/>
              <w:left w:val="single" w:sz="6" w:space="0" w:color="000000"/>
            </w:tcBorders>
          </w:tcPr>
          <w:p>
            <w:pPr/>
            <w:r>
              <w:t xml:space="preserve">房地产</w:t>
            </w:r>
          </w:p>
        </w:tc>
        <w:tc>
          <w:tcPr>
            <w:tcW w:w="2430" w:type="dxa"/>
            <w:tcBorders>
              <w:bottom w:val="single" w:sz="6" w:space="0" w:color="000000"/>
              <w:top w:val="single" w:sz="6" w:space="0" w:color="000000"/>
              <w:right w:val="single" w:sz="6" w:space="0" w:color="000000"/>
              <w:left w:val="single" w:sz="6" w:space="0" w:color="000000"/>
            </w:tcBorders>
          </w:tcPr>
          <w:p>
            <w:pPr/>
            <w:r>
              <w:t xml:space="preserve">"楼盘字典"数据+科技平台</w:t>
            </w:r>
          </w:p>
        </w:tc>
        <w:tc>
          <w:tcPr>
            <w:tcW w:w="2430" w:type="dxa"/>
            <w:tcBorders>
              <w:bottom w:val="single" w:sz="6" w:space="0" w:color="000000"/>
              <w:top w:val="single" w:sz="6" w:space="0" w:color="000000"/>
              <w:right w:val="single" w:sz="2" w:space="0" w:color="000000"/>
              <w:left w:val="single" w:sz="6" w:space="0" w:color="000000"/>
            </w:tcBorders>
          </w:tcPr>
          <w:p>
            <w:pPr/>
            <w:r>
              <w:t xml:space="preserve">2024年交易额3.3万亿+，净收入935亿</w:t>
            </w:r>
          </w:p>
        </w:tc>
      </w:tr>
      <w:tr>
        <w:trPr>
          <w:trHeight w:val="0"/>
        </w:trPr>
        <w:tc>
          <w:tcPr>
            <w:tcW w:w="2430" w:type="dxa"/>
            <w:tcBorders>
              <w:bottom w:val="single" w:sz="6" w:space="0" w:color="000000"/>
              <w:top w:val="single" w:sz="6" w:space="0" w:color="000000"/>
              <w:right w:val="single" w:sz="6" w:space="0" w:color="000000"/>
              <w:left w:val="single" w:sz="2" w:space="0" w:color="000000"/>
            </w:tcBorders>
          </w:tcPr>
          <w:p>
            <w:pPr/>
            <w:r>
              <w:t xml:space="preserve">Harvey</w:t>
            </w:r>
          </w:p>
        </w:tc>
        <w:tc>
          <w:tcPr>
            <w:tcW w:w="2430" w:type="dxa"/>
            <w:tcBorders>
              <w:bottom w:val="single" w:sz="6" w:space="0" w:color="000000"/>
              <w:top w:val="single" w:sz="6" w:space="0" w:color="000000"/>
              <w:right w:val="single" w:sz="6" w:space="0" w:color="000000"/>
              <w:left w:val="single" w:sz="6" w:space="0" w:color="000000"/>
            </w:tcBorders>
          </w:tcPr>
          <w:p>
            <w:pPr/>
            <w:r>
              <w:t xml:space="preserve">法律AI</w:t>
            </w:r>
          </w:p>
        </w:tc>
        <w:tc>
          <w:tcPr>
            <w:tcW w:w="2430" w:type="dxa"/>
            <w:tcBorders>
              <w:bottom w:val="single" w:sz="6" w:space="0" w:color="000000"/>
              <w:top w:val="single" w:sz="6" w:space="0" w:color="000000"/>
              <w:right w:val="single" w:sz="6" w:space="0" w:color="000000"/>
              <w:left w:val="single" w:sz="6" w:space="0" w:color="000000"/>
            </w:tcBorders>
          </w:tcPr>
          <w:p>
            <w:pPr/>
            <w:r>
              <w:t xml:space="preserve">法律领域专有LLM</w:t>
            </w:r>
          </w:p>
        </w:tc>
        <w:tc>
          <w:tcPr>
            <w:tcW w:w="2430" w:type="dxa"/>
            <w:tcBorders>
              <w:bottom w:val="single" w:sz="6" w:space="0" w:color="000000"/>
              <w:top w:val="single" w:sz="6" w:space="0" w:color="000000"/>
              <w:right w:val="single" w:sz="2" w:space="0" w:color="000000"/>
              <w:left w:val="single" w:sz="6" w:space="0" w:color="000000"/>
            </w:tcBorders>
          </w:tcPr>
          <w:p>
            <w:pPr/>
            <w:r>
              <w:t xml:space="preserve">估值30亿+美元</w:t>
            </w:r>
          </w:p>
        </w:tc>
      </w:tr>
      <w:tr>
        <w:trPr>
          <w:trHeight w:val="0"/>
        </w:trPr>
        <w:tc>
          <w:tcPr>
            <w:tcW w:w="2430" w:type="dxa"/>
            <w:tcBorders>
              <w:bottom w:val="single" w:sz="6" w:space="0" w:color="000000"/>
              <w:top w:val="single" w:sz="6" w:space="0" w:color="000000"/>
              <w:right w:val="single" w:sz="6" w:space="0" w:color="000000"/>
              <w:left w:val="single" w:sz="2" w:space="0" w:color="000000"/>
            </w:tcBorders>
          </w:tcPr>
          <w:p>
            <w:pPr/>
            <w:r>
              <w:t xml:space="preserve">OpenEvidence</w:t>
            </w:r>
          </w:p>
        </w:tc>
        <w:tc>
          <w:tcPr>
            <w:tcW w:w="2430" w:type="dxa"/>
            <w:tcBorders>
              <w:bottom w:val="single" w:sz="6" w:space="0" w:color="000000"/>
              <w:top w:val="single" w:sz="6" w:space="0" w:color="000000"/>
              <w:right w:val="single" w:sz="6" w:space="0" w:color="000000"/>
              <w:left w:val="single" w:sz="6" w:space="0" w:color="000000"/>
            </w:tcBorders>
          </w:tcPr>
          <w:p>
            <w:pPr/>
            <w:r>
              <w:t xml:space="preserve">医疗AI</w:t>
            </w:r>
          </w:p>
        </w:tc>
        <w:tc>
          <w:tcPr>
            <w:tcW w:w="2430" w:type="dxa"/>
            <w:tcBorders>
              <w:bottom w:val="single" w:sz="6" w:space="0" w:color="000000"/>
              <w:top w:val="single" w:sz="6" w:space="0" w:color="000000"/>
              <w:right w:val="single" w:sz="6" w:space="0" w:color="000000"/>
              <w:left w:val="single" w:sz="6" w:space="0" w:color="000000"/>
            </w:tcBorders>
          </w:tcPr>
          <w:p>
            <w:pPr/>
            <w:r>
              <w:t xml:space="preserve">临床决策支持AI</w:t>
            </w:r>
          </w:p>
        </w:tc>
        <w:tc>
          <w:tcPr>
            <w:tcW w:w="2430" w:type="dxa"/>
            <w:tcBorders>
              <w:bottom w:val="single" w:sz="6" w:space="0" w:color="000000"/>
              <w:top w:val="single" w:sz="6" w:space="0" w:color="000000"/>
              <w:right w:val="single" w:sz="2" w:space="0" w:color="000000"/>
              <w:left w:val="single" w:sz="6" w:space="0" w:color="000000"/>
            </w:tcBorders>
          </w:tcPr>
          <w:p>
            <w:pPr/>
            <w:r>
              <w:t xml:space="preserve">估值35亿美元，覆盖40%美国医生</w:t>
            </w:r>
          </w:p>
        </w:tc>
      </w:tr>
      <w:tr>
        <w:trPr>
          <w:trHeight w:val="0"/>
        </w:trPr>
        <w:tc>
          <w:tcPr>
            <w:tcW w:w="2430" w:type="dxa"/>
            <w:tcBorders>
              <w:bottom w:val="single" w:sz="2" w:space="0" w:color="000000"/>
              <w:top w:val="single" w:sz="6" w:space="0" w:color="000000"/>
              <w:right w:val="single" w:sz="6" w:space="0" w:color="000000"/>
              <w:left w:val="single" w:sz="2" w:space="0" w:color="000000"/>
            </w:tcBorders>
          </w:tcPr>
          <w:p>
            <w:pPr/>
            <w:r>
              <w:t xml:space="preserve">企查查</w:t>
            </w:r>
          </w:p>
        </w:tc>
        <w:tc>
          <w:tcPr>
            <w:tcW w:w="2430" w:type="dxa"/>
            <w:tcBorders>
              <w:bottom w:val="single" w:sz="2" w:space="0" w:color="000000"/>
              <w:top w:val="single" w:sz="6" w:space="0" w:color="000000"/>
              <w:right w:val="single" w:sz="6" w:space="0" w:color="000000"/>
              <w:left w:val="single" w:sz="6" w:space="0" w:color="000000"/>
            </w:tcBorders>
          </w:tcPr>
          <w:p>
            <w:pPr/>
            <w:r>
              <w:t xml:space="preserve">企业征信</w:t>
            </w:r>
          </w:p>
        </w:tc>
        <w:tc>
          <w:tcPr>
            <w:tcW w:w="2430" w:type="dxa"/>
            <w:tcBorders>
              <w:bottom w:val="single" w:sz="2" w:space="0" w:color="000000"/>
              <w:top w:val="single" w:sz="6" w:space="0" w:color="000000"/>
              <w:right w:val="single" w:sz="6" w:space="0" w:color="000000"/>
              <w:left w:val="single" w:sz="6" w:space="0" w:color="000000"/>
            </w:tcBorders>
          </w:tcPr>
          <w:p>
            <w:pPr/>
            <w:r>
              <w:t xml:space="preserve">商业数据搜索+AI</w:t>
            </w:r>
          </w:p>
        </w:tc>
        <w:tc>
          <w:tcPr>
            <w:tcW w:w="2430" w:type="dxa"/>
            <w:tcBorders>
              <w:bottom w:val="single" w:sz="2" w:space="0" w:color="000000"/>
              <w:top w:val="single" w:sz="6" w:space="0" w:color="000000"/>
              <w:right w:val="single" w:sz="2" w:space="0" w:color="000000"/>
              <w:left w:val="single" w:sz="6" w:space="0" w:color="000000"/>
            </w:tcBorders>
          </w:tcPr>
          <w:p>
            <w:pPr/>
            <w:r>
              <w:t xml:space="preserve">营收7.8亿元，估值100亿+，IPO排队中</w:t>
            </w:r>
          </w:p>
        </w:tc>
      </w:tr>
    </w:tbl>
    <w:p>
      <w:pPr/>
      <w:r>
        <w:t xml:space="preserve">我们的定位： 平方创想之于教育科技人才行业，正如Palantir之于政务安全，Bloomberg之于金融市场，贝壳之于房地产——掌握行业最全面的数据基础设施，用AI驱动规模化决策。</w:t>
      </w:r>
    </w:p>
    <w:p>
      <w:pPr>
        <w:pBdr>
          <w:top w:val="none" w:sz="6" w:space="0" w:color="000000"/>
        </w:pBdr>
      </w:pPr>
    </w:p>
    <w:p>
      <w:bookmarkStart w:id="mt0unhba5o12gx2cz5t" w:name="mt0unhba5o12gx2cz5t"/>
      <w:pPr>
        <w:pStyle w:val="dingding-heading2"/>
        <w:ind/>
      </w:pPr>
      <w:r>
        <w:t xml:space="preserve">我们的价值观</w:t>
      </w:r>
      <w:bookmarkEnd w:id="mt0unhba5o12gx2cz5t"/>
    </w:p>
    <w:p>
      <w:pPr/>
      <w:r>
        <w:t xml:space="preserve">我们选择了立场。我们构建的技术服务于公共利益——帮助学生找到最优的成长路径，帮助研究者找到最佳的合作伙伴，帮助政府找到最需要的人才，帮助机构做出最准确的决策。</w:t>
      </w:r>
    </w:p>
    <w:p>
      <w:pPr/>
      <w:r>
        <w:t xml:space="preserve">我们不收集、挖掘或出售数据。我们构建平台，使我们的客户能够整合和利用他们自己的数据——他们已经拥有的数据。</w:t>
      </w:r>
    </w:p>
    <w:p>
      <w:pPr/>
      <w:r>
        <w:t xml:space="preserve">我们相信，在教育科技人才领域，信任不是功能，信任就是产品本身。我们发布的每一份评价、我们的智能体做出的每一个推荐、我们的平台交付的每一次匹配，都必须建立在经过验证的真实之上。这就是我们所说的**"科技求真"**的含义。</w:t>
      </w:r>
    </w:p>
    <w:p>
      <w:pPr/>
      <w:r>
        <w:t xml:space="preserve">教育、科技、人才体系面临的系统性挑战——数据碎片化、信息不对称、制度惯性、人力资本的错配——将持续要求公共和私营机构进行自我变革。我们相信，依赖可信任的数据和AI来应对这些挑战的机构和个人，值得拥有比市场目前所提供的更好的东西。</w:t>
      </w:r>
    </w:p>
    <w:p>
      <w:pPr/>
      <w:r>
        <w:t xml:space="preserve">我们花了十多年时间来构建更好的东西。而我们才刚刚开始。</w:t>
      </w:r>
    </w:p>
    <w:p>
      <w:pPr>
        <w:pBdr>
          <w:top w:val="none" w:sz="6" w:space="0" w:color="000000"/>
        </w:pBdr>
      </w:pPr>
    </w:p>
    <w:p>
      <w:pPr/>
      <w:r>
        <w:t xml:space="preserve">平方创想教育科技（北京）有限公司 · VisionSquare Inc. · 商业叙事文档 · 2026</w:t>
      </w:r>
    </w:p>
    <w:sectPr>
      <w:pgSz w:w="13380" w:h="16905"/>
      <w:pgMar w:top="720" w:right="1080" w:bottom="720" w:left="1080" w:header="850.95" w:footer="991.95" w:gutter="0"/>
      <w:type w:val="nextPage"/>
    </w:sectPr>
  </w:body>
</w:document>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cid="http://schemas.microsoft.com/office/word/2016/wordml/cid" xmlns:w16se="http://schemas.microsoft.com/office/word/2015/wordml/symex" xmlns:sl="http://schemas.openxmlformats.org/schemaLibrary/2006/main" mc:Ignorable="w14 w15 w16se w16cid">
  <w:displayBackgroundShape/>
  <w:bordersDoNotSurroundFooter/>
  <w:bordersDoNotSurroundHead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rFonts w:asciiTheme="minorHAnsi" w:hAnsiTheme="minorHAnsi" w:cstheme="minorBidi" w:eastAsiaTheme="minorEastAsia"/>
        <w:kern w:val="2"/>
      </w:rPr>
    </w:rPrDefault>
    <w:pPrDefault/>
  </w:docDefaults>
  <w:style w:type="table" w:default="0" w:styleId="TableGrid">
    <w:name w:val="Table Grid"/>
    <w:basedOn w:val="Normal Table"/>
    <w:tblPr>
      <w:tblBorders>
        <w:left w:val="single" w:sz="6" w:space="0" w:color="000000"/>
        <w:right w:val="single" w:sz="6" w:space="0" w:color="000000"/>
        <w:top w:val="single" w:sz="6" w:space="0" w:color="000000"/>
        <w:bottom w:val="single" w:sz="6" w:space="0" w:color="000000"/>
        <w:insideH w:val="single" w:sz="6" w:space="0" w:color="000000"/>
        <w:insideV w:val="single" w:sz="6" w:space="0" w:color="000000"/>
      </w:tblBorders>
      <w:tblW w:w="0" w:type="auto"/>
    </w:tblPr>
    <w:tcPr/>
  </w:style>
  <w:style w:type="paragraph" w:default="0" w:styleId="dingding-heading1">
    <w:name w:val="heading 1"/>
    <w:basedOn w:val="NormalParagraph"/>
    <w:tcPr/>
    <w:pPr>
      <w:keepLines w:val="1"/>
      <w:keepNext w:val="1"/>
      <w:spacing w:before="348" w:after="210" w:lineRule="auto"/>
    </w:pPr>
    <w:rPr>
      <w:sz w:val="34"/>
      <w:b w:val="1"/>
    </w:rPr>
  </w:style>
  <w:style w:type="paragraph" w:default="0" w:styleId="dingding-heading2">
    <w:name w:val="heading 2"/>
    <w:basedOn w:val="NormalParagraph"/>
    <w:tcPr/>
    <w:pPr>
      <w:keepLines w:val="1"/>
      <w:keepNext w:val="1"/>
      <w:spacing w:before="348" w:after="190" w:lineRule="auto"/>
    </w:pPr>
    <w:rPr>
      <w:sz w:val="28"/>
      <w:b w:val="1"/>
    </w:rPr>
  </w:style>
  <w:style w:type="paragraph" w:default="0" w:styleId="dingding-heading3">
    <w:name w:val="heading 3"/>
    <w:basedOn w:val="NormalParagraph"/>
    <w:tcPr/>
    <w:pPr>
      <w:keepLines w:val="1"/>
      <w:keepNext w:val="1"/>
      <w:spacing w:before="348" w:after="170" w:lineRule="auto"/>
    </w:pPr>
    <w:rPr>
      <w:sz w:val="22"/>
      <w:b w:val="1"/>
    </w:rPr>
  </w:style>
  <w:style w:type="paragraph" w:default="1" w:styleId="docDefaults">
    <w:name w:val="dingdocnormal"/>
    <w:tcPr/>
    <w:pPr>
      <w:spacing/>
    </w:pPr>
    <w:rPr>
      <w:sz w:val="24"/>
    </w:rPr>
  </w:style>
  <w:style w:type="table" w:default="0" w:styleId="tableDefault">
    <w:name w:val=""/>
    <w:tblPr>
      <w:tblStyle w:val="TableGrid"/>
      <w:tblBorders>
        <w:left w:val="single" w:sz="6" w:space="0" w:color="D6D6D6"/>
        <w:right w:val="single" w:sz="6" w:space="0" w:color="D6D6D6"/>
        <w:top w:val="single" w:sz="6" w:space="0" w:color="D6D6D6"/>
        <w:bottom w:val="single" w:sz="6" w:space="0" w:color="D6D6D6"/>
        <w:insideH w:val="single" w:sz="6" w:space="0" w:color="D6D6D6"/>
        <w:insideV w:val="single" w:sz="6" w:space="0" w:color="D6D6D6"/>
      </w:tblBorders>
      <w:tblW w:w="0" w:type="auto"/>
    </w:tblPr>
    <w:tcPr/>
  </w:style>
  <w:style w:type="table" w:default="0" w:styleId="tableHeader">
    <w:name w:val=""/>
    <w:basedOn w:val="tableDefault"/>
    <w:tcPr/>
    <w:tblStylePr w:type="firstRow">
      <w:tcPr>
        <w:shd w:val="clear" w:color="" w:fill="F5F6F7"/>
      </w:tcPr>
    </w:tblStylePr>
    <w:tblStylePr w:type="firstCol">
      <w:tcPr>
        <w:shd w:val="clear" w:color="" w:fill="F5F6F7"/>
      </w:tcPr>
    </w:tblStylePr>
  </w:style>
</w:styles>
</file>

<file path=word/_rels/document.xml.rels><?xml version="1.0" encoding="UTF-8"?>
<Relationships xmlns="http://schemas.openxmlformats.org/package/2006/relationships">
  <Relationship Id="rId1" Type="http://schemas.openxmlformats.org/officeDocument/2006/relationships/styles" Target="styles.xml" />
  <Relationship Id="rId2" Type="http://schemas.openxmlformats.org/officeDocument/2006/relationships/settings" Target="settings.xml" />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1970-01-01T00:00:00Z</dcterms:created>
  <dc:creator>DingTalk</dc:creator>
  <cp:lastModifiedBy>DingTalk</cp:lastModifiedBy>
  <dcterms:modified xsi:type="dcterms:W3CDTF">1970-01-01T00:00:00Z</dcterms:modified>
  <cp:revision>1</cp:revision>
  <dc:description>DingTalk Document</dc:description>
  <dc:language>ZN_CH</dc:language>
</cp:coreProperties>
</file>