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A08C" w14:textId="77777777" w:rsidR="001102C4" w:rsidRPr="001102C4" w:rsidRDefault="001102C4" w:rsidP="001102C4">
      <w:pPr>
        <w:rPr>
          <w:rFonts w:ascii="Times New Roman" w:hAnsi="Times New Roman" w:cs="Times New Roman"/>
          <w:b/>
          <w:bCs/>
          <w:sz w:val="32"/>
          <w:szCs w:val="32"/>
        </w:rPr>
      </w:pPr>
      <w:r w:rsidRPr="001102C4">
        <w:rPr>
          <w:rFonts w:ascii="Times New Roman" w:hAnsi="Times New Roman" w:cs="Times New Roman"/>
          <w:b/>
          <w:bCs/>
          <w:sz w:val="32"/>
          <w:szCs w:val="32"/>
        </w:rPr>
        <w:t>Requirement Analysis Notes — Music Streaming Analytics</w:t>
      </w:r>
    </w:p>
    <w:p w14:paraId="2D59D1EF"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1. Project Snapshot</w:t>
      </w:r>
    </w:p>
    <w:p w14:paraId="69D784B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Project Name:</w:t>
      </w:r>
      <w:r w:rsidRPr="001102C4">
        <w:rPr>
          <w:rFonts w:ascii="Times New Roman" w:hAnsi="Times New Roman" w:cs="Times New Roman"/>
          <w:sz w:val="26"/>
          <w:szCs w:val="26"/>
        </w:rPr>
        <w:br/>
        <w:t>Music Streaming Analytics Challenge</w:t>
      </w:r>
    </w:p>
    <w:p w14:paraId="0C0AE72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Role:</w:t>
      </w:r>
      <w:r w:rsidRPr="001102C4">
        <w:rPr>
          <w:rFonts w:ascii="Times New Roman" w:hAnsi="Times New Roman" w:cs="Times New Roman"/>
          <w:sz w:val="26"/>
          <w:szCs w:val="26"/>
        </w:rPr>
        <w:br/>
        <w:t>Data Analyst / Lead Analyst</w:t>
      </w:r>
    </w:p>
    <w:p w14:paraId="19527D0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Business Context:</w:t>
      </w:r>
      <w:r w:rsidRPr="001102C4">
        <w:rPr>
          <w:rFonts w:ascii="Times New Roman" w:hAnsi="Times New Roman" w:cs="Times New Roman"/>
          <w:sz w:val="26"/>
          <w:szCs w:val="26"/>
        </w:rPr>
        <w:br/>
        <w:t>Mid-size music streaming platform</w:t>
      </w:r>
    </w:p>
    <w:p w14:paraId="0C92BEA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Project Period Covered by Data:</w:t>
      </w:r>
      <w:r w:rsidRPr="001102C4">
        <w:rPr>
          <w:rFonts w:ascii="Times New Roman" w:hAnsi="Times New Roman" w:cs="Times New Roman"/>
          <w:sz w:val="26"/>
          <w:szCs w:val="26"/>
        </w:rPr>
        <w:br/>
        <w:t>2021-01-01 to 2024-12-31</w:t>
      </w:r>
    </w:p>
    <w:p w14:paraId="74A7AE2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Currency:</w:t>
      </w:r>
      <w:r w:rsidRPr="001102C4">
        <w:rPr>
          <w:rFonts w:ascii="Times New Roman" w:hAnsi="Times New Roman" w:cs="Times New Roman"/>
          <w:sz w:val="26"/>
          <w:szCs w:val="26"/>
        </w:rPr>
        <w:br/>
        <w:t>USD</w:t>
      </w:r>
    </w:p>
    <w:p w14:paraId="5FD0160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Final Deliverable:</w:t>
      </w:r>
      <w:r w:rsidRPr="001102C4">
        <w:rPr>
          <w:rFonts w:ascii="Times New Roman" w:hAnsi="Times New Roman" w:cs="Times New Roman"/>
          <w:sz w:val="26"/>
          <w:szCs w:val="26"/>
        </w:rPr>
        <w:br/>
        <w:t>A professional analytical dashboard/report that helps stakeholders understand business performance, revenue health, subscription lifecycle, customer engagement, churn risk, content performance, market opportunities, and suspicious or anomalous activity.</w:t>
      </w:r>
    </w:p>
    <w:p w14:paraId="4CEB10D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Planned Dashboard Structure:</w:t>
      </w:r>
      <w:r w:rsidRPr="001102C4">
        <w:rPr>
          <w:rFonts w:ascii="Times New Roman" w:hAnsi="Times New Roman" w:cs="Times New Roman"/>
          <w:sz w:val="26"/>
          <w:szCs w:val="26"/>
        </w:rPr>
        <w:br/>
        <w:t>Page 1: Executive Summary</w:t>
      </w:r>
      <w:r w:rsidRPr="001102C4">
        <w:rPr>
          <w:rFonts w:ascii="Times New Roman" w:hAnsi="Times New Roman" w:cs="Times New Roman"/>
          <w:sz w:val="26"/>
          <w:szCs w:val="26"/>
        </w:rPr>
        <w:br/>
        <w:t>Page 2: Revenue &amp; Subscription Health</w:t>
      </w:r>
      <w:r w:rsidRPr="001102C4">
        <w:rPr>
          <w:rFonts w:ascii="Times New Roman" w:hAnsi="Times New Roman" w:cs="Times New Roman"/>
          <w:sz w:val="26"/>
          <w:szCs w:val="26"/>
        </w:rPr>
        <w:br/>
        <w:t>Page 3: Customer Engagement &amp; Churn Risk</w:t>
      </w:r>
      <w:r w:rsidRPr="001102C4">
        <w:rPr>
          <w:rFonts w:ascii="Times New Roman" w:hAnsi="Times New Roman" w:cs="Times New Roman"/>
          <w:sz w:val="26"/>
          <w:szCs w:val="26"/>
        </w:rPr>
        <w:br/>
        <w:t>Page 4: Content, Market &amp; Fraud Insights</w:t>
      </w:r>
    </w:p>
    <w:p w14:paraId="70F20EA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Project Goal:</w:t>
      </w:r>
      <w:r w:rsidRPr="001102C4">
        <w:rPr>
          <w:rFonts w:ascii="Times New Roman" w:hAnsi="Times New Roman" w:cs="Times New Roman"/>
          <w:sz w:val="26"/>
          <w:szCs w:val="26"/>
        </w:rPr>
        <w:br/>
        <w:t>Build a business-focused BI dashboard/report that identifies growth opportunities, revenue risks, churn signals, engagement drivers, content-market opportunities, and operational risks for a music streaming platform.</w:t>
      </w:r>
    </w:p>
    <w:p w14:paraId="1129E56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My Personal Learning Goal:</w:t>
      </w:r>
      <w:r w:rsidRPr="001102C4">
        <w:rPr>
          <w:rFonts w:ascii="Times New Roman" w:hAnsi="Times New Roman" w:cs="Times New Roman"/>
          <w:sz w:val="26"/>
          <w:szCs w:val="26"/>
        </w:rPr>
        <w:br/>
        <w:t>Use this project to practise the full analytics workflow: requirement analysis, data understanding, data modelling, data quality checking, KPI design, dashboard building, storytelling, recommendation writing, and portfolio presentation.</w:t>
      </w:r>
    </w:p>
    <w:p w14:paraId="0F518EB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0B56B6BA">
          <v:rect id="_x0000_i1103" style="width:0;height:1.5pt" o:hralign="center" o:hrstd="t" o:hr="t" fillcolor="#a0a0a0" stroked="f"/>
        </w:pict>
      </w:r>
    </w:p>
    <w:p w14:paraId="5B4C7CD2" w14:textId="77777777" w:rsidR="001102C4" w:rsidRDefault="001102C4" w:rsidP="001102C4">
      <w:pPr>
        <w:rPr>
          <w:rFonts w:ascii="Times New Roman" w:hAnsi="Times New Roman" w:cs="Times New Roman"/>
          <w:b/>
          <w:bCs/>
          <w:sz w:val="26"/>
          <w:szCs w:val="26"/>
          <w:lang w:val="vi-VN"/>
        </w:rPr>
      </w:pPr>
    </w:p>
    <w:p w14:paraId="46DB9E40" w14:textId="1FBAC60C"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lastRenderedPageBreak/>
        <w:t>2. Business Context</w:t>
      </w:r>
    </w:p>
    <w:p w14:paraId="7252CC7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This project analyzes a music streaming platform. The platform likely creates business value through user engagement, subscription revenue, advertising or session-level revenue, content consumption, user retention, and market growth.</w:t>
      </w:r>
    </w:p>
    <w:p w14:paraId="6D7A316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The business has several important moving parts:</w:t>
      </w:r>
    </w:p>
    <w:p w14:paraId="03C5AC7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Users listen to music through different devices, belong to different countries or markets, have different ages and demographics, and may subscribe to different tiers such as Free, paid, family, or premium plans.</w:t>
      </w:r>
    </w:p>
    <w:p w14:paraId="5175EA5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Revenue may come from subscription plans, Monthly Recurring Revenue, advertising revenue from Free users, or estimated session-level revenue. Because the business includes both listening behaviour and subscription lifecycle events, it is important to separate usage metrics from revenue metrics and avoid mixing different data grains.</w:t>
      </w:r>
    </w:p>
    <w:p w14:paraId="33AB92F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Leadership wants to know where the business is performing well, where risks appear, which segments or markets show opportunities, what behaviours may indicate churn or conversion potential, and what actions the business should take next.</w:t>
      </w:r>
    </w:p>
    <w:p w14:paraId="5831467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18ACC0A2">
          <v:rect id="_x0000_i1104" style="width:0;height:1.5pt" o:hralign="center" o:hrstd="t" o:hr="t" fillcolor="#a0a0a0" stroked="f"/>
        </w:pict>
      </w:r>
    </w:p>
    <w:p w14:paraId="756973C2"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3. Business Objective</w:t>
      </w:r>
    </w:p>
    <w:p w14:paraId="698AD79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The objective of this project is to analyze user behaviour, subscription lifecycle, revenue performance, content engagement, churn risk, market performance, and potential fraud or anomaly signals for a music streaming platform.</w:t>
      </w:r>
    </w:p>
    <w:p w14:paraId="0E7D3D9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The final dashboard/report should help stakeholders answer three major business questions:</w:t>
      </w:r>
    </w:p>
    <w:p w14:paraId="75B0376C" w14:textId="77777777" w:rsidR="001102C4" w:rsidRPr="001102C4" w:rsidRDefault="001102C4" w:rsidP="001102C4">
      <w:pPr>
        <w:numPr>
          <w:ilvl w:val="0"/>
          <w:numId w:val="1"/>
        </w:numPr>
        <w:rPr>
          <w:rFonts w:ascii="Times New Roman" w:hAnsi="Times New Roman" w:cs="Times New Roman"/>
          <w:sz w:val="26"/>
          <w:szCs w:val="26"/>
        </w:rPr>
      </w:pPr>
      <w:r w:rsidRPr="001102C4">
        <w:rPr>
          <w:rFonts w:ascii="Times New Roman" w:hAnsi="Times New Roman" w:cs="Times New Roman"/>
          <w:sz w:val="26"/>
          <w:szCs w:val="26"/>
        </w:rPr>
        <w:t xml:space="preserve">Where are the growth opportunities? </w:t>
      </w:r>
    </w:p>
    <w:p w14:paraId="044B1037" w14:textId="77777777" w:rsidR="001102C4" w:rsidRPr="001102C4" w:rsidRDefault="001102C4" w:rsidP="001102C4">
      <w:pPr>
        <w:numPr>
          <w:ilvl w:val="0"/>
          <w:numId w:val="1"/>
        </w:numPr>
        <w:rPr>
          <w:rFonts w:ascii="Times New Roman" w:hAnsi="Times New Roman" w:cs="Times New Roman"/>
          <w:sz w:val="26"/>
          <w:szCs w:val="26"/>
        </w:rPr>
      </w:pPr>
      <w:r w:rsidRPr="001102C4">
        <w:rPr>
          <w:rFonts w:ascii="Times New Roman" w:hAnsi="Times New Roman" w:cs="Times New Roman"/>
          <w:sz w:val="26"/>
          <w:szCs w:val="26"/>
        </w:rPr>
        <w:t xml:space="preserve">Where are the revenue, churn, or fraud risks? </w:t>
      </w:r>
    </w:p>
    <w:p w14:paraId="4EB9C9B3" w14:textId="77777777" w:rsidR="001102C4" w:rsidRPr="001102C4" w:rsidRDefault="001102C4" w:rsidP="001102C4">
      <w:pPr>
        <w:numPr>
          <w:ilvl w:val="0"/>
          <w:numId w:val="1"/>
        </w:numPr>
        <w:rPr>
          <w:rFonts w:ascii="Times New Roman" w:hAnsi="Times New Roman" w:cs="Times New Roman"/>
          <w:sz w:val="26"/>
          <w:szCs w:val="26"/>
        </w:rPr>
      </w:pPr>
      <w:r w:rsidRPr="001102C4">
        <w:rPr>
          <w:rFonts w:ascii="Times New Roman" w:hAnsi="Times New Roman" w:cs="Times New Roman"/>
          <w:sz w:val="26"/>
          <w:szCs w:val="26"/>
        </w:rPr>
        <w:t xml:space="preserve">What should the business do next? </w:t>
      </w:r>
    </w:p>
    <w:p w14:paraId="487BA8F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Professional English version:</w:t>
      </w:r>
    </w:p>
    <w:p w14:paraId="4B0D52B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 xml:space="preserve">The objective of this project is to analyze listening behaviour, subscription lifecycle, revenue performance, content engagement, churn risk, market trends, and potential fraud or anomaly patterns for a music streaming platform. The goal is to build a business intelligence dashboard that helps stakeholders monitor business health, identify growth </w:t>
      </w:r>
      <w:r w:rsidRPr="001102C4">
        <w:rPr>
          <w:rFonts w:ascii="Times New Roman" w:hAnsi="Times New Roman" w:cs="Times New Roman"/>
          <w:sz w:val="26"/>
          <w:szCs w:val="26"/>
        </w:rPr>
        <w:lastRenderedPageBreak/>
        <w:t>opportunities, understand retention and churn drivers, evaluate content and market performance, and recommend actionable next steps.</w:t>
      </w:r>
    </w:p>
    <w:p w14:paraId="592AE13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3666D022">
          <v:rect id="_x0000_i1105" style="width:0;height:1.5pt" o:hralign="center" o:hrstd="t" o:hr="t" fillcolor="#a0a0a0" stroked="f"/>
        </w:pict>
      </w:r>
    </w:p>
    <w:p w14:paraId="5D0DDCCE"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4. Stakeholder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3716"/>
        <w:gridCol w:w="3772"/>
      </w:tblGrid>
      <w:tr w:rsidR="001102C4" w:rsidRPr="001102C4" w14:paraId="10B2C4A4" w14:textId="77777777">
        <w:trPr>
          <w:tblHeader/>
          <w:tblCellSpacing w:w="15" w:type="dxa"/>
        </w:trPr>
        <w:tc>
          <w:tcPr>
            <w:tcW w:w="0" w:type="auto"/>
            <w:vAlign w:val="center"/>
            <w:hideMark/>
          </w:tcPr>
          <w:p w14:paraId="77DCBA07"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Stakeholder</w:t>
            </w:r>
          </w:p>
        </w:tc>
        <w:tc>
          <w:tcPr>
            <w:tcW w:w="0" w:type="auto"/>
            <w:vAlign w:val="center"/>
            <w:hideMark/>
          </w:tcPr>
          <w:p w14:paraId="69D98DA9"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What they care about</w:t>
            </w:r>
          </w:p>
        </w:tc>
        <w:tc>
          <w:tcPr>
            <w:tcW w:w="0" w:type="auto"/>
            <w:vAlign w:val="center"/>
            <w:hideMark/>
          </w:tcPr>
          <w:p w14:paraId="5A1C749E"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Decisions they need to make</w:t>
            </w:r>
          </w:p>
        </w:tc>
      </w:tr>
      <w:tr w:rsidR="001102C4" w:rsidRPr="001102C4" w14:paraId="2A34D897" w14:textId="77777777">
        <w:trPr>
          <w:tblCellSpacing w:w="15" w:type="dxa"/>
        </w:trPr>
        <w:tc>
          <w:tcPr>
            <w:tcW w:w="0" w:type="auto"/>
            <w:vAlign w:val="center"/>
            <w:hideMark/>
          </w:tcPr>
          <w:p w14:paraId="352E88F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Executive / Leadership Team</w:t>
            </w:r>
          </w:p>
        </w:tc>
        <w:tc>
          <w:tcPr>
            <w:tcW w:w="0" w:type="auto"/>
            <w:vAlign w:val="center"/>
            <w:hideMark/>
          </w:tcPr>
          <w:p w14:paraId="554A41B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Overall business health, MRR, ARPU, churn, engagement, growth opportunities, risks</w:t>
            </w:r>
          </w:p>
        </w:tc>
        <w:tc>
          <w:tcPr>
            <w:tcW w:w="0" w:type="auto"/>
            <w:vAlign w:val="center"/>
            <w:hideMark/>
          </w:tcPr>
          <w:p w14:paraId="1CC7708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Which opportunities and risks should be prioritized?</w:t>
            </w:r>
          </w:p>
        </w:tc>
      </w:tr>
      <w:tr w:rsidR="001102C4" w:rsidRPr="001102C4" w14:paraId="5D1D3B40" w14:textId="77777777">
        <w:trPr>
          <w:tblCellSpacing w:w="15" w:type="dxa"/>
        </w:trPr>
        <w:tc>
          <w:tcPr>
            <w:tcW w:w="0" w:type="auto"/>
            <w:vAlign w:val="center"/>
            <w:hideMark/>
          </w:tcPr>
          <w:p w14:paraId="4865E1C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Revenue / Subscription Team</w:t>
            </w:r>
          </w:p>
        </w:tc>
        <w:tc>
          <w:tcPr>
            <w:tcW w:w="0" w:type="auto"/>
            <w:vAlign w:val="center"/>
            <w:hideMark/>
          </w:tcPr>
          <w:p w14:paraId="0792C59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ARPU, upgrade, downgrade, churn revenue, subscription tier performance</w:t>
            </w:r>
          </w:p>
        </w:tc>
        <w:tc>
          <w:tcPr>
            <w:tcW w:w="0" w:type="auto"/>
            <w:vAlign w:val="center"/>
            <w:hideMark/>
          </w:tcPr>
          <w:p w14:paraId="24B2095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Which tiers, markets, or cohorts should be grown, protected, or improved?</w:t>
            </w:r>
          </w:p>
        </w:tc>
      </w:tr>
      <w:tr w:rsidR="001102C4" w:rsidRPr="001102C4" w14:paraId="575B5B76" w14:textId="77777777">
        <w:trPr>
          <w:tblCellSpacing w:w="15" w:type="dxa"/>
        </w:trPr>
        <w:tc>
          <w:tcPr>
            <w:tcW w:w="0" w:type="auto"/>
            <w:vAlign w:val="center"/>
            <w:hideMark/>
          </w:tcPr>
          <w:p w14:paraId="4576EEA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Retention / CRM Team</w:t>
            </w:r>
          </w:p>
        </w:tc>
        <w:tc>
          <w:tcPr>
            <w:tcW w:w="0" w:type="auto"/>
            <w:vAlign w:val="center"/>
            <w:hideMark/>
          </w:tcPr>
          <w:p w14:paraId="7EAD4AE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Churn risk, engagement decline, user behaviour, high-risk users</w:t>
            </w:r>
          </w:p>
        </w:tc>
        <w:tc>
          <w:tcPr>
            <w:tcW w:w="0" w:type="auto"/>
            <w:vAlign w:val="center"/>
            <w:hideMark/>
          </w:tcPr>
          <w:p w14:paraId="5920B8B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Which user groups should receive retention campaigns?</w:t>
            </w:r>
          </w:p>
        </w:tc>
      </w:tr>
      <w:tr w:rsidR="001102C4" w:rsidRPr="001102C4" w14:paraId="5ED98ABE" w14:textId="77777777">
        <w:trPr>
          <w:tblCellSpacing w:w="15" w:type="dxa"/>
        </w:trPr>
        <w:tc>
          <w:tcPr>
            <w:tcW w:w="0" w:type="auto"/>
            <w:vAlign w:val="center"/>
            <w:hideMark/>
          </w:tcPr>
          <w:p w14:paraId="66D097E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Growth / Marketing Team</w:t>
            </w:r>
          </w:p>
        </w:tc>
        <w:tc>
          <w:tcPr>
            <w:tcW w:w="0" w:type="auto"/>
            <w:vAlign w:val="center"/>
            <w:hideMark/>
          </w:tcPr>
          <w:p w14:paraId="6B616C0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Free-to-paid conversion, high-potential segments, market opportunities</w:t>
            </w:r>
          </w:p>
        </w:tc>
        <w:tc>
          <w:tcPr>
            <w:tcW w:w="0" w:type="auto"/>
            <w:vAlign w:val="center"/>
            <w:hideMark/>
          </w:tcPr>
          <w:p w14:paraId="137A88A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Which users or markets should be targeted for conversion campaigns?</w:t>
            </w:r>
          </w:p>
        </w:tc>
      </w:tr>
      <w:tr w:rsidR="001102C4" w:rsidRPr="001102C4" w14:paraId="608C8105" w14:textId="77777777">
        <w:trPr>
          <w:tblCellSpacing w:w="15" w:type="dxa"/>
        </w:trPr>
        <w:tc>
          <w:tcPr>
            <w:tcW w:w="0" w:type="auto"/>
            <w:vAlign w:val="center"/>
            <w:hideMark/>
          </w:tcPr>
          <w:p w14:paraId="5AAC829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Content / Product Team</w:t>
            </w:r>
          </w:p>
        </w:tc>
        <w:tc>
          <w:tcPr>
            <w:tcW w:w="0" w:type="auto"/>
            <w:vAlign w:val="center"/>
            <w:hideMark/>
          </w:tcPr>
          <w:p w14:paraId="271A1C4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Artists, tracks, genres, playlists, recommendation performance, user engagement</w:t>
            </w:r>
          </w:p>
        </w:tc>
        <w:tc>
          <w:tcPr>
            <w:tcW w:w="0" w:type="auto"/>
            <w:vAlign w:val="center"/>
            <w:hideMark/>
          </w:tcPr>
          <w:p w14:paraId="2FBC296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Which content categories, playlists, or recommendation strategies should be optimized?</w:t>
            </w:r>
          </w:p>
        </w:tc>
      </w:tr>
      <w:tr w:rsidR="001102C4" w:rsidRPr="001102C4" w14:paraId="7DDA9376" w14:textId="77777777">
        <w:trPr>
          <w:tblCellSpacing w:w="15" w:type="dxa"/>
        </w:trPr>
        <w:tc>
          <w:tcPr>
            <w:tcW w:w="0" w:type="auto"/>
            <w:vAlign w:val="center"/>
            <w:hideMark/>
          </w:tcPr>
          <w:p w14:paraId="093E96A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Risk / Operations Team</w:t>
            </w:r>
          </w:p>
        </w:tc>
        <w:tc>
          <w:tcPr>
            <w:tcW w:w="0" w:type="auto"/>
            <w:vAlign w:val="center"/>
            <w:hideMark/>
          </w:tcPr>
          <w:p w14:paraId="4126457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Fraud cluster, suspicious behaviour, abnormal sessions, data quality issues</w:t>
            </w:r>
          </w:p>
        </w:tc>
        <w:tc>
          <w:tcPr>
            <w:tcW w:w="0" w:type="auto"/>
            <w:vAlign w:val="center"/>
            <w:hideMark/>
          </w:tcPr>
          <w:p w14:paraId="74445E1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Which patterns should be investigated or monitored?</w:t>
            </w:r>
          </w:p>
        </w:tc>
      </w:tr>
    </w:tbl>
    <w:p w14:paraId="4558007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214B748E">
          <v:rect id="_x0000_i1106" style="width:0;height:1.5pt" o:hralign="center" o:hrstd="t" o:hr="t" fillcolor="#a0a0a0" stroked="f"/>
        </w:pict>
      </w:r>
    </w:p>
    <w:p w14:paraId="5C17A788"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5. Core Business Questions</w:t>
      </w:r>
    </w:p>
    <w:p w14:paraId="1282EA5F"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Business Question 1: Business Health</w:t>
      </w:r>
    </w:p>
    <w:p w14:paraId="4365E97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Question:</w:t>
      </w:r>
      <w:r w:rsidRPr="001102C4">
        <w:rPr>
          <w:rFonts w:ascii="Times New Roman" w:hAnsi="Times New Roman" w:cs="Times New Roman"/>
          <w:sz w:val="26"/>
          <w:szCs w:val="26"/>
        </w:rPr>
        <w:br/>
        <w:t>How healthy is the platform’s overall business performance across MRR, ARPU, churn, and engagement from 2021 to 2024?</w:t>
      </w:r>
    </w:p>
    <w:p w14:paraId="37B9975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lastRenderedPageBreak/>
        <w:t>Simple meaning:</w:t>
      </w:r>
      <w:r w:rsidRPr="001102C4">
        <w:rPr>
          <w:rFonts w:ascii="Times New Roman" w:hAnsi="Times New Roman" w:cs="Times New Roman"/>
          <w:sz w:val="26"/>
          <w:szCs w:val="26"/>
        </w:rPr>
        <w:br/>
        <w:t>Nền tảng này đang hoạt động tốt hay không? Doanh thu có ổn không? User có còn nghe nhạc không? Có nhiều người rời đi không?</w:t>
      </w:r>
    </w:p>
    <w:p w14:paraId="65EF2DF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Why this question matters:</w:t>
      </w:r>
      <w:r w:rsidRPr="001102C4">
        <w:rPr>
          <w:rFonts w:ascii="Times New Roman" w:hAnsi="Times New Roman" w:cs="Times New Roman"/>
          <w:sz w:val="26"/>
          <w:szCs w:val="26"/>
        </w:rPr>
        <w:br/>
        <w:t>Leadership needs a high-level view of whether the platform is growing, retaining users, and generating recurring revenue. This question creates the foundation for the Executive Summary page.</w:t>
      </w:r>
    </w:p>
    <w:p w14:paraId="23C3E66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Decision supported:</w:t>
      </w:r>
      <w:r w:rsidRPr="001102C4">
        <w:rPr>
          <w:rFonts w:ascii="Times New Roman" w:hAnsi="Times New Roman" w:cs="Times New Roman"/>
          <w:sz w:val="26"/>
          <w:szCs w:val="26"/>
        </w:rPr>
        <w:br/>
        <w:t>Help leadership decide whether the business should focus more on growth, retention, monetization, market expansion, or risk reduction.</w:t>
      </w:r>
    </w:p>
    <w:p w14:paraId="2D6BC12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Expected KPIs:</w:t>
      </w:r>
      <w:r w:rsidRPr="001102C4">
        <w:rPr>
          <w:rFonts w:ascii="Times New Roman" w:hAnsi="Times New Roman" w:cs="Times New Roman"/>
          <w:sz w:val="26"/>
          <w:szCs w:val="26"/>
        </w:rPr>
        <w:br/>
        <w:t>MRR, ARPU, churn rate, active users, listening sessions, listening duration, paid users, free users, engagement trend.</w:t>
      </w:r>
    </w:p>
    <w:p w14:paraId="19DEFCE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Data needed:</w:t>
      </w:r>
      <w:r w:rsidRPr="001102C4">
        <w:rPr>
          <w:rFonts w:ascii="Times New Roman" w:hAnsi="Times New Roman" w:cs="Times New Roman"/>
          <w:sz w:val="26"/>
          <w:szCs w:val="26"/>
        </w:rPr>
        <w:br/>
        <w:t>Date table, subscription events, users, listening sessions, revenue fields, subscription plan fields.</w:t>
      </w:r>
    </w:p>
    <w:p w14:paraId="1A98A85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Risks / Follow-up:</w:t>
      </w:r>
      <w:r w:rsidRPr="001102C4">
        <w:rPr>
          <w:rFonts w:ascii="Times New Roman" w:hAnsi="Times New Roman" w:cs="Times New Roman"/>
          <w:sz w:val="26"/>
          <w:szCs w:val="26"/>
        </w:rPr>
        <w:br/>
        <w:t>Need to confirm how MRR, ARPU, churn, active users, and engagement are defined. Need to separate subscription MRR from session-level revenue.</w:t>
      </w:r>
    </w:p>
    <w:p w14:paraId="6D7F18E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66C33B02">
          <v:rect id="_x0000_i1107" style="width:0;height:1.5pt" o:hralign="center" o:hrstd="t" o:hr="t" fillcolor="#a0a0a0" stroked="f"/>
        </w:pict>
      </w:r>
    </w:p>
    <w:p w14:paraId="3FEC1796"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Business Question 2: Revenue Drivers and Revenue Leakage</w:t>
      </w:r>
    </w:p>
    <w:p w14:paraId="5F51A71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Question:</w:t>
      </w:r>
      <w:r w:rsidRPr="001102C4">
        <w:rPr>
          <w:rFonts w:ascii="Times New Roman" w:hAnsi="Times New Roman" w:cs="Times New Roman"/>
          <w:sz w:val="26"/>
          <w:szCs w:val="26"/>
        </w:rPr>
        <w:br/>
        <w:t>Which subscription tiers, countries, and cohorts drive the most revenue growth, and where is MRR being lost through churn or downgrades?</w:t>
      </w:r>
    </w:p>
    <w:p w14:paraId="5A83EFC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Simple meaning:</w:t>
      </w:r>
      <w:r w:rsidRPr="001102C4">
        <w:rPr>
          <w:rFonts w:ascii="Times New Roman" w:hAnsi="Times New Roman" w:cs="Times New Roman"/>
          <w:sz w:val="26"/>
          <w:szCs w:val="26"/>
        </w:rPr>
        <w:br/>
        <w:t>Tiền đến từ nhóm nào nhiều nhất, và tiền đang bị mất ở đâu?</w:t>
      </w:r>
    </w:p>
    <w:p w14:paraId="129277A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Why this question matters:</w:t>
      </w:r>
      <w:r w:rsidRPr="001102C4">
        <w:rPr>
          <w:rFonts w:ascii="Times New Roman" w:hAnsi="Times New Roman" w:cs="Times New Roman"/>
          <w:sz w:val="26"/>
          <w:szCs w:val="26"/>
        </w:rPr>
        <w:br/>
        <w:t>The business needs to know where revenue is coming from and where it is leaking. Total revenue alone is not enough. Stakeholders need to know which plans, countries, or user groups are contributing to growth and which ones are causing MRR loss.</w:t>
      </w:r>
    </w:p>
    <w:p w14:paraId="180499F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lastRenderedPageBreak/>
        <w:t>Decision supported:</w:t>
      </w:r>
      <w:r w:rsidRPr="001102C4">
        <w:rPr>
          <w:rFonts w:ascii="Times New Roman" w:hAnsi="Times New Roman" w:cs="Times New Roman"/>
          <w:sz w:val="26"/>
          <w:szCs w:val="26"/>
        </w:rPr>
        <w:br/>
        <w:t>Help the Revenue / Subscription Team decide which tiers, markets, or user cohorts should be prioritized, protected, or improved.</w:t>
      </w:r>
    </w:p>
    <w:p w14:paraId="03931B8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Expected KPIs:</w:t>
      </w:r>
      <w:r w:rsidRPr="001102C4">
        <w:rPr>
          <w:rFonts w:ascii="Times New Roman" w:hAnsi="Times New Roman" w:cs="Times New Roman"/>
          <w:sz w:val="26"/>
          <w:szCs w:val="26"/>
        </w:rPr>
        <w:br/>
        <w:t>Total MRR, net MRR change, expansion MRR, contraction MRR, churn revenue, ARPU, revenue by tier, revenue by country, upgrade count, downgrade count, churn event count.</w:t>
      </w:r>
    </w:p>
    <w:p w14:paraId="3D92F2F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Data needed:</w:t>
      </w:r>
      <w:r w:rsidRPr="001102C4">
        <w:rPr>
          <w:rFonts w:ascii="Times New Roman" w:hAnsi="Times New Roman" w:cs="Times New Roman"/>
          <w:sz w:val="26"/>
          <w:szCs w:val="26"/>
        </w:rPr>
        <w:br/>
        <w:t>Subscription events, subscription plans, users, countries, date table, MRR before, MRR after, MRR change, event type.</w:t>
      </w:r>
    </w:p>
    <w:p w14:paraId="4980A68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Risks / Follow-up:</w:t>
      </w:r>
      <w:r w:rsidRPr="001102C4">
        <w:rPr>
          <w:rFonts w:ascii="Times New Roman" w:hAnsi="Times New Roman" w:cs="Times New Roman"/>
          <w:sz w:val="26"/>
          <w:szCs w:val="26"/>
        </w:rPr>
        <w:br/>
        <w:t>Need to confirm the MRR logic. Need to understand whether revenue is measured at event level, session level, user level, or monthly level. Do not mix MRR with session-level revenue unless the definitions are clear.</w:t>
      </w:r>
    </w:p>
    <w:p w14:paraId="67827CD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6ABBAA3E">
          <v:rect id="_x0000_i1108" style="width:0;height:1.5pt" o:hralign="center" o:hrstd="t" o:hr="t" fillcolor="#a0a0a0" stroked="f"/>
        </w:pict>
      </w:r>
    </w:p>
    <w:p w14:paraId="13FC0320"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Business Question 3: Engagement and Churn Risk</w:t>
      </w:r>
    </w:p>
    <w:p w14:paraId="46108CE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Question:</w:t>
      </w:r>
      <w:r w:rsidRPr="001102C4">
        <w:rPr>
          <w:rFonts w:ascii="Times New Roman" w:hAnsi="Times New Roman" w:cs="Times New Roman"/>
          <w:sz w:val="26"/>
          <w:szCs w:val="26"/>
        </w:rPr>
        <w:br/>
        <w:t>What listening behaviours are associated with retention, churn, and conversion from free to paid?</w:t>
      </w:r>
    </w:p>
    <w:p w14:paraId="03F9A50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Simple meaning:</w:t>
      </w:r>
      <w:r w:rsidRPr="001102C4">
        <w:rPr>
          <w:rFonts w:ascii="Times New Roman" w:hAnsi="Times New Roman" w:cs="Times New Roman"/>
          <w:sz w:val="26"/>
          <w:szCs w:val="26"/>
        </w:rPr>
        <w:br/>
        <w:t>Cách user nghe nhạc có cho thấy ai sẽ ở lại, ai sẽ rời đi, hoặc ai có khả năng trả tiền không?</w:t>
      </w:r>
    </w:p>
    <w:p w14:paraId="1B3CB8B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Why this question matters:</w:t>
      </w:r>
      <w:r w:rsidRPr="001102C4">
        <w:rPr>
          <w:rFonts w:ascii="Times New Roman" w:hAnsi="Times New Roman" w:cs="Times New Roman"/>
          <w:sz w:val="26"/>
          <w:szCs w:val="26"/>
        </w:rPr>
        <w:br/>
        <w:t>For a music streaming platform, user engagement is a key signal of customer value. Users who listen often, listen longer, skip less, or discover new artists may behave differently from users who are about to churn. This question connects product usage with business outcomes.</w:t>
      </w:r>
    </w:p>
    <w:p w14:paraId="0387F12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Decision supported:</w:t>
      </w:r>
      <w:r w:rsidRPr="001102C4">
        <w:rPr>
          <w:rFonts w:ascii="Times New Roman" w:hAnsi="Times New Roman" w:cs="Times New Roman"/>
          <w:sz w:val="26"/>
          <w:szCs w:val="26"/>
        </w:rPr>
        <w:br/>
        <w:t>Help Retention, CRM, and Growth teams identify users or segments that may need retention campaigns or conversion campaigns.</w:t>
      </w:r>
    </w:p>
    <w:p w14:paraId="113BD58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Expected KPIs:</w:t>
      </w:r>
      <w:r w:rsidRPr="001102C4">
        <w:rPr>
          <w:rFonts w:ascii="Times New Roman" w:hAnsi="Times New Roman" w:cs="Times New Roman"/>
          <w:sz w:val="26"/>
          <w:szCs w:val="26"/>
        </w:rPr>
        <w:br/>
        <w:t xml:space="preserve">Listening sessions, listening duration, average session duration, skip rate, active days, </w:t>
      </w:r>
      <w:r w:rsidRPr="001102C4">
        <w:rPr>
          <w:rFonts w:ascii="Times New Roman" w:hAnsi="Times New Roman" w:cs="Times New Roman"/>
          <w:sz w:val="26"/>
          <w:szCs w:val="26"/>
        </w:rPr>
        <w:lastRenderedPageBreak/>
        <w:t>new artist discovery, sessions per user, churn rate by engagement level, free-to-paid conversion rate.</w:t>
      </w:r>
    </w:p>
    <w:p w14:paraId="3F7BDD9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Data needed:</w:t>
      </w:r>
      <w:r w:rsidRPr="001102C4">
        <w:rPr>
          <w:rFonts w:ascii="Times New Roman" w:hAnsi="Times New Roman" w:cs="Times New Roman"/>
          <w:sz w:val="26"/>
          <w:szCs w:val="26"/>
        </w:rPr>
        <w:br/>
        <w:t>Listening sessions, users, subscription events, subscription tier, date table, skip flag, duration fields, event type.</w:t>
      </w:r>
    </w:p>
    <w:p w14:paraId="0DF07DC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Risks / Follow-up:</w:t>
      </w:r>
      <w:r w:rsidRPr="001102C4">
        <w:rPr>
          <w:rFonts w:ascii="Times New Roman" w:hAnsi="Times New Roman" w:cs="Times New Roman"/>
          <w:sz w:val="26"/>
          <w:szCs w:val="26"/>
        </w:rPr>
        <w:br/>
        <w:t>Need to define “heavy user.” Need to confirm whether listening behaviour can be measured before churn or conversion events. Avoid claiming causation unless the analysis only supports association.</w:t>
      </w:r>
    </w:p>
    <w:p w14:paraId="5E166DF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3C7F09A7">
          <v:rect id="_x0000_i1109" style="width:0;height:1.5pt" o:hralign="center" o:hrstd="t" o:hr="t" fillcolor="#a0a0a0" stroked="f"/>
        </w:pict>
      </w:r>
    </w:p>
    <w:p w14:paraId="1D86B1A5"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Business Question 4: Content and Market Opportunity</w:t>
      </w:r>
    </w:p>
    <w:p w14:paraId="5359D0E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Question:</w:t>
      </w:r>
      <w:r w:rsidRPr="001102C4">
        <w:rPr>
          <w:rFonts w:ascii="Times New Roman" w:hAnsi="Times New Roman" w:cs="Times New Roman"/>
          <w:sz w:val="26"/>
          <w:szCs w:val="26"/>
        </w:rPr>
        <w:br/>
        <w:t>Which artists, tracks, genres, playlists, countries, and user segments over-index in engagement or revenue compared with the platform baseline?</w:t>
      </w:r>
    </w:p>
    <w:p w14:paraId="37AFC5B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Simple meaning:</w:t>
      </w:r>
      <w:r w:rsidRPr="001102C4">
        <w:rPr>
          <w:rFonts w:ascii="Times New Roman" w:hAnsi="Times New Roman" w:cs="Times New Roman"/>
          <w:sz w:val="26"/>
          <w:szCs w:val="26"/>
        </w:rPr>
        <w:br/>
        <w:t>Nội dung, thị trường, hoặc nhóm user nào đang nổi bật bất thường so với mức trung bình toàn nền tảng?</w:t>
      </w:r>
    </w:p>
    <w:p w14:paraId="6D42011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Why this question matters:</w:t>
      </w:r>
      <w:r w:rsidRPr="001102C4">
        <w:rPr>
          <w:rFonts w:ascii="Times New Roman" w:hAnsi="Times New Roman" w:cs="Times New Roman"/>
          <w:sz w:val="26"/>
          <w:szCs w:val="26"/>
        </w:rPr>
        <w:br/>
        <w:t>Top-N rankings may hide real opportunities. A country may not be the biggest market overall, but it may strongly over-index for a specific genre or playlist type. This can help the business make better content, marketing, and localization decisions.</w:t>
      </w:r>
    </w:p>
    <w:p w14:paraId="1830748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Decision supported:</w:t>
      </w:r>
      <w:r w:rsidRPr="001102C4">
        <w:rPr>
          <w:rFonts w:ascii="Times New Roman" w:hAnsi="Times New Roman" w:cs="Times New Roman"/>
          <w:sz w:val="26"/>
          <w:szCs w:val="26"/>
        </w:rPr>
        <w:br/>
        <w:t>Help Content, Product, and Marketing teams decide which genres, artists, playlists, markets, or audience segments deserve more investment or testing.</w:t>
      </w:r>
    </w:p>
    <w:p w14:paraId="15F2EFC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Expected KPIs:</w:t>
      </w:r>
      <w:r w:rsidRPr="001102C4">
        <w:rPr>
          <w:rFonts w:ascii="Times New Roman" w:hAnsi="Times New Roman" w:cs="Times New Roman"/>
          <w:sz w:val="26"/>
          <w:szCs w:val="26"/>
        </w:rPr>
        <w:br/>
        <w:t>Plays by artist, plays by track, plays by genre, listening duration by content, session revenue by content, content share, segment share, over-index score, recommended vs non-recommended performance.</w:t>
      </w:r>
    </w:p>
    <w:p w14:paraId="23E485F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Data needed:</w:t>
      </w:r>
      <w:r w:rsidRPr="001102C4">
        <w:rPr>
          <w:rFonts w:ascii="Times New Roman" w:hAnsi="Times New Roman" w:cs="Times New Roman"/>
          <w:sz w:val="26"/>
          <w:szCs w:val="26"/>
        </w:rPr>
        <w:br/>
        <w:t>Tracks, artists, genres, playlists, playlist-track bridge, countries, users, listening sessions, recommendation flag if available.</w:t>
      </w:r>
    </w:p>
    <w:p w14:paraId="10F55B0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lastRenderedPageBreak/>
        <w:t>Risks / Follow-up:</w:t>
      </w:r>
      <w:r w:rsidRPr="001102C4">
        <w:rPr>
          <w:rFonts w:ascii="Times New Roman" w:hAnsi="Times New Roman" w:cs="Times New Roman"/>
          <w:sz w:val="26"/>
          <w:szCs w:val="26"/>
        </w:rPr>
        <w:br/>
        <w:t>Need to use the playlist-track bridge carefully to avoid double counting. Need to compare content performance against a baseline, not only use top-N rankings. Need to watch out for small sample sizes when using over-index analysis.</w:t>
      </w:r>
    </w:p>
    <w:p w14:paraId="2FB2221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70A2328B">
          <v:rect id="_x0000_i1110" style="width:0;height:1.5pt" o:hralign="center" o:hrstd="t" o:hr="t" fillcolor="#a0a0a0" stroked="f"/>
        </w:pict>
      </w:r>
    </w:p>
    <w:p w14:paraId="5FD39510"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Business Question 5: Fraud, Anomaly, and Data Quality Risk</w:t>
      </w:r>
    </w:p>
    <w:p w14:paraId="530A818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Question:</w:t>
      </w:r>
      <w:r w:rsidRPr="001102C4">
        <w:rPr>
          <w:rFonts w:ascii="Times New Roman" w:hAnsi="Times New Roman" w:cs="Times New Roman"/>
          <w:sz w:val="26"/>
          <w:szCs w:val="26"/>
        </w:rPr>
        <w:br/>
        <w:t>How does the fraud-flagged segment behave differently from regular users, and what unusual patterns should the business investigate further?</w:t>
      </w:r>
    </w:p>
    <w:p w14:paraId="55189F9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Simple meaning:</w:t>
      </w:r>
      <w:r w:rsidRPr="001102C4">
        <w:rPr>
          <w:rFonts w:ascii="Times New Roman" w:hAnsi="Times New Roman" w:cs="Times New Roman"/>
          <w:sz w:val="26"/>
          <w:szCs w:val="26"/>
        </w:rPr>
        <w:br/>
        <w:t>Nhóm bị nghi ngờ gian lận có hành vi khác user bình thường không? Có pattern nào bất thường cần kiểm tra thêm không?</w:t>
      </w:r>
    </w:p>
    <w:p w14:paraId="2CAE50F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Why this question matters:</w:t>
      </w:r>
      <w:r w:rsidRPr="001102C4">
        <w:rPr>
          <w:rFonts w:ascii="Times New Roman" w:hAnsi="Times New Roman" w:cs="Times New Roman"/>
          <w:sz w:val="26"/>
          <w:szCs w:val="26"/>
        </w:rPr>
        <w:br/>
        <w:t>Fraud or suspicious activity may distort engagement metrics, revenue estimates, and content rankings. If abnormal users create excessive sessions or unusual revenue patterns, the business needs to separate real user behaviour from suspicious behaviour.</w:t>
      </w:r>
    </w:p>
    <w:p w14:paraId="36661FE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Decision supported:</w:t>
      </w:r>
      <w:r w:rsidRPr="001102C4">
        <w:rPr>
          <w:rFonts w:ascii="Times New Roman" w:hAnsi="Times New Roman" w:cs="Times New Roman"/>
          <w:sz w:val="26"/>
          <w:szCs w:val="26"/>
        </w:rPr>
        <w:br/>
        <w:t>Help Risk, Operations, and Leadership teams decide whether suspicious user segments should be investigated, monitored, or excluded from certain business performance views.</w:t>
      </w:r>
    </w:p>
    <w:p w14:paraId="06E1BB0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Expected KPIs:</w:t>
      </w:r>
      <w:r w:rsidRPr="001102C4">
        <w:rPr>
          <w:rFonts w:ascii="Times New Roman" w:hAnsi="Times New Roman" w:cs="Times New Roman"/>
          <w:sz w:val="26"/>
          <w:szCs w:val="26"/>
        </w:rPr>
        <w:br/>
        <w:t>Fraud user count, fraud listening volume, fraud session revenue, suspicious session count, average sessions per fraud user, fraud vs non-fraud engagement comparison.</w:t>
      </w:r>
    </w:p>
    <w:p w14:paraId="1CD0CF8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Data needed:</w:t>
      </w:r>
      <w:r w:rsidRPr="001102C4">
        <w:rPr>
          <w:rFonts w:ascii="Times New Roman" w:hAnsi="Times New Roman" w:cs="Times New Roman"/>
          <w:sz w:val="26"/>
          <w:szCs w:val="26"/>
        </w:rPr>
        <w:br/>
        <w:t>Users, listening sessions, fraud flag, session revenue fields, date table, content fields.</w:t>
      </w:r>
    </w:p>
    <w:p w14:paraId="11B6AC5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b/>
          <w:bCs/>
          <w:sz w:val="26"/>
          <w:szCs w:val="26"/>
        </w:rPr>
        <w:t>Risks / Follow-up:</w:t>
      </w:r>
      <w:r w:rsidRPr="001102C4">
        <w:rPr>
          <w:rFonts w:ascii="Times New Roman" w:hAnsi="Times New Roman" w:cs="Times New Roman"/>
          <w:sz w:val="26"/>
          <w:szCs w:val="26"/>
        </w:rPr>
        <w:br/>
        <w:t>Need to confirm what is_fraud_cluster means. Need to avoid accusing users of fraud without evidence. Use careful language such as “suspicious,” “anomalous,” or “requires further investigation.”</w:t>
      </w:r>
    </w:p>
    <w:p w14:paraId="27FF2D5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1979E766">
          <v:rect id="_x0000_i1111" style="width:0;height:1.5pt" o:hralign="center" o:hrstd="t" o:hr="t" fillcolor="#a0a0a0" stroked="f"/>
        </w:pict>
      </w:r>
    </w:p>
    <w:p w14:paraId="037B86B4"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6. KPI Candidate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836"/>
        <w:gridCol w:w="2674"/>
        <w:gridCol w:w="2323"/>
      </w:tblGrid>
      <w:tr w:rsidR="001102C4" w:rsidRPr="001102C4" w14:paraId="622FA2D3" w14:textId="77777777">
        <w:trPr>
          <w:tblHeader/>
          <w:tblCellSpacing w:w="15" w:type="dxa"/>
        </w:trPr>
        <w:tc>
          <w:tcPr>
            <w:tcW w:w="0" w:type="auto"/>
            <w:vAlign w:val="center"/>
            <w:hideMark/>
          </w:tcPr>
          <w:p w14:paraId="34EB52ED"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lastRenderedPageBreak/>
              <w:t>KPI</w:t>
            </w:r>
          </w:p>
        </w:tc>
        <w:tc>
          <w:tcPr>
            <w:tcW w:w="0" w:type="auto"/>
            <w:vAlign w:val="center"/>
            <w:hideMark/>
          </w:tcPr>
          <w:p w14:paraId="42D91607"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Business meaning</w:t>
            </w:r>
          </w:p>
        </w:tc>
        <w:tc>
          <w:tcPr>
            <w:tcW w:w="0" w:type="auto"/>
            <w:vAlign w:val="center"/>
            <w:hideMark/>
          </w:tcPr>
          <w:p w14:paraId="1D2EF2C5"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Possible fields needed</w:t>
            </w:r>
          </w:p>
        </w:tc>
        <w:tc>
          <w:tcPr>
            <w:tcW w:w="0" w:type="auto"/>
            <w:vAlign w:val="center"/>
            <w:hideMark/>
          </w:tcPr>
          <w:p w14:paraId="2D243C72"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Definition risk</w:t>
            </w:r>
          </w:p>
        </w:tc>
      </w:tr>
      <w:tr w:rsidR="001102C4" w:rsidRPr="001102C4" w14:paraId="6604D8AE" w14:textId="77777777">
        <w:trPr>
          <w:tblCellSpacing w:w="15" w:type="dxa"/>
        </w:trPr>
        <w:tc>
          <w:tcPr>
            <w:tcW w:w="0" w:type="auto"/>
            <w:vAlign w:val="center"/>
            <w:hideMark/>
          </w:tcPr>
          <w:p w14:paraId="5886687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w:t>
            </w:r>
          </w:p>
        </w:tc>
        <w:tc>
          <w:tcPr>
            <w:tcW w:w="0" w:type="auto"/>
            <w:vAlign w:val="center"/>
            <w:hideMark/>
          </w:tcPr>
          <w:p w14:paraId="3761B78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Measures recurring monthly subscription revenue</w:t>
            </w:r>
          </w:p>
        </w:tc>
        <w:tc>
          <w:tcPr>
            <w:tcW w:w="0" w:type="auto"/>
            <w:vAlign w:val="center"/>
            <w:hideMark/>
          </w:tcPr>
          <w:p w14:paraId="3ACB89C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before, MRR after, MRR change, event date, plan</w:t>
            </w:r>
          </w:p>
        </w:tc>
        <w:tc>
          <w:tcPr>
            <w:tcW w:w="0" w:type="auto"/>
            <w:vAlign w:val="center"/>
            <w:hideMark/>
          </w:tcPr>
          <w:p w14:paraId="2D71137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confirm formula and event logic</w:t>
            </w:r>
          </w:p>
        </w:tc>
      </w:tr>
      <w:tr w:rsidR="001102C4" w:rsidRPr="001102C4" w14:paraId="2B2A737F" w14:textId="77777777">
        <w:trPr>
          <w:tblCellSpacing w:w="15" w:type="dxa"/>
        </w:trPr>
        <w:tc>
          <w:tcPr>
            <w:tcW w:w="0" w:type="auto"/>
            <w:vAlign w:val="center"/>
            <w:hideMark/>
          </w:tcPr>
          <w:p w14:paraId="62F96F3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Net MRR Change</w:t>
            </w:r>
          </w:p>
        </w:tc>
        <w:tc>
          <w:tcPr>
            <w:tcW w:w="0" w:type="auto"/>
            <w:vAlign w:val="center"/>
            <w:hideMark/>
          </w:tcPr>
          <w:p w14:paraId="162D63C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Measures whether recurring revenue increased or decreased overall</w:t>
            </w:r>
          </w:p>
        </w:tc>
        <w:tc>
          <w:tcPr>
            <w:tcW w:w="0" w:type="auto"/>
            <w:vAlign w:val="center"/>
            <w:hideMark/>
          </w:tcPr>
          <w:p w14:paraId="665ABE3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change, event type, date</w:t>
            </w:r>
          </w:p>
        </w:tc>
        <w:tc>
          <w:tcPr>
            <w:tcW w:w="0" w:type="auto"/>
            <w:vAlign w:val="center"/>
            <w:hideMark/>
          </w:tcPr>
          <w:p w14:paraId="423FF86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separate expansion, contraction, churn</w:t>
            </w:r>
          </w:p>
        </w:tc>
      </w:tr>
      <w:tr w:rsidR="001102C4" w:rsidRPr="001102C4" w14:paraId="28F804AE" w14:textId="77777777">
        <w:trPr>
          <w:tblCellSpacing w:w="15" w:type="dxa"/>
        </w:trPr>
        <w:tc>
          <w:tcPr>
            <w:tcW w:w="0" w:type="auto"/>
            <w:vAlign w:val="center"/>
            <w:hideMark/>
          </w:tcPr>
          <w:p w14:paraId="169D995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Expansion MRR</w:t>
            </w:r>
          </w:p>
        </w:tc>
        <w:tc>
          <w:tcPr>
            <w:tcW w:w="0" w:type="auto"/>
            <w:vAlign w:val="center"/>
            <w:hideMark/>
          </w:tcPr>
          <w:p w14:paraId="370F8B8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gained from upgrades or plan expansion</w:t>
            </w:r>
          </w:p>
        </w:tc>
        <w:tc>
          <w:tcPr>
            <w:tcW w:w="0" w:type="auto"/>
            <w:vAlign w:val="center"/>
            <w:hideMark/>
          </w:tcPr>
          <w:p w14:paraId="6A68580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upgrade event, MRR before, MRR after</w:t>
            </w:r>
          </w:p>
        </w:tc>
        <w:tc>
          <w:tcPr>
            <w:tcW w:w="0" w:type="auto"/>
            <w:vAlign w:val="center"/>
            <w:hideMark/>
          </w:tcPr>
          <w:p w14:paraId="40055E1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confirm upgrade semantics</w:t>
            </w:r>
          </w:p>
        </w:tc>
      </w:tr>
      <w:tr w:rsidR="001102C4" w:rsidRPr="001102C4" w14:paraId="373A62E3" w14:textId="77777777">
        <w:trPr>
          <w:tblCellSpacing w:w="15" w:type="dxa"/>
        </w:trPr>
        <w:tc>
          <w:tcPr>
            <w:tcW w:w="0" w:type="auto"/>
            <w:vAlign w:val="center"/>
            <w:hideMark/>
          </w:tcPr>
          <w:p w14:paraId="4DD85D0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Contraction MRR</w:t>
            </w:r>
          </w:p>
        </w:tc>
        <w:tc>
          <w:tcPr>
            <w:tcW w:w="0" w:type="auto"/>
            <w:vAlign w:val="center"/>
            <w:hideMark/>
          </w:tcPr>
          <w:p w14:paraId="0074C86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lost from downgrades or plan reduction</w:t>
            </w:r>
          </w:p>
        </w:tc>
        <w:tc>
          <w:tcPr>
            <w:tcW w:w="0" w:type="auto"/>
            <w:vAlign w:val="center"/>
            <w:hideMark/>
          </w:tcPr>
          <w:p w14:paraId="1B3802F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downgrade event, MRR before, MRR after</w:t>
            </w:r>
          </w:p>
        </w:tc>
        <w:tc>
          <w:tcPr>
            <w:tcW w:w="0" w:type="auto"/>
            <w:vAlign w:val="center"/>
            <w:hideMark/>
          </w:tcPr>
          <w:p w14:paraId="4ED75DE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separate downgrade from churn</w:t>
            </w:r>
          </w:p>
        </w:tc>
      </w:tr>
      <w:tr w:rsidR="001102C4" w:rsidRPr="001102C4" w14:paraId="60F8D82C" w14:textId="77777777">
        <w:trPr>
          <w:tblCellSpacing w:w="15" w:type="dxa"/>
        </w:trPr>
        <w:tc>
          <w:tcPr>
            <w:tcW w:w="0" w:type="auto"/>
            <w:vAlign w:val="center"/>
            <w:hideMark/>
          </w:tcPr>
          <w:p w14:paraId="55F0794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Churn Revenue</w:t>
            </w:r>
          </w:p>
        </w:tc>
        <w:tc>
          <w:tcPr>
            <w:tcW w:w="0" w:type="auto"/>
            <w:vAlign w:val="center"/>
            <w:hideMark/>
          </w:tcPr>
          <w:p w14:paraId="0569785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lost when users churn</w:t>
            </w:r>
          </w:p>
        </w:tc>
        <w:tc>
          <w:tcPr>
            <w:tcW w:w="0" w:type="auto"/>
            <w:vAlign w:val="center"/>
            <w:hideMark/>
          </w:tcPr>
          <w:p w14:paraId="3A39F8B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churn event, MRR before, MRR change</w:t>
            </w:r>
          </w:p>
        </w:tc>
        <w:tc>
          <w:tcPr>
            <w:tcW w:w="0" w:type="auto"/>
            <w:vAlign w:val="center"/>
            <w:hideMark/>
          </w:tcPr>
          <w:p w14:paraId="5D0697C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define churn event clearly</w:t>
            </w:r>
          </w:p>
        </w:tc>
      </w:tr>
      <w:tr w:rsidR="001102C4" w:rsidRPr="001102C4" w14:paraId="01FAC4F2" w14:textId="77777777">
        <w:trPr>
          <w:tblCellSpacing w:w="15" w:type="dxa"/>
        </w:trPr>
        <w:tc>
          <w:tcPr>
            <w:tcW w:w="0" w:type="auto"/>
            <w:vAlign w:val="center"/>
            <w:hideMark/>
          </w:tcPr>
          <w:p w14:paraId="458A030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ARPU</w:t>
            </w:r>
          </w:p>
        </w:tc>
        <w:tc>
          <w:tcPr>
            <w:tcW w:w="0" w:type="auto"/>
            <w:vAlign w:val="center"/>
            <w:hideMark/>
          </w:tcPr>
          <w:p w14:paraId="5AA1E9D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Average revenue per user</w:t>
            </w:r>
          </w:p>
        </w:tc>
        <w:tc>
          <w:tcPr>
            <w:tcW w:w="0" w:type="auto"/>
            <w:vAlign w:val="center"/>
            <w:hideMark/>
          </w:tcPr>
          <w:p w14:paraId="1095E5C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total revenue, user count</w:t>
            </w:r>
          </w:p>
        </w:tc>
        <w:tc>
          <w:tcPr>
            <w:tcW w:w="0" w:type="auto"/>
            <w:vAlign w:val="center"/>
            <w:hideMark/>
          </w:tcPr>
          <w:p w14:paraId="619DE8D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define revenue type and user base</w:t>
            </w:r>
          </w:p>
        </w:tc>
      </w:tr>
      <w:tr w:rsidR="001102C4" w:rsidRPr="001102C4" w14:paraId="2BC0B3A9" w14:textId="77777777">
        <w:trPr>
          <w:tblCellSpacing w:w="15" w:type="dxa"/>
        </w:trPr>
        <w:tc>
          <w:tcPr>
            <w:tcW w:w="0" w:type="auto"/>
            <w:vAlign w:val="center"/>
            <w:hideMark/>
          </w:tcPr>
          <w:p w14:paraId="0C6231E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Churn Rate</w:t>
            </w:r>
          </w:p>
        </w:tc>
        <w:tc>
          <w:tcPr>
            <w:tcW w:w="0" w:type="auto"/>
            <w:vAlign w:val="center"/>
            <w:hideMark/>
          </w:tcPr>
          <w:p w14:paraId="2E2181C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Percentage of users who leave or cancel</w:t>
            </w:r>
          </w:p>
        </w:tc>
        <w:tc>
          <w:tcPr>
            <w:tcW w:w="0" w:type="auto"/>
            <w:vAlign w:val="center"/>
            <w:hideMark/>
          </w:tcPr>
          <w:p w14:paraId="567B85D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user_id, churn event, active user base, date</w:t>
            </w:r>
          </w:p>
        </w:tc>
        <w:tc>
          <w:tcPr>
            <w:tcW w:w="0" w:type="auto"/>
            <w:vAlign w:val="center"/>
            <w:hideMark/>
          </w:tcPr>
          <w:p w14:paraId="5BCB928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denominator definition</w:t>
            </w:r>
          </w:p>
        </w:tc>
      </w:tr>
      <w:tr w:rsidR="001102C4" w:rsidRPr="001102C4" w14:paraId="5DCF851D" w14:textId="77777777">
        <w:trPr>
          <w:tblCellSpacing w:w="15" w:type="dxa"/>
        </w:trPr>
        <w:tc>
          <w:tcPr>
            <w:tcW w:w="0" w:type="auto"/>
            <w:vAlign w:val="center"/>
            <w:hideMark/>
          </w:tcPr>
          <w:p w14:paraId="1AB92ED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Retention Rate</w:t>
            </w:r>
          </w:p>
        </w:tc>
        <w:tc>
          <w:tcPr>
            <w:tcW w:w="0" w:type="auto"/>
            <w:vAlign w:val="center"/>
            <w:hideMark/>
          </w:tcPr>
          <w:p w14:paraId="4D46BCC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Percentage of users who stay active or subscribed</w:t>
            </w:r>
          </w:p>
        </w:tc>
        <w:tc>
          <w:tcPr>
            <w:tcW w:w="0" w:type="auto"/>
            <w:vAlign w:val="center"/>
            <w:hideMark/>
          </w:tcPr>
          <w:p w14:paraId="2DC513D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active users, retained users, subscription status</w:t>
            </w:r>
          </w:p>
        </w:tc>
        <w:tc>
          <w:tcPr>
            <w:tcW w:w="0" w:type="auto"/>
            <w:vAlign w:val="center"/>
            <w:hideMark/>
          </w:tcPr>
          <w:p w14:paraId="7C97922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retention definition</w:t>
            </w:r>
          </w:p>
        </w:tc>
      </w:tr>
      <w:tr w:rsidR="001102C4" w:rsidRPr="001102C4" w14:paraId="46809EE5" w14:textId="77777777">
        <w:trPr>
          <w:tblCellSpacing w:w="15" w:type="dxa"/>
        </w:trPr>
        <w:tc>
          <w:tcPr>
            <w:tcW w:w="0" w:type="auto"/>
            <w:vAlign w:val="center"/>
            <w:hideMark/>
          </w:tcPr>
          <w:p w14:paraId="7D328F5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Active Users</w:t>
            </w:r>
          </w:p>
        </w:tc>
        <w:tc>
          <w:tcPr>
            <w:tcW w:w="0" w:type="auto"/>
            <w:vAlign w:val="center"/>
            <w:hideMark/>
          </w:tcPr>
          <w:p w14:paraId="17B2B6D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Users with activity in a period</w:t>
            </w:r>
          </w:p>
        </w:tc>
        <w:tc>
          <w:tcPr>
            <w:tcW w:w="0" w:type="auto"/>
            <w:vAlign w:val="center"/>
            <w:hideMark/>
          </w:tcPr>
          <w:p w14:paraId="3E1DC1E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user_id, session date or activity flag</w:t>
            </w:r>
          </w:p>
        </w:tc>
        <w:tc>
          <w:tcPr>
            <w:tcW w:w="0" w:type="auto"/>
            <w:vAlign w:val="center"/>
            <w:hideMark/>
          </w:tcPr>
          <w:p w14:paraId="16A4ACA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define what counts as active</w:t>
            </w:r>
          </w:p>
        </w:tc>
      </w:tr>
      <w:tr w:rsidR="001102C4" w:rsidRPr="001102C4" w14:paraId="5A68A076" w14:textId="77777777">
        <w:trPr>
          <w:tblCellSpacing w:w="15" w:type="dxa"/>
        </w:trPr>
        <w:tc>
          <w:tcPr>
            <w:tcW w:w="0" w:type="auto"/>
            <w:vAlign w:val="center"/>
            <w:hideMark/>
          </w:tcPr>
          <w:p w14:paraId="4F5C865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Listening Sessions</w:t>
            </w:r>
          </w:p>
        </w:tc>
        <w:tc>
          <w:tcPr>
            <w:tcW w:w="0" w:type="auto"/>
            <w:vAlign w:val="center"/>
            <w:hideMark/>
          </w:tcPr>
          <w:p w14:paraId="2B99A41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Volume of listening activity</w:t>
            </w:r>
          </w:p>
        </w:tc>
        <w:tc>
          <w:tcPr>
            <w:tcW w:w="0" w:type="auto"/>
            <w:vAlign w:val="center"/>
            <w:hideMark/>
          </w:tcPr>
          <w:p w14:paraId="40382DC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session_id, session date</w:t>
            </w:r>
          </w:p>
        </w:tc>
        <w:tc>
          <w:tcPr>
            <w:tcW w:w="0" w:type="auto"/>
            <w:vAlign w:val="center"/>
            <w:hideMark/>
          </w:tcPr>
          <w:p w14:paraId="464183C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confirm table grain</w:t>
            </w:r>
          </w:p>
        </w:tc>
      </w:tr>
      <w:tr w:rsidR="001102C4" w:rsidRPr="001102C4" w14:paraId="028B8162" w14:textId="77777777">
        <w:trPr>
          <w:tblCellSpacing w:w="15" w:type="dxa"/>
        </w:trPr>
        <w:tc>
          <w:tcPr>
            <w:tcW w:w="0" w:type="auto"/>
            <w:vAlign w:val="center"/>
            <w:hideMark/>
          </w:tcPr>
          <w:p w14:paraId="7AE0B9C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Listening Duration</w:t>
            </w:r>
          </w:p>
        </w:tc>
        <w:tc>
          <w:tcPr>
            <w:tcW w:w="0" w:type="auto"/>
            <w:vAlign w:val="center"/>
            <w:hideMark/>
          </w:tcPr>
          <w:p w14:paraId="1A445BF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Total or average time spent listening</w:t>
            </w:r>
          </w:p>
        </w:tc>
        <w:tc>
          <w:tcPr>
            <w:tcW w:w="0" w:type="auto"/>
            <w:vAlign w:val="center"/>
            <w:hideMark/>
          </w:tcPr>
          <w:p w14:paraId="4B87F33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duration field, session_id</w:t>
            </w:r>
          </w:p>
        </w:tc>
        <w:tc>
          <w:tcPr>
            <w:tcW w:w="0" w:type="auto"/>
            <w:vAlign w:val="center"/>
            <w:hideMark/>
          </w:tcPr>
          <w:p w14:paraId="398A1D1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handle outliers</w:t>
            </w:r>
          </w:p>
        </w:tc>
      </w:tr>
      <w:tr w:rsidR="001102C4" w:rsidRPr="001102C4" w14:paraId="6AD59FBA" w14:textId="77777777">
        <w:trPr>
          <w:tblCellSpacing w:w="15" w:type="dxa"/>
        </w:trPr>
        <w:tc>
          <w:tcPr>
            <w:tcW w:w="0" w:type="auto"/>
            <w:vAlign w:val="center"/>
            <w:hideMark/>
          </w:tcPr>
          <w:p w14:paraId="3CEF47A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lastRenderedPageBreak/>
              <w:t>Skip Rate</w:t>
            </w:r>
          </w:p>
        </w:tc>
        <w:tc>
          <w:tcPr>
            <w:tcW w:w="0" w:type="auto"/>
            <w:vAlign w:val="center"/>
            <w:hideMark/>
          </w:tcPr>
          <w:p w14:paraId="429C63E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Percentage of plays skipped</w:t>
            </w:r>
          </w:p>
        </w:tc>
        <w:tc>
          <w:tcPr>
            <w:tcW w:w="0" w:type="auto"/>
            <w:vAlign w:val="center"/>
            <w:hideMark/>
          </w:tcPr>
          <w:p w14:paraId="04B07E8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skip flag, total plays/sessions</w:t>
            </w:r>
          </w:p>
        </w:tc>
        <w:tc>
          <w:tcPr>
            <w:tcW w:w="0" w:type="auto"/>
            <w:vAlign w:val="center"/>
            <w:hideMark/>
          </w:tcPr>
          <w:p w14:paraId="01F338C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confirm skip field</w:t>
            </w:r>
          </w:p>
        </w:tc>
      </w:tr>
      <w:tr w:rsidR="001102C4" w:rsidRPr="001102C4" w14:paraId="622D084D" w14:textId="77777777">
        <w:trPr>
          <w:tblCellSpacing w:w="15" w:type="dxa"/>
        </w:trPr>
        <w:tc>
          <w:tcPr>
            <w:tcW w:w="0" w:type="auto"/>
            <w:vAlign w:val="center"/>
            <w:hideMark/>
          </w:tcPr>
          <w:p w14:paraId="205D8B5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Conversion Rate</w:t>
            </w:r>
          </w:p>
        </w:tc>
        <w:tc>
          <w:tcPr>
            <w:tcW w:w="0" w:type="auto"/>
            <w:vAlign w:val="center"/>
            <w:hideMark/>
          </w:tcPr>
          <w:p w14:paraId="3FB6B72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Percentage of free users becoming paid</w:t>
            </w:r>
          </w:p>
        </w:tc>
        <w:tc>
          <w:tcPr>
            <w:tcW w:w="0" w:type="auto"/>
            <w:vAlign w:val="center"/>
            <w:hideMark/>
          </w:tcPr>
          <w:p w14:paraId="5F9D68B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user_id, tier, event type, event date</w:t>
            </w:r>
          </w:p>
        </w:tc>
        <w:tc>
          <w:tcPr>
            <w:tcW w:w="0" w:type="auto"/>
            <w:vAlign w:val="center"/>
            <w:hideMark/>
          </w:tcPr>
          <w:p w14:paraId="34C7705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define conversion window</w:t>
            </w:r>
          </w:p>
        </w:tc>
      </w:tr>
      <w:tr w:rsidR="001102C4" w:rsidRPr="001102C4" w14:paraId="3585D849" w14:textId="77777777">
        <w:trPr>
          <w:tblCellSpacing w:w="15" w:type="dxa"/>
        </w:trPr>
        <w:tc>
          <w:tcPr>
            <w:tcW w:w="0" w:type="auto"/>
            <w:vAlign w:val="center"/>
            <w:hideMark/>
          </w:tcPr>
          <w:p w14:paraId="74A45E3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Over-index Score</w:t>
            </w:r>
          </w:p>
        </w:tc>
        <w:tc>
          <w:tcPr>
            <w:tcW w:w="0" w:type="auto"/>
            <w:vAlign w:val="center"/>
            <w:hideMark/>
          </w:tcPr>
          <w:p w14:paraId="60C05C6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Shows whether a segment is above baseline</w:t>
            </w:r>
          </w:p>
        </w:tc>
        <w:tc>
          <w:tcPr>
            <w:tcW w:w="0" w:type="auto"/>
            <w:vAlign w:val="center"/>
            <w:hideMark/>
          </w:tcPr>
          <w:p w14:paraId="4EA6644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segment share, global share</w:t>
            </w:r>
          </w:p>
        </w:tc>
        <w:tc>
          <w:tcPr>
            <w:tcW w:w="0" w:type="auto"/>
            <w:vAlign w:val="center"/>
            <w:hideMark/>
          </w:tcPr>
          <w:p w14:paraId="6062488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Small segments may mislead</w:t>
            </w:r>
          </w:p>
        </w:tc>
      </w:tr>
      <w:tr w:rsidR="001102C4" w:rsidRPr="001102C4" w14:paraId="00CAA008" w14:textId="77777777">
        <w:trPr>
          <w:tblCellSpacing w:w="15" w:type="dxa"/>
        </w:trPr>
        <w:tc>
          <w:tcPr>
            <w:tcW w:w="0" w:type="auto"/>
            <w:vAlign w:val="center"/>
            <w:hideMark/>
          </w:tcPr>
          <w:p w14:paraId="6AC72F8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Fraud Cluster Share</w:t>
            </w:r>
          </w:p>
        </w:tc>
        <w:tc>
          <w:tcPr>
            <w:tcW w:w="0" w:type="auto"/>
            <w:vAlign w:val="center"/>
            <w:hideMark/>
          </w:tcPr>
          <w:p w14:paraId="7678158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Share of activity from fraud-flagged users</w:t>
            </w:r>
          </w:p>
        </w:tc>
        <w:tc>
          <w:tcPr>
            <w:tcW w:w="0" w:type="auto"/>
            <w:vAlign w:val="center"/>
            <w:hideMark/>
          </w:tcPr>
          <w:p w14:paraId="77DFC0A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fraud flag, sessions, revenue</w:t>
            </w:r>
          </w:p>
        </w:tc>
        <w:tc>
          <w:tcPr>
            <w:tcW w:w="0" w:type="auto"/>
            <w:vAlign w:val="center"/>
            <w:hideMark/>
          </w:tcPr>
          <w:p w14:paraId="5DEDA47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 to confirm fraud flag meaning</w:t>
            </w:r>
          </w:p>
        </w:tc>
      </w:tr>
    </w:tbl>
    <w:p w14:paraId="7869F49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74AEF2EB">
          <v:rect id="_x0000_i1112" style="width:0;height:1.5pt" o:hralign="center" o:hrstd="t" o:hr="t" fillcolor="#a0a0a0" stroked="f"/>
        </w:pict>
      </w:r>
    </w:p>
    <w:p w14:paraId="13DA6DEE"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7. Assumption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2976"/>
        <w:gridCol w:w="2674"/>
        <w:gridCol w:w="1228"/>
        <w:gridCol w:w="1959"/>
      </w:tblGrid>
      <w:tr w:rsidR="001102C4" w:rsidRPr="001102C4" w14:paraId="2E025D2B" w14:textId="77777777">
        <w:trPr>
          <w:tblHeader/>
          <w:tblCellSpacing w:w="15" w:type="dxa"/>
        </w:trPr>
        <w:tc>
          <w:tcPr>
            <w:tcW w:w="0" w:type="auto"/>
            <w:vAlign w:val="center"/>
            <w:hideMark/>
          </w:tcPr>
          <w:p w14:paraId="3DB7ED59"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w:t>
            </w:r>
          </w:p>
        </w:tc>
        <w:tc>
          <w:tcPr>
            <w:tcW w:w="0" w:type="auto"/>
            <w:vAlign w:val="center"/>
            <w:hideMark/>
          </w:tcPr>
          <w:p w14:paraId="5419376A"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Assumption</w:t>
            </w:r>
          </w:p>
        </w:tc>
        <w:tc>
          <w:tcPr>
            <w:tcW w:w="0" w:type="auto"/>
            <w:vAlign w:val="center"/>
            <w:hideMark/>
          </w:tcPr>
          <w:p w14:paraId="666FAD4E"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Why it matters</w:t>
            </w:r>
          </w:p>
        </w:tc>
        <w:tc>
          <w:tcPr>
            <w:tcW w:w="0" w:type="auto"/>
            <w:vAlign w:val="center"/>
            <w:hideMark/>
          </w:tcPr>
          <w:p w14:paraId="65587455"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Status</w:t>
            </w:r>
          </w:p>
        </w:tc>
        <w:tc>
          <w:tcPr>
            <w:tcW w:w="0" w:type="auto"/>
            <w:vAlign w:val="center"/>
            <w:hideMark/>
          </w:tcPr>
          <w:p w14:paraId="0D73C968"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How to validate</w:t>
            </w:r>
          </w:p>
        </w:tc>
      </w:tr>
      <w:tr w:rsidR="001102C4" w:rsidRPr="001102C4" w14:paraId="770DAB6D" w14:textId="77777777">
        <w:trPr>
          <w:tblCellSpacing w:w="15" w:type="dxa"/>
        </w:trPr>
        <w:tc>
          <w:tcPr>
            <w:tcW w:w="0" w:type="auto"/>
            <w:vAlign w:val="center"/>
            <w:hideMark/>
          </w:tcPr>
          <w:p w14:paraId="2BBD11E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A1</w:t>
            </w:r>
          </w:p>
        </w:tc>
        <w:tc>
          <w:tcPr>
            <w:tcW w:w="0" w:type="auto"/>
            <w:vAlign w:val="center"/>
            <w:hideMark/>
          </w:tcPr>
          <w:p w14:paraId="0F6508F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MRR is based on subscription events, not listening sessions</w:t>
            </w:r>
          </w:p>
        </w:tc>
        <w:tc>
          <w:tcPr>
            <w:tcW w:w="0" w:type="auto"/>
            <w:vAlign w:val="center"/>
            <w:hideMark/>
          </w:tcPr>
          <w:p w14:paraId="3214AB3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Avoid mixing recurring revenue with session-level revenue</w:t>
            </w:r>
          </w:p>
        </w:tc>
        <w:tc>
          <w:tcPr>
            <w:tcW w:w="0" w:type="auto"/>
            <w:vAlign w:val="center"/>
            <w:hideMark/>
          </w:tcPr>
          <w:p w14:paraId="5DFA2B0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6150E27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data dictionary</w:t>
            </w:r>
          </w:p>
        </w:tc>
      </w:tr>
      <w:tr w:rsidR="001102C4" w:rsidRPr="001102C4" w14:paraId="54D888EB" w14:textId="77777777">
        <w:trPr>
          <w:tblCellSpacing w:w="15" w:type="dxa"/>
        </w:trPr>
        <w:tc>
          <w:tcPr>
            <w:tcW w:w="0" w:type="auto"/>
            <w:vAlign w:val="center"/>
            <w:hideMark/>
          </w:tcPr>
          <w:p w14:paraId="6276628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A2</w:t>
            </w:r>
          </w:p>
        </w:tc>
        <w:tc>
          <w:tcPr>
            <w:tcW w:w="0" w:type="auto"/>
            <w:vAlign w:val="center"/>
            <w:hideMark/>
          </w:tcPr>
          <w:p w14:paraId="72AE4DC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One row in listening sessions represents one listening session</w:t>
            </w:r>
          </w:p>
        </w:tc>
        <w:tc>
          <w:tcPr>
            <w:tcW w:w="0" w:type="auto"/>
            <w:vAlign w:val="center"/>
            <w:hideMark/>
          </w:tcPr>
          <w:p w14:paraId="23EA8D6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Determines how to count sessions and duration</w:t>
            </w:r>
          </w:p>
        </w:tc>
        <w:tc>
          <w:tcPr>
            <w:tcW w:w="0" w:type="auto"/>
            <w:vAlign w:val="center"/>
            <w:hideMark/>
          </w:tcPr>
          <w:p w14:paraId="783EA42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162CEEF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table grain</w:t>
            </w:r>
          </w:p>
        </w:tc>
      </w:tr>
      <w:tr w:rsidR="001102C4" w:rsidRPr="001102C4" w14:paraId="4D6A3F7A" w14:textId="77777777">
        <w:trPr>
          <w:tblCellSpacing w:w="15" w:type="dxa"/>
        </w:trPr>
        <w:tc>
          <w:tcPr>
            <w:tcW w:w="0" w:type="auto"/>
            <w:vAlign w:val="center"/>
            <w:hideMark/>
          </w:tcPr>
          <w:p w14:paraId="12097DA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A3</w:t>
            </w:r>
          </w:p>
        </w:tc>
        <w:tc>
          <w:tcPr>
            <w:tcW w:w="0" w:type="auto"/>
            <w:vAlign w:val="center"/>
            <w:hideMark/>
          </w:tcPr>
          <w:p w14:paraId="112576A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One row in subscription events represents one lifecycle event</w:t>
            </w:r>
          </w:p>
        </w:tc>
        <w:tc>
          <w:tcPr>
            <w:tcW w:w="0" w:type="auto"/>
            <w:vAlign w:val="center"/>
            <w:hideMark/>
          </w:tcPr>
          <w:p w14:paraId="6545FDD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Important for signup, upgrade, downgrade, churn analysis</w:t>
            </w:r>
          </w:p>
        </w:tc>
        <w:tc>
          <w:tcPr>
            <w:tcW w:w="0" w:type="auto"/>
            <w:vAlign w:val="center"/>
            <w:hideMark/>
          </w:tcPr>
          <w:p w14:paraId="4927459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02A6A08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subscription event table</w:t>
            </w:r>
          </w:p>
        </w:tc>
      </w:tr>
      <w:tr w:rsidR="001102C4" w:rsidRPr="001102C4" w14:paraId="42D30642" w14:textId="77777777">
        <w:trPr>
          <w:tblCellSpacing w:w="15" w:type="dxa"/>
        </w:trPr>
        <w:tc>
          <w:tcPr>
            <w:tcW w:w="0" w:type="auto"/>
            <w:vAlign w:val="center"/>
            <w:hideMark/>
          </w:tcPr>
          <w:p w14:paraId="001207A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A4</w:t>
            </w:r>
          </w:p>
        </w:tc>
        <w:tc>
          <w:tcPr>
            <w:tcW w:w="0" w:type="auto"/>
            <w:vAlign w:val="center"/>
            <w:hideMark/>
          </w:tcPr>
          <w:p w14:paraId="4EBBBA4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Churn is represented as a subscription event or status</w:t>
            </w:r>
          </w:p>
        </w:tc>
        <w:tc>
          <w:tcPr>
            <w:tcW w:w="0" w:type="auto"/>
            <w:vAlign w:val="center"/>
            <w:hideMark/>
          </w:tcPr>
          <w:p w14:paraId="12E6FDC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Needed for churn rate and churn revenue</w:t>
            </w:r>
          </w:p>
        </w:tc>
        <w:tc>
          <w:tcPr>
            <w:tcW w:w="0" w:type="auto"/>
            <w:vAlign w:val="center"/>
            <w:hideMark/>
          </w:tcPr>
          <w:p w14:paraId="42A1BE2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52091E0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event semantics</w:t>
            </w:r>
          </w:p>
        </w:tc>
      </w:tr>
      <w:tr w:rsidR="001102C4" w:rsidRPr="001102C4" w14:paraId="71D5E4E9" w14:textId="77777777">
        <w:trPr>
          <w:tblCellSpacing w:w="15" w:type="dxa"/>
        </w:trPr>
        <w:tc>
          <w:tcPr>
            <w:tcW w:w="0" w:type="auto"/>
            <w:vAlign w:val="center"/>
            <w:hideMark/>
          </w:tcPr>
          <w:p w14:paraId="34A3DF8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A5</w:t>
            </w:r>
          </w:p>
        </w:tc>
        <w:tc>
          <w:tcPr>
            <w:tcW w:w="0" w:type="auto"/>
            <w:vAlign w:val="center"/>
            <w:hideMark/>
          </w:tcPr>
          <w:p w14:paraId="0DC317C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ARPU should use a clearly defined revenue numerator and user denominator</w:t>
            </w:r>
          </w:p>
        </w:tc>
        <w:tc>
          <w:tcPr>
            <w:tcW w:w="0" w:type="auto"/>
            <w:vAlign w:val="center"/>
            <w:hideMark/>
          </w:tcPr>
          <w:p w14:paraId="10752AE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Avoid inconsistent ARPU calculation</w:t>
            </w:r>
          </w:p>
        </w:tc>
        <w:tc>
          <w:tcPr>
            <w:tcW w:w="0" w:type="auto"/>
            <w:vAlign w:val="center"/>
            <w:hideMark/>
          </w:tcPr>
          <w:p w14:paraId="79FBBD6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499EF2D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KPI definitions</w:t>
            </w:r>
          </w:p>
        </w:tc>
      </w:tr>
      <w:tr w:rsidR="001102C4" w:rsidRPr="001102C4" w14:paraId="2B338633" w14:textId="77777777" w:rsidTr="001102C4">
        <w:trPr>
          <w:tblCellSpacing w:w="15" w:type="dxa"/>
        </w:trPr>
        <w:tc>
          <w:tcPr>
            <w:tcW w:w="0" w:type="auto"/>
            <w:vAlign w:val="center"/>
            <w:hideMark/>
          </w:tcPr>
          <w:p w14:paraId="35BBA63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lastRenderedPageBreak/>
              <w:t>A6</w:t>
            </w:r>
          </w:p>
        </w:tc>
        <w:tc>
          <w:tcPr>
            <w:tcW w:w="0" w:type="auto"/>
            <w:vAlign w:val="center"/>
            <w:hideMark/>
          </w:tcPr>
          <w:p w14:paraId="7AE3A73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Free and paid users can be identified through subscription tier or plan</w:t>
            </w:r>
          </w:p>
        </w:tc>
        <w:tc>
          <w:tcPr>
            <w:tcW w:w="0" w:type="auto"/>
            <w:vAlign w:val="center"/>
            <w:hideMark/>
          </w:tcPr>
          <w:p w14:paraId="0A9243F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Needed for conversion analysis</w:t>
            </w:r>
          </w:p>
        </w:tc>
        <w:tc>
          <w:tcPr>
            <w:tcW w:w="0" w:type="auto"/>
            <w:tcBorders>
              <w:right w:val="single" w:sz="4" w:space="0" w:color="auto"/>
            </w:tcBorders>
            <w:vAlign w:val="center"/>
            <w:hideMark/>
          </w:tcPr>
          <w:p w14:paraId="28463F1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29EE049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user and subscription plan fields</w:t>
            </w:r>
          </w:p>
        </w:tc>
      </w:tr>
      <w:tr w:rsidR="001102C4" w:rsidRPr="001102C4" w14:paraId="37AF6A09" w14:textId="77777777">
        <w:trPr>
          <w:tblCellSpacing w:w="15" w:type="dxa"/>
        </w:trPr>
        <w:tc>
          <w:tcPr>
            <w:tcW w:w="0" w:type="auto"/>
            <w:vAlign w:val="center"/>
            <w:hideMark/>
          </w:tcPr>
          <w:p w14:paraId="72B02ED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A7</w:t>
            </w:r>
          </w:p>
        </w:tc>
        <w:tc>
          <w:tcPr>
            <w:tcW w:w="0" w:type="auto"/>
            <w:vAlign w:val="center"/>
            <w:hideMark/>
          </w:tcPr>
          <w:p w14:paraId="6C01BF8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Fraud users are identified by an is_fraud_cluster field</w:t>
            </w:r>
          </w:p>
        </w:tc>
        <w:tc>
          <w:tcPr>
            <w:tcW w:w="0" w:type="auto"/>
            <w:vAlign w:val="center"/>
            <w:hideMark/>
          </w:tcPr>
          <w:p w14:paraId="1A1E6F2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Needed for risk analysis</w:t>
            </w:r>
          </w:p>
        </w:tc>
        <w:tc>
          <w:tcPr>
            <w:tcW w:w="0" w:type="auto"/>
            <w:vAlign w:val="center"/>
            <w:hideMark/>
          </w:tcPr>
          <w:p w14:paraId="1C9AC01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77C7666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data dictionary</w:t>
            </w:r>
          </w:p>
        </w:tc>
      </w:tr>
      <w:tr w:rsidR="001102C4" w:rsidRPr="001102C4" w14:paraId="6E010795" w14:textId="77777777">
        <w:trPr>
          <w:tblCellSpacing w:w="15" w:type="dxa"/>
        </w:trPr>
        <w:tc>
          <w:tcPr>
            <w:tcW w:w="0" w:type="auto"/>
            <w:vAlign w:val="center"/>
            <w:hideMark/>
          </w:tcPr>
          <w:p w14:paraId="5F83AA2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A8</w:t>
            </w:r>
          </w:p>
        </w:tc>
        <w:tc>
          <w:tcPr>
            <w:tcW w:w="0" w:type="auto"/>
            <w:vAlign w:val="center"/>
            <w:hideMark/>
          </w:tcPr>
          <w:p w14:paraId="592417B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Playlist-track bridge creates many-to-many relationships</w:t>
            </w:r>
          </w:p>
        </w:tc>
        <w:tc>
          <w:tcPr>
            <w:tcW w:w="0" w:type="auto"/>
            <w:vAlign w:val="center"/>
            <w:hideMark/>
          </w:tcPr>
          <w:p w14:paraId="58AF07D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Important for avoiding double counting</w:t>
            </w:r>
          </w:p>
        </w:tc>
        <w:tc>
          <w:tcPr>
            <w:tcW w:w="0" w:type="auto"/>
            <w:vAlign w:val="center"/>
            <w:hideMark/>
          </w:tcPr>
          <w:p w14:paraId="4DCBE78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227E9AB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Review data model</w:t>
            </w:r>
          </w:p>
        </w:tc>
      </w:tr>
      <w:tr w:rsidR="001102C4" w:rsidRPr="001102C4" w14:paraId="7E5F4B71" w14:textId="77777777">
        <w:trPr>
          <w:tblCellSpacing w:w="15" w:type="dxa"/>
        </w:trPr>
        <w:tc>
          <w:tcPr>
            <w:tcW w:w="0" w:type="auto"/>
            <w:vAlign w:val="center"/>
            <w:hideMark/>
          </w:tcPr>
          <w:p w14:paraId="388CE16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A9</w:t>
            </w:r>
          </w:p>
        </w:tc>
        <w:tc>
          <w:tcPr>
            <w:tcW w:w="0" w:type="auto"/>
            <w:vAlign w:val="center"/>
            <w:hideMark/>
          </w:tcPr>
          <w:p w14:paraId="0FB10E0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Date dimension should connect to session dates and event dates carefully</w:t>
            </w:r>
          </w:p>
        </w:tc>
        <w:tc>
          <w:tcPr>
            <w:tcW w:w="0" w:type="auto"/>
            <w:vAlign w:val="center"/>
            <w:hideMark/>
          </w:tcPr>
          <w:p w14:paraId="16731C6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Needed for monthly/weekly trend analysis</w:t>
            </w:r>
          </w:p>
        </w:tc>
        <w:tc>
          <w:tcPr>
            <w:tcW w:w="0" w:type="auto"/>
            <w:vAlign w:val="center"/>
            <w:hideMark/>
          </w:tcPr>
          <w:p w14:paraId="59162FD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4335B4A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date relationships</w:t>
            </w:r>
          </w:p>
        </w:tc>
      </w:tr>
      <w:tr w:rsidR="001102C4" w:rsidRPr="001102C4" w14:paraId="32CCDA0C" w14:textId="77777777">
        <w:trPr>
          <w:tblCellSpacing w:w="15" w:type="dxa"/>
        </w:trPr>
        <w:tc>
          <w:tcPr>
            <w:tcW w:w="0" w:type="auto"/>
            <w:vAlign w:val="center"/>
            <w:hideMark/>
          </w:tcPr>
          <w:p w14:paraId="28DE2EC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A10</w:t>
            </w:r>
          </w:p>
        </w:tc>
        <w:tc>
          <w:tcPr>
            <w:tcW w:w="0" w:type="auto"/>
            <w:vAlign w:val="center"/>
            <w:hideMark/>
          </w:tcPr>
          <w:p w14:paraId="6EB5648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Recommended tracks may be identified by a flag</w:t>
            </w:r>
          </w:p>
        </w:tc>
        <w:tc>
          <w:tcPr>
            <w:tcW w:w="0" w:type="auto"/>
            <w:vAlign w:val="center"/>
            <w:hideMark/>
          </w:tcPr>
          <w:p w14:paraId="3FDE7FE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Needed for recommendation performance analysis</w:t>
            </w:r>
          </w:p>
        </w:tc>
        <w:tc>
          <w:tcPr>
            <w:tcW w:w="0" w:type="auto"/>
            <w:vAlign w:val="center"/>
            <w:hideMark/>
          </w:tcPr>
          <w:p w14:paraId="55DCF03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Not confirmed</w:t>
            </w:r>
          </w:p>
        </w:tc>
        <w:tc>
          <w:tcPr>
            <w:tcW w:w="0" w:type="auto"/>
            <w:vAlign w:val="center"/>
            <w:hideMark/>
          </w:tcPr>
          <w:p w14:paraId="17F87C7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Check track/session fields</w:t>
            </w:r>
          </w:p>
        </w:tc>
      </w:tr>
    </w:tbl>
    <w:p w14:paraId="77D5C3E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76AA0A6B">
          <v:rect id="_x0000_i1113" style="width:0;height:1.5pt" o:hralign="center" o:hrstd="t" o:hr="t" fillcolor="#a0a0a0" stroked="f"/>
        </w:pict>
      </w:r>
    </w:p>
    <w:p w14:paraId="5EC8F13F"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8. Risk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2945"/>
        <w:gridCol w:w="3264"/>
        <w:gridCol w:w="2642"/>
      </w:tblGrid>
      <w:tr w:rsidR="001102C4" w:rsidRPr="001102C4" w14:paraId="518702BD" w14:textId="77777777">
        <w:trPr>
          <w:tblHeader/>
          <w:tblCellSpacing w:w="15" w:type="dxa"/>
        </w:trPr>
        <w:tc>
          <w:tcPr>
            <w:tcW w:w="0" w:type="auto"/>
            <w:vAlign w:val="center"/>
            <w:hideMark/>
          </w:tcPr>
          <w:p w14:paraId="5DDBDB9F"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w:t>
            </w:r>
          </w:p>
        </w:tc>
        <w:tc>
          <w:tcPr>
            <w:tcW w:w="0" w:type="auto"/>
            <w:vAlign w:val="center"/>
            <w:hideMark/>
          </w:tcPr>
          <w:p w14:paraId="56854584"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Risk</w:t>
            </w:r>
          </w:p>
        </w:tc>
        <w:tc>
          <w:tcPr>
            <w:tcW w:w="0" w:type="auto"/>
            <w:vAlign w:val="center"/>
            <w:hideMark/>
          </w:tcPr>
          <w:p w14:paraId="51C8C23A"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Why it is risky</w:t>
            </w:r>
          </w:p>
        </w:tc>
        <w:tc>
          <w:tcPr>
            <w:tcW w:w="0" w:type="auto"/>
            <w:vAlign w:val="center"/>
            <w:hideMark/>
          </w:tcPr>
          <w:p w14:paraId="1DD00CC7"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Prevention</w:t>
            </w:r>
          </w:p>
        </w:tc>
      </w:tr>
      <w:tr w:rsidR="001102C4" w:rsidRPr="001102C4" w14:paraId="4DB0A338" w14:textId="77777777">
        <w:trPr>
          <w:tblCellSpacing w:w="15" w:type="dxa"/>
        </w:trPr>
        <w:tc>
          <w:tcPr>
            <w:tcW w:w="0" w:type="auto"/>
            <w:vAlign w:val="center"/>
            <w:hideMark/>
          </w:tcPr>
          <w:p w14:paraId="4380DB5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R1</w:t>
            </w:r>
          </w:p>
        </w:tc>
        <w:tc>
          <w:tcPr>
            <w:tcW w:w="0" w:type="auto"/>
            <w:vAlign w:val="center"/>
            <w:hideMark/>
          </w:tcPr>
          <w:p w14:paraId="416B417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Double counting users after joining users to listening sessions</w:t>
            </w:r>
          </w:p>
        </w:tc>
        <w:tc>
          <w:tcPr>
            <w:tcW w:w="0" w:type="auto"/>
            <w:vAlign w:val="center"/>
            <w:hideMark/>
          </w:tcPr>
          <w:p w14:paraId="4ABA65A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One user may have many sessions</w:t>
            </w:r>
          </w:p>
        </w:tc>
        <w:tc>
          <w:tcPr>
            <w:tcW w:w="0" w:type="auto"/>
            <w:vAlign w:val="center"/>
            <w:hideMark/>
          </w:tcPr>
          <w:p w14:paraId="6BDB0DE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 distinct count for users</w:t>
            </w:r>
          </w:p>
        </w:tc>
      </w:tr>
      <w:tr w:rsidR="001102C4" w:rsidRPr="001102C4" w14:paraId="22BE8D14" w14:textId="77777777">
        <w:trPr>
          <w:tblCellSpacing w:w="15" w:type="dxa"/>
        </w:trPr>
        <w:tc>
          <w:tcPr>
            <w:tcW w:w="0" w:type="auto"/>
            <w:vAlign w:val="center"/>
            <w:hideMark/>
          </w:tcPr>
          <w:p w14:paraId="0C72689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R2</w:t>
            </w:r>
          </w:p>
        </w:tc>
        <w:tc>
          <w:tcPr>
            <w:tcW w:w="0" w:type="auto"/>
            <w:vAlign w:val="center"/>
            <w:hideMark/>
          </w:tcPr>
          <w:p w14:paraId="1C23737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Double counting revenue after joining subscription events to listening sessions</w:t>
            </w:r>
          </w:p>
        </w:tc>
        <w:tc>
          <w:tcPr>
            <w:tcW w:w="0" w:type="auto"/>
            <w:vAlign w:val="center"/>
            <w:hideMark/>
          </w:tcPr>
          <w:p w14:paraId="1711C42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Subscription events and sessions have different grains</w:t>
            </w:r>
          </w:p>
        </w:tc>
        <w:tc>
          <w:tcPr>
            <w:tcW w:w="0" w:type="auto"/>
            <w:vAlign w:val="center"/>
            <w:hideMark/>
          </w:tcPr>
          <w:p w14:paraId="1F9E9B7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Keep MRR and session revenue analysis separate</w:t>
            </w:r>
          </w:p>
        </w:tc>
      </w:tr>
      <w:tr w:rsidR="001102C4" w:rsidRPr="001102C4" w14:paraId="16119CED" w14:textId="77777777">
        <w:trPr>
          <w:tblCellSpacing w:w="15" w:type="dxa"/>
        </w:trPr>
        <w:tc>
          <w:tcPr>
            <w:tcW w:w="0" w:type="auto"/>
            <w:vAlign w:val="center"/>
            <w:hideMark/>
          </w:tcPr>
          <w:p w14:paraId="03370D3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R3</w:t>
            </w:r>
          </w:p>
        </w:tc>
        <w:tc>
          <w:tcPr>
            <w:tcW w:w="0" w:type="auto"/>
            <w:vAlign w:val="center"/>
            <w:hideMark/>
          </w:tcPr>
          <w:p w14:paraId="72038FE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Misusing playlist-track bridge</w:t>
            </w:r>
          </w:p>
        </w:tc>
        <w:tc>
          <w:tcPr>
            <w:tcW w:w="0" w:type="auto"/>
            <w:vAlign w:val="center"/>
            <w:hideMark/>
          </w:tcPr>
          <w:p w14:paraId="0DB3D03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One track can belong to multiple playlists, causing duplicated streams/revenue</w:t>
            </w:r>
          </w:p>
        </w:tc>
        <w:tc>
          <w:tcPr>
            <w:tcW w:w="0" w:type="auto"/>
            <w:vAlign w:val="center"/>
            <w:hideMark/>
          </w:tcPr>
          <w:p w14:paraId="46466807"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Understand bridge logic before playlist analysis</w:t>
            </w:r>
          </w:p>
        </w:tc>
      </w:tr>
      <w:tr w:rsidR="001102C4" w:rsidRPr="001102C4" w14:paraId="4B537888" w14:textId="77777777">
        <w:trPr>
          <w:tblCellSpacing w:w="15" w:type="dxa"/>
        </w:trPr>
        <w:tc>
          <w:tcPr>
            <w:tcW w:w="0" w:type="auto"/>
            <w:vAlign w:val="center"/>
            <w:hideMark/>
          </w:tcPr>
          <w:p w14:paraId="3CBDF56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R4</w:t>
            </w:r>
          </w:p>
        </w:tc>
        <w:tc>
          <w:tcPr>
            <w:tcW w:w="0" w:type="auto"/>
            <w:vAlign w:val="center"/>
            <w:hideMark/>
          </w:tcPr>
          <w:p w14:paraId="5E7C714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Mixing MRR with session-level revenue</w:t>
            </w:r>
          </w:p>
        </w:tc>
        <w:tc>
          <w:tcPr>
            <w:tcW w:w="0" w:type="auto"/>
            <w:vAlign w:val="center"/>
            <w:hideMark/>
          </w:tcPr>
          <w:p w14:paraId="6713344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They may represent different revenue concepts</w:t>
            </w:r>
          </w:p>
        </w:tc>
        <w:tc>
          <w:tcPr>
            <w:tcW w:w="0" w:type="auto"/>
            <w:vAlign w:val="center"/>
            <w:hideMark/>
          </w:tcPr>
          <w:p w14:paraId="66C915B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Define revenue types clearly</w:t>
            </w:r>
          </w:p>
        </w:tc>
      </w:tr>
      <w:tr w:rsidR="001102C4" w:rsidRPr="001102C4" w14:paraId="1CDED49A" w14:textId="77777777">
        <w:trPr>
          <w:tblCellSpacing w:w="15" w:type="dxa"/>
        </w:trPr>
        <w:tc>
          <w:tcPr>
            <w:tcW w:w="0" w:type="auto"/>
            <w:vAlign w:val="center"/>
            <w:hideMark/>
          </w:tcPr>
          <w:p w14:paraId="5C43CBD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lastRenderedPageBreak/>
              <w:t>R5</w:t>
            </w:r>
          </w:p>
        </w:tc>
        <w:tc>
          <w:tcPr>
            <w:tcW w:w="0" w:type="auto"/>
            <w:vAlign w:val="center"/>
            <w:hideMark/>
          </w:tcPr>
          <w:p w14:paraId="2FEF565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Treating top-N rankings as insights</w:t>
            </w:r>
          </w:p>
        </w:tc>
        <w:tc>
          <w:tcPr>
            <w:tcW w:w="0" w:type="auto"/>
            <w:vAlign w:val="center"/>
            <w:hideMark/>
          </w:tcPr>
          <w:p w14:paraId="0BD0F92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Top-N may only reflect size, not opportunity</w:t>
            </w:r>
          </w:p>
        </w:tc>
        <w:tc>
          <w:tcPr>
            <w:tcW w:w="0" w:type="auto"/>
            <w:vAlign w:val="center"/>
            <w:hideMark/>
          </w:tcPr>
          <w:p w14:paraId="6AF38FC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 share, baseline, cohort, or over-index analysis</w:t>
            </w:r>
          </w:p>
        </w:tc>
      </w:tr>
      <w:tr w:rsidR="001102C4" w:rsidRPr="001102C4" w14:paraId="2C9ECF60" w14:textId="77777777">
        <w:trPr>
          <w:tblCellSpacing w:w="15" w:type="dxa"/>
        </w:trPr>
        <w:tc>
          <w:tcPr>
            <w:tcW w:w="0" w:type="auto"/>
            <w:vAlign w:val="center"/>
            <w:hideMark/>
          </w:tcPr>
          <w:p w14:paraId="2B8EEA9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R6</w:t>
            </w:r>
          </w:p>
        </w:tc>
        <w:tc>
          <w:tcPr>
            <w:tcW w:w="0" w:type="auto"/>
            <w:vAlign w:val="center"/>
            <w:hideMark/>
          </w:tcPr>
          <w:p w14:paraId="24CA8A1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Making causal claims from descriptive data</w:t>
            </w:r>
          </w:p>
        </w:tc>
        <w:tc>
          <w:tcPr>
            <w:tcW w:w="0" w:type="auto"/>
            <w:vAlign w:val="center"/>
            <w:hideMark/>
          </w:tcPr>
          <w:p w14:paraId="0921133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Dashboard may show association but not causation</w:t>
            </w:r>
          </w:p>
        </w:tc>
        <w:tc>
          <w:tcPr>
            <w:tcW w:w="0" w:type="auto"/>
            <w:vAlign w:val="center"/>
            <w:hideMark/>
          </w:tcPr>
          <w:p w14:paraId="54E9E90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 careful wording: “associated with,” “suggests,” “may indicate”</w:t>
            </w:r>
          </w:p>
        </w:tc>
      </w:tr>
      <w:tr w:rsidR="001102C4" w:rsidRPr="001102C4" w14:paraId="5B700E41" w14:textId="77777777">
        <w:trPr>
          <w:tblCellSpacing w:w="15" w:type="dxa"/>
        </w:trPr>
        <w:tc>
          <w:tcPr>
            <w:tcW w:w="0" w:type="auto"/>
            <w:vAlign w:val="center"/>
            <w:hideMark/>
          </w:tcPr>
          <w:p w14:paraId="6386511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R7</w:t>
            </w:r>
          </w:p>
        </w:tc>
        <w:tc>
          <w:tcPr>
            <w:tcW w:w="0" w:type="auto"/>
            <w:vAlign w:val="center"/>
            <w:hideMark/>
          </w:tcPr>
          <w:p w14:paraId="32E0E60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Using small segments for over-index analysis</w:t>
            </w:r>
          </w:p>
        </w:tc>
        <w:tc>
          <w:tcPr>
            <w:tcW w:w="0" w:type="auto"/>
            <w:vAlign w:val="center"/>
            <w:hideMark/>
          </w:tcPr>
          <w:p w14:paraId="78E6314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Small groups can produce misleading high ratios</w:t>
            </w:r>
          </w:p>
        </w:tc>
        <w:tc>
          <w:tcPr>
            <w:tcW w:w="0" w:type="auto"/>
            <w:vAlign w:val="center"/>
            <w:hideMark/>
          </w:tcPr>
          <w:p w14:paraId="31FD3F3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Add minimum sample-size checks</w:t>
            </w:r>
          </w:p>
        </w:tc>
      </w:tr>
      <w:tr w:rsidR="001102C4" w:rsidRPr="001102C4" w14:paraId="5AB78762" w14:textId="77777777">
        <w:trPr>
          <w:tblCellSpacing w:w="15" w:type="dxa"/>
        </w:trPr>
        <w:tc>
          <w:tcPr>
            <w:tcW w:w="0" w:type="auto"/>
            <w:vAlign w:val="center"/>
            <w:hideMark/>
          </w:tcPr>
          <w:p w14:paraId="74DFC08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R8</w:t>
            </w:r>
          </w:p>
        </w:tc>
        <w:tc>
          <w:tcPr>
            <w:tcW w:w="0" w:type="auto"/>
            <w:vAlign w:val="center"/>
            <w:hideMark/>
          </w:tcPr>
          <w:p w14:paraId="46EB0BD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Defining churn incorrectly</w:t>
            </w:r>
          </w:p>
        </w:tc>
        <w:tc>
          <w:tcPr>
            <w:tcW w:w="0" w:type="auto"/>
            <w:vAlign w:val="center"/>
            <w:hideMark/>
          </w:tcPr>
          <w:p w14:paraId="4231DB2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Churn could mean cancellation, inactivity, or expired subscription</w:t>
            </w:r>
          </w:p>
        </w:tc>
        <w:tc>
          <w:tcPr>
            <w:tcW w:w="0" w:type="auto"/>
            <w:vAlign w:val="center"/>
            <w:hideMark/>
          </w:tcPr>
          <w:p w14:paraId="0DB1027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Confirm churn definition</w:t>
            </w:r>
          </w:p>
        </w:tc>
      </w:tr>
      <w:tr w:rsidR="001102C4" w:rsidRPr="001102C4" w14:paraId="704F4EDA" w14:textId="77777777">
        <w:trPr>
          <w:tblCellSpacing w:w="15" w:type="dxa"/>
        </w:trPr>
        <w:tc>
          <w:tcPr>
            <w:tcW w:w="0" w:type="auto"/>
            <w:vAlign w:val="center"/>
            <w:hideMark/>
          </w:tcPr>
          <w:p w14:paraId="4DD1AEB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R9</w:t>
            </w:r>
          </w:p>
        </w:tc>
        <w:tc>
          <w:tcPr>
            <w:tcW w:w="0" w:type="auto"/>
            <w:vAlign w:val="center"/>
            <w:hideMark/>
          </w:tcPr>
          <w:p w14:paraId="0029775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Too many dashboard pages</w:t>
            </w:r>
          </w:p>
        </w:tc>
        <w:tc>
          <w:tcPr>
            <w:tcW w:w="0" w:type="auto"/>
            <w:vAlign w:val="center"/>
            <w:hideMark/>
          </w:tcPr>
          <w:p w14:paraId="51D3B63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Project may become unfocused</w:t>
            </w:r>
          </w:p>
        </w:tc>
        <w:tc>
          <w:tcPr>
            <w:tcW w:w="0" w:type="auto"/>
            <w:vAlign w:val="center"/>
            <w:hideMark/>
          </w:tcPr>
          <w:p w14:paraId="420260F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Limit final dashboard to 4 pages</w:t>
            </w:r>
          </w:p>
        </w:tc>
      </w:tr>
      <w:tr w:rsidR="001102C4" w:rsidRPr="001102C4" w14:paraId="768DC0F5" w14:textId="77777777">
        <w:trPr>
          <w:tblCellSpacing w:w="15" w:type="dxa"/>
        </w:trPr>
        <w:tc>
          <w:tcPr>
            <w:tcW w:w="0" w:type="auto"/>
            <w:vAlign w:val="center"/>
            <w:hideMark/>
          </w:tcPr>
          <w:p w14:paraId="2D9100F3"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R10</w:t>
            </w:r>
          </w:p>
        </w:tc>
        <w:tc>
          <w:tcPr>
            <w:tcW w:w="0" w:type="auto"/>
            <w:vAlign w:val="center"/>
            <w:hideMark/>
          </w:tcPr>
          <w:p w14:paraId="2EDE389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Too many KPIs</w:t>
            </w:r>
          </w:p>
        </w:tc>
        <w:tc>
          <w:tcPr>
            <w:tcW w:w="0" w:type="auto"/>
            <w:vAlign w:val="center"/>
            <w:hideMark/>
          </w:tcPr>
          <w:p w14:paraId="1E2D587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Dashboard becomes cluttered and hard to read</w:t>
            </w:r>
          </w:p>
        </w:tc>
        <w:tc>
          <w:tcPr>
            <w:tcW w:w="0" w:type="auto"/>
            <w:vAlign w:val="center"/>
            <w:hideMark/>
          </w:tcPr>
          <w:p w14:paraId="4CA87B4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Select only KPIs tied to business questions</w:t>
            </w:r>
          </w:p>
        </w:tc>
      </w:tr>
    </w:tbl>
    <w:p w14:paraId="37306E5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745E9E2F">
          <v:rect id="_x0000_i1114" style="width:0;height:1.5pt" o:hralign="center" o:hrstd="t" o:hr="t" fillcolor="#a0a0a0" stroked="f"/>
        </w:pict>
      </w:r>
    </w:p>
    <w:p w14:paraId="5806CD43"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9. Decision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3001"/>
        <w:gridCol w:w="3499"/>
        <w:gridCol w:w="2110"/>
      </w:tblGrid>
      <w:tr w:rsidR="001102C4" w:rsidRPr="001102C4" w14:paraId="27CE2CD8" w14:textId="77777777">
        <w:trPr>
          <w:tblHeader/>
          <w:tblCellSpacing w:w="15" w:type="dxa"/>
        </w:trPr>
        <w:tc>
          <w:tcPr>
            <w:tcW w:w="0" w:type="auto"/>
            <w:vAlign w:val="center"/>
            <w:hideMark/>
          </w:tcPr>
          <w:p w14:paraId="17FD5743"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Date / Day</w:t>
            </w:r>
          </w:p>
        </w:tc>
        <w:tc>
          <w:tcPr>
            <w:tcW w:w="0" w:type="auto"/>
            <w:vAlign w:val="center"/>
            <w:hideMark/>
          </w:tcPr>
          <w:p w14:paraId="6D096999"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Decision</w:t>
            </w:r>
          </w:p>
        </w:tc>
        <w:tc>
          <w:tcPr>
            <w:tcW w:w="0" w:type="auto"/>
            <w:vAlign w:val="center"/>
            <w:hideMark/>
          </w:tcPr>
          <w:p w14:paraId="1D24FEA2"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Reason</w:t>
            </w:r>
          </w:p>
        </w:tc>
        <w:tc>
          <w:tcPr>
            <w:tcW w:w="0" w:type="auto"/>
            <w:vAlign w:val="center"/>
            <w:hideMark/>
          </w:tcPr>
          <w:p w14:paraId="2F493DA2"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Impact</w:t>
            </w:r>
          </w:p>
        </w:tc>
      </w:tr>
      <w:tr w:rsidR="001102C4" w:rsidRPr="001102C4" w14:paraId="5AFA6AC2" w14:textId="77777777">
        <w:trPr>
          <w:tblCellSpacing w:w="15" w:type="dxa"/>
        </w:trPr>
        <w:tc>
          <w:tcPr>
            <w:tcW w:w="0" w:type="auto"/>
            <w:vAlign w:val="center"/>
            <w:hideMark/>
          </w:tcPr>
          <w:p w14:paraId="2B9B2EC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Day 1</w:t>
            </w:r>
          </w:p>
        </w:tc>
        <w:tc>
          <w:tcPr>
            <w:tcW w:w="0" w:type="auto"/>
            <w:vAlign w:val="center"/>
            <w:hideMark/>
          </w:tcPr>
          <w:p w14:paraId="7B5DD5F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 5 core business questions</w:t>
            </w:r>
          </w:p>
        </w:tc>
        <w:tc>
          <w:tcPr>
            <w:tcW w:w="0" w:type="auto"/>
            <w:vAlign w:val="center"/>
            <w:hideMark/>
          </w:tcPr>
          <w:p w14:paraId="59E555FE"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Covers business health, revenue, engagement/churn, content/market, and risk</w:t>
            </w:r>
          </w:p>
        </w:tc>
        <w:tc>
          <w:tcPr>
            <w:tcW w:w="0" w:type="auto"/>
            <w:vAlign w:val="center"/>
            <w:hideMark/>
          </w:tcPr>
          <w:p w14:paraId="4E20CA3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Keeps project focused</w:t>
            </w:r>
          </w:p>
        </w:tc>
      </w:tr>
      <w:tr w:rsidR="001102C4" w:rsidRPr="001102C4" w14:paraId="4F266C60" w14:textId="77777777">
        <w:trPr>
          <w:tblCellSpacing w:w="15" w:type="dxa"/>
        </w:trPr>
        <w:tc>
          <w:tcPr>
            <w:tcW w:w="0" w:type="auto"/>
            <w:vAlign w:val="center"/>
            <w:hideMark/>
          </w:tcPr>
          <w:p w14:paraId="53DE78F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Day 1</w:t>
            </w:r>
          </w:p>
        </w:tc>
        <w:tc>
          <w:tcPr>
            <w:tcW w:w="0" w:type="auto"/>
            <w:vAlign w:val="center"/>
            <w:hideMark/>
          </w:tcPr>
          <w:p w14:paraId="18D318B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Limit dashboard to 4 pages</w:t>
            </w:r>
          </w:p>
        </w:tc>
        <w:tc>
          <w:tcPr>
            <w:tcW w:w="0" w:type="auto"/>
            <w:vAlign w:val="center"/>
            <w:hideMark/>
          </w:tcPr>
          <w:p w14:paraId="7568B3F1"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Fits challenge timeline and avoids scope creep</w:t>
            </w:r>
          </w:p>
        </w:tc>
        <w:tc>
          <w:tcPr>
            <w:tcW w:w="0" w:type="auto"/>
            <w:vAlign w:val="center"/>
            <w:hideMark/>
          </w:tcPr>
          <w:p w14:paraId="4CCC27F9"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Makes dashboard easier to present</w:t>
            </w:r>
          </w:p>
        </w:tc>
      </w:tr>
      <w:tr w:rsidR="001102C4" w:rsidRPr="001102C4" w14:paraId="2B2D3B8D" w14:textId="77777777">
        <w:trPr>
          <w:tblCellSpacing w:w="15" w:type="dxa"/>
        </w:trPr>
        <w:tc>
          <w:tcPr>
            <w:tcW w:w="0" w:type="auto"/>
            <w:vAlign w:val="center"/>
            <w:hideMark/>
          </w:tcPr>
          <w:p w14:paraId="10186E7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Day 1</w:t>
            </w:r>
          </w:p>
        </w:tc>
        <w:tc>
          <w:tcPr>
            <w:tcW w:w="0" w:type="auto"/>
            <w:vAlign w:val="center"/>
            <w:hideMark/>
          </w:tcPr>
          <w:p w14:paraId="145207D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Treat fraud analysis as risk review, not complex fraud modelling</w:t>
            </w:r>
          </w:p>
        </w:tc>
        <w:tc>
          <w:tcPr>
            <w:tcW w:w="0" w:type="auto"/>
            <w:vAlign w:val="center"/>
            <w:hideMark/>
          </w:tcPr>
          <w:p w14:paraId="2A04C48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15-day timeline is too short for full fraud model</w:t>
            </w:r>
          </w:p>
        </w:tc>
        <w:tc>
          <w:tcPr>
            <w:tcW w:w="0" w:type="auto"/>
            <w:vAlign w:val="center"/>
            <w:hideMark/>
          </w:tcPr>
          <w:p w14:paraId="13F4A366"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Keeps scope realistic</w:t>
            </w:r>
          </w:p>
        </w:tc>
      </w:tr>
      <w:tr w:rsidR="001102C4" w:rsidRPr="001102C4" w14:paraId="5AF24D1D" w14:textId="77777777">
        <w:trPr>
          <w:tblCellSpacing w:w="15" w:type="dxa"/>
        </w:trPr>
        <w:tc>
          <w:tcPr>
            <w:tcW w:w="0" w:type="auto"/>
            <w:vAlign w:val="center"/>
            <w:hideMark/>
          </w:tcPr>
          <w:p w14:paraId="01524C3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lastRenderedPageBreak/>
              <w:t>Day 1</w:t>
            </w:r>
          </w:p>
        </w:tc>
        <w:tc>
          <w:tcPr>
            <w:tcW w:w="0" w:type="auto"/>
            <w:vAlign w:val="center"/>
            <w:hideMark/>
          </w:tcPr>
          <w:p w14:paraId="4D43ACF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Separate MRR analysis from session-level revenue until definitions are confirmed</w:t>
            </w:r>
          </w:p>
        </w:tc>
        <w:tc>
          <w:tcPr>
            <w:tcW w:w="0" w:type="auto"/>
            <w:vAlign w:val="center"/>
            <w:hideMark/>
          </w:tcPr>
          <w:p w14:paraId="384F02F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Prevents incorrect revenue interpretation</w:t>
            </w:r>
          </w:p>
        </w:tc>
        <w:tc>
          <w:tcPr>
            <w:tcW w:w="0" w:type="auto"/>
            <w:vAlign w:val="center"/>
            <w:hideMark/>
          </w:tcPr>
          <w:p w14:paraId="4A3128A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Reduces KPI calculation risk</w:t>
            </w:r>
          </w:p>
        </w:tc>
      </w:tr>
      <w:tr w:rsidR="001102C4" w:rsidRPr="001102C4" w14:paraId="3CB490E8" w14:textId="77777777">
        <w:trPr>
          <w:tblCellSpacing w:w="15" w:type="dxa"/>
        </w:trPr>
        <w:tc>
          <w:tcPr>
            <w:tcW w:w="0" w:type="auto"/>
            <w:vAlign w:val="center"/>
            <w:hideMark/>
          </w:tcPr>
          <w:p w14:paraId="1C852A5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Day 1</w:t>
            </w:r>
          </w:p>
        </w:tc>
        <w:tc>
          <w:tcPr>
            <w:tcW w:w="0" w:type="auto"/>
            <w:vAlign w:val="center"/>
            <w:hideMark/>
          </w:tcPr>
          <w:p w14:paraId="3BB5955C"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Include over-index analysis if possible</w:t>
            </w:r>
          </w:p>
        </w:tc>
        <w:tc>
          <w:tcPr>
            <w:tcW w:w="0" w:type="auto"/>
            <w:vAlign w:val="center"/>
            <w:hideMark/>
          </w:tcPr>
          <w:p w14:paraId="402FB0C8"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Challenge values insights beyond top-N rankings</w:t>
            </w:r>
          </w:p>
        </w:tc>
        <w:tc>
          <w:tcPr>
            <w:tcW w:w="0" w:type="auto"/>
            <w:vAlign w:val="center"/>
            <w:hideMark/>
          </w:tcPr>
          <w:p w14:paraId="009DB1A4"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Improves analytical depth</w:t>
            </w:r>
          </w:p>
        </w:tc>
      </w:tr>
      <w:tr w:rsidR="001102C4" w:rsidRPr="001102C4" w14:paraId="749F22C9" w14:textId="77777777">
        <w:trPr>
          <w:tblCellSpacing w:w="15" w:type="dxa"/>
        </w:trPr>
        <w:tc>
          <w:tcPr>
            <w:tcW w:w="0" w:type="auto"/>
            <w:vAlign w:val="center"/>
            <w:hideMark/>
          </w:tcPr>
          <w:p w14:paraId="7627F430"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Day 1</w:t>
            </w:r>
          </w:p>
        </w:tc>
        <w:tc>
          <w:tcPr>
            <w:tcW w:w="0" w:type="auto"/>
            <w:vAlign w:val="center"/>
            <w:hideMark/>
          </w:tcPr>
          <w:p w14:paraId="75CFCDE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Use business questions before choosing charts</w:t>
            </w:r>
          </w:p>
        </w:tc>
        <w:tc>
          <w:tcPr>
            <w:tcW w:w="0" w:type="auto"/>
            <w:vAlign w:val="center"/>
            <w:hideMark/>
          </w:tcPr>
          <w:p w14:paraId="401BB392"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Avoids building random visuals</w:t>
            </w:r>
          </w:p>
        </w:tc>
        <w:tc>
          <w:tcPr>
            <w:tcW w:w="0" w:type="auto"/>
            <w:vAlign w:val="center"/>
            <w:hideMark/>
          </w:tcPr>
          <w:p w14:paraId="01C4C3FB"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Keeps dashboard story-driven</w:t>
            </w:r>
          </w:p>
        </w:tc>
      </w:tr>
      <w:tr w:rsidR="001102C4" w:rsidRPr="001102C4" w14:paraId="263EF9CB" w14:textId="77777777">
        <w:trPr>
          <w:tblCellSpacing w:w="15" w:type="dxa"/>
        </w:trPr>
        <w:tc>
          <w:tcPr>
            <w:tcW w:w="0" w:type="auto"/>
            <w:vAlign w:val="center"/>
            <w:hideMark/>
          </w:tcPr>
          <w:p w14:paraId="1806787A"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Day 1</w:t>
            </w:r>
          </w:p>
        </w:tc>
        <w:tc>
          <w:tcPr>
            <w:tcW w:w="0" w:type="auto"/>
            <w:vAlign w:val="center"/>
            <w:hideMark/>
          </w:tcPr>
          <w:p w14:paraId="4B48A9A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Build the project as a portfolio piece, not only a challenge submission</w:t>
            </w:r>
          </w:p>
        </w:tc>
        <w:tc>
          <w:tcPr>
            <w:tcW w:w="0" w:type="auto"/>
            <w:vAlign w:val="center"/>
            <w:hideMark/>
          </w:tcPr>
          <w:p w14:paraId="3DA22505"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Supports job applications for BA/DA/BI roles</w:t>
            </w:r>
          </w:p>
        </w:tc>
        <w:tc>
          <w:tcPr>
            <w:tcW w:w="0" w:type="auto"/>
            <w:vAlign w:val="center"/>
            <w:hideMark/>
          </w:tcPr>
          <w:p w14:paraId="1072FC1F"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t>Improves documentation quality</w:t>
            </w:r>
          </w:p>
        </w:tc>
      </w:tr>
    </w:tbl>
    <w:p w14:paraId="5901B3FD" w14:textId="77777777" w:rsidR="001102C4" w:rsidRPr="001102C4" w:rsidRDefault="001102C4" w:rsidP="001102C4">
      <w:pPr>
        <w:rPr>
          <w:rFonts w:ascii="Times New Roman" w:hAnsi="Times New Roman" w:cs="Times New Roman"/>
          <w:sz w:val="26"/>
          <w:szCs w:val="26"/>
        </w:rPr>
      </w:pPr>
      <w:r w:rsidRPr="001102C4">
        <w:rPr>
          <w:rFonts w:ascii="Times New Roman" w:hAnsi="Times New Roman" w:cs="Times New Roman"/>
          <w:sz w:val="26"/>
          <w:szCs w:val="26"/>
        </w:rPr>
        <w:pict w14:anchorId="6CE75FE4">
          <v:rect id="_x0000_i1115" style="width:0;height:1.5pt" o:hralign="center" o:hrstd="t" o:hr="t" fillcolor="#a0a0a0" stroked="f"/>
        </w:pict>
      </w:r>
    </w:p>
    <w:p w14:paraId="3162E98C" w14:textId="77777777" w:rsidR="001102C4" w:rsidRPr="001102C4" w:rsidRDefault="001102C4" w:rsidP="001102C4">
      <w:pPr>
        <w:rPr>
          <w:rFonts w:ascii="Times New Roman" w:hAnsi="Times New Roman" w:cs="Times New Roman"/>
          <w:b/>
          <w:bCs/>
          <w:sz w:val="26"/>
          <w:szCs w:val="26"/>
        </w:rPr>
      </w:pPr>
      <w:r w:rsidRPr="001102C4">
        <w:rPr>
          <w:rFonts w:ascii="Times New Roman" w:hAnsi="Times New Roman" w:cs="Times New Roman"/>
          <w:b/>
          <w:bCs/>
          <w:sz w:val="26"/>
          <w:szCs w:val="26"/>
        </w:rPr>
        <w:t>10. Open Questions for DATA_DICTIONARY.md</w:t>
      </w:r>
    </w:p>
    <w:p w14:paraId="3AA66445"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What is the grain of the listening sessions fact table? </w:t>
      </w:r>
    </w:p>
    <w:p w14:paraId="1C617EB0"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What is the grain of the subscription events fact table? </w:t>
      </w:r>
    </w:p>
    <w:p w14:paraId="6345F4AF"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What are the primary keys and foreign keys of each table? </w:t>
      </w:r>
    </w:p>
    <w:p w14:paraId="0DC8DA1C"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is MRR before / after / change defined? </w:t>
      </w:r>
    </w:p>
    <w:p w14:paraId="6D64134D"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Is session-level revenue separate from subscription MRR? </w:t>
      </w:r>
    </w:p>
    <w:p w14:paraId="3345547B"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is churn defined? </w:t>
      </w:r>
    </w:p>
    <w:p w14:paraId="05C6AE8E"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is retention defined? </w:t>
      </w:r>
    </w:p>
    <w:p w14:paraId="32233615"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is ARPU expected to be calculated? </w:t>
      </w:r>
    </w:p>
    <w:p w14:paraId="0BDE9BD3"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are Free, Paid, Premium, and Family tiers represented? </w:t>
      </w:r>
    </w:p>
    <w:p w14:paraId="760C991C"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are signup, upgrade, downgrade, churn, and retention events defined? </w:t>
      </w:r>
    </w:p>
    <w:p w14:paraId="5C5AAE7F"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Can one user have multiple subscription events? </w:t>
      </w:r>
    </w:p>
    <w:p w14:paraId="1DE52A8F"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Which date field should be used for monthly subscription trend analysis? </w:t>
      </w:r>
    </w:p>
    <w:p w14:paraId="7B9E836B"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lastRenderedPageBreak/>
        <w:t xml:space="preserve">Which date field should be used for listening trend analysis? </w:t>
      </w:r>
    </w:p>
    <w:p w14:paraId="0B24870D"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What does is_fraud_cluster mean? </w:t>
      </w:r>
    </w:p>
    <w:p w14:paraId="135DB5D9"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Is fraud flag at user level, session level, or another level? </w:t>
      </w:r>
    </w:p>
    <w:p w14:paraId="0D15FB2F"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How should the playlist-track bridge be used? </w:t>
      </w:r>
    </w:p>
    <w:p w14:paraId="1F51FA24"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Can one track belong to multiple playlists? </w:t>
      </w:r>
    </w:p>
    <w:p w14:paraId="26F5F62B"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Are recommended tracks flagged directly? </w:t>
      </w:r>
    </w:p>
    <w:p w14:paraId="44F1A736"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 xml:space="preserve">Are refunds, failed payments, or negative revenue values included? </w:t>
      </w:r>
    </w:p>
    <w:p w14:paraId="05A8A96C" w14:textId="77777777" w:rsidR="001102C4" w:rsidRPr="001102C4" w:rsidRDefault="001102C4" w:rsidP="001102C4">
      <w:pPr>
        <w:numPr>
          <w:ilvl w:val="0"/>
          <w:numId w:val="2"/>
        </w:numPr>
        <w:rPr>
          <w:rFonts w:ascii="Times New Roman" w:hAnsi="Times New Roman" w:cs="Times New Roman"/>
          <w:sz w:val="26"/>
          <w:szCs w:val="26"/>
        </w:rPr>
      </w:pPr>
      <w:r w:rsidRPr="001102C4">
        <w:rPr>
          <w:rFonts w:ascii="Times New Roman" w:hAnsi="Times New Roman" w:cs="Times New Roman"/>
          <w:sz w:val="26"/>
          <w:szCs w:val="26"/>
        </w:rPr>
        <w:t>What is the correct way to calculate active users?</w:t>
      </w:r>
    </w:p>
    <w:p w14:paraId="4482F823" w14:textId="77777777" w:rsidR="00113274" w:rsidRPr="001102C4" w:rsidRDefault="00113274" w:rsidP="001102C4">
      <w:pPr>
        <w:rPr>
          <w:rFonts w:ascii="Times New Roman" w:hAnsi="Times New Roman" w:cs="Times New Roman"/>
          <w:sz w:val="26"/>
          <w:szCs w:val="26"/>
        </w:rPr>
      </w:pPr>
    </w:p>
    <w:sectPr w:rsidR="00113274" w:rsidRPr="0011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3D97"/>
    <w:multiLevelType w:val="multilevel"/>
    <w:tmpl w:val="2BF2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D1545"/>
    <w:multiLevelType w:val="multilevel"/>
    <w:tmpl w:val="7104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009674">
    <w:abstractNumId w:val="1"/>
  </w:num>
  <w:num w:numId="2" w16cid:durableId="5200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C4"/>
    <w:rsid w:val="001102C4"/>
    <w:rsid w:val="00113274"/>
    <w:rsid w:val="00213BB5"/>
    <w:rsid w:val="002519A4"/>
    <w:rsid w:val="003129A4"/>
    <w:rsid w:val="005741E6"/>
    <w:rsid w:val="0059411C"/>
    <w:rsid w:val="005C6543"/>
    <w:rsid w:val="00B64814"/>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60C3"/>
  <w15:chartTrackingRefBased/>
  <w15:docId w15:val="{A8224DC4-ADBB-415B-9EF2-446DCE11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2C4"/>
    <w:rPr>
      <w:rFonts w:eastAsiaTheme="majorEastAsia" w:cstheme="majorBidi"/>
      <w:color w:val="272727" w:themeColor="text1" w:themeTint="D8"/>
    </w:rPr>
  </w:style>
  <w:style w:type="paragraph" w:styleId="Title">
    <w:name w:val="Title"/>
    <w:basedOn w:val="Normal"/>
    <w:next w:val="Normal"/>
    <w:link w:val="TitleChar"/>
    <w:uiPriority w:val="10"/>
    <w:qFormat/>
    <w:rsid w:val="00110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2C4"/>
    <w:pPr>
      <w:spacing w:before="160"/>
      <w:jc w:val="center"/>
    </w:pPr>
    <w:rPr>
      <w:i/>
      <w:iCs/>
      <w:color w:val="404040" w:themeColor="text1" w:themeTint="BF"/>
    </w:rPr>
  </w:style>
  <w:style w:type="character" w:customStyle="1" w:styleId="QuoteChar">
    <w:name w:val="Quote Char"/>
    <w:basedOn w:val="DefaultParagraphFont"/>
    <w:link w:val="Quote"/>
    <w:uiPriority w:val="29"/>
    <w:rsid w:val="001102C4"/>
    <w:rPr>
      <w:i/>
      <w:iCs/>
      <w:color w:val="404040" w:themeColor="text1" w:themeTint="BF"/>
    </w:rPr>
  </w:style>
  <w:style w:type="paragraph" w:styleId="ListParagraph">
    <w:name w:val="List Paragraph"/>
    <w:basedOn w:val="Normal"/>
    <w:uiPriority w:val="34"/>
    <w:qFormat/>
    <w:rsid w:val="001102C4"/>
    <w:pPr>
      <w:ind w:left="720"/>
      <w:contextualSpacing/>
    </w:pPr>
  </w:style>
  <w:style w:type="character" w:styleId="IntenseEmphasis">
    <w:name w:val="Intense Emphasis"/>
    <w:basedOn w:val="DefaultParagraphFont"/>
    <w:uiPriority w:val="21"/>
    <w:qFormat/>
    <w:rsid w:val="001102C4"/>
    <w:rPr>
      <w:i/>
      <w:iCs/>
      <w:color w:val="2F5496" w:themeColor="accent1" w:themeShade="BF"/>
    </w:rPr>
  </w:style>
  <w:style w:type="paragraph" w:styleId="IntenseQuote">
    <w:name w:val="Intense Quote"/>
    <w:basedOn w:val="Normal"/>
    <w:next w:val="Normal"/>
    <w:link w:val="IntenseQuoteChar"/>
    <w:uiPriority w:val="30"/>
    <w:qFormat/>
    <w:rsid w:val="00110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2C4"/>
    <w:rPr>
      <w:i/>
      <w:iCs/>
      <w:color w:val="2F5496" w:themeColor="accent1" w:themeShade="BF"/>
    </w:rPr>
  </w:style>
  <w:style w:type="character" w:styleId="IntenseReference">
    <w:name w:val="Intense Reference"/>
    <w:basedOn w:val="DefaultParagraphFont"/>
    <w:uiPriority w:val="32"/>
    <w:qFormat/>
    <w:rsid w:val="00110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2633</Words>
  <Characters>15012</Characters>
  <Application>Microsoft Office Word</Application>
  <DocSecurity>0</DocSecurity>
  <Lines>125</Lines>
  <Paragraphs>35</Paragraphs>
  <ScaleCrop>false</ScaleCrop>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Hao</dc:creator>
  <cp:keywords/>
  <dc:description/>
  <cp:lastModifiedBy>The Hao</cp:lastModifiedBy>
  <cp:revision>1</cp:revision>
  <dcterms:created xsi:type="dcterms:W3CDTF">2026-05-23T14:00:00Z</dcterms:created>
  <dcterms:modified xsi:type="dcterms:W3CDTF">2026-05-23T14:05:00Z</dcterms:modified>
</cp:coreProperties>
</file>