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F85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1.示例</w:t>
      </w:r>
      <w:bookmarkStart w:id="0" w:name="_GoBack"/>
      <w:bookmarkEnd w:id="0"/>
    </w:p>
    <w:p w14:paraId="5D49A268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 xml:space="preserve">陈曦，张晓东，顾晰，等. 经鼓室钆注射内耳成像技术在梅尼埃病患者中的临床应用[J]．中华医学杂志，2011, 91（46）：3246-3249. DOI：10.3760/cma.j.issn.0376-2491.2011.46.003. </w:t>
      </w:r>
    </w:p>
    <w:p w14:paraId="61E70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Schnurr C，Nessler J，König DP. Is referencing the posterior con-dyles sufficient to achieve a rectangular flexion gap in total knee arthroplasty？[J]. Int Orthop，2009，33（6）：1561-1565. DOI：10.1007/s00264-008-0656-2.</w:t>
      </w:r>
    </w:p>
    <w:p w14:paraId="685F0B8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期刊分卷，每期单独编页码</w:t>
      </w:r>
    </w:p>
    <w:p w14:paraId="7641250C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戚德祥. 融合发展时代出版企业管理生态重构研究[J]. 科技与出版，2020，39（12）：10-14. DOI：10.16510/j.cnki.kjycb.20201210.009.</w:t>
      </w:r>
    </w:p>
    <w:p w14:paraId="48C71FEE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期刊不分卷</w:t>
      </w:r>
    </w:p>
    <w:p w14:paraId="5234665B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 xml:space="preserve">Tsoi DT，Porwal M，Webster AC. Interventions for smoking cessation and reduction in individuals with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schizophrenia[J]. Cochrane Database Syst Rev，2013（2）：CD007253. DOI：10.1002/14651858.CD007253.pub3.</w:t>
      </w:r>
    </w:p>
    <w:p w14:paraId="67CABF85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期刊有卷无期</w:t>
      </w:r>
    </w:p>
    <w:p w14:paraId="26B30337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Prikryl R，Ustohal L，Kucerova HP，et al. Repetitive transcranial magnetic stimulation reduces cigarette consumption in schizophrenia patients[J]. Prog Neuropsychopharmacol Biol Psychiatry，2014，49：30-35. DOI：10.1016/j.pnpbp.2013.10.019.</w:t>
      </w:r>
    </w:p>
    <w:p w14:paraId="2781A6AC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期刊无卷和期</w:t>
      </w:r>
    </w:p>
    <w:p w14:paraId="40F3ADC1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Browell DA，Lennard TW. Imunologic status of the cancer patients and the effects of blood transfusion on antitumor responses[J]. Curr Opin Gen Surg，1993：325-333.</w:t>
      </w:r>
    </w:p>
    <w:p w14:paraId="3C7F0699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卷的增刊</w:t>
      </w:r>
    </w:p>
    <w:p w14:paraId="197A16C1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马大庆. 呼吸系统影像诊断 60 年的进展[J]. 中华放射学杂志，2013，47 增刊：20-23. DOI：10.3760/cma.j.issn.1005-1201.2013.z1.006.</w:t>
      </w:r>
    </w:p>
    <w:p w14:paraId="11C40C75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Géraud G，Spierings EL，Keywood C. Tolerability and safety of frovatriptan with short- and long-term use for treatment of migraine and in comparison with sumatriptan[J]. Headache，2002，42 Suppl 2：S93-S99.DOI：10.1046/j.1526-4610.42.s2.7.x.</w:t>
      </w:r>
    </w:p>
    <w:p w14:paraId="235A15D4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卷中分部</w:t>
      </w:r>
    </w:p>
    <w:p w14:paraId="3F3E319F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Whitwell JL，Przybelski SA，Weigand SD，et al. 3D maps from multiple MRI illustrate changing atrophy patterns as subjects progress from mild cognitive impairment to Alzheimer's disease[J]. Brain，2007，130（Pt 7）：1777-1786. DOI：10.1093/brain/awm112.</w:t>
      </w:r>
    </w:p>
    <w:p w14:paraId="1106BFC9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期的增刊</w:t>
      </w:r>
    </w:p>
    <w:p w14:paraId="06185908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Glauser TA. Integrating clinical trial data into clinical practice[J]. Neurology，2002，58（12 Suppl 7）：S6-S12. DOI：10.1212/wnl.58.12_suppl_7.s6.</w:t>
      </w:r>
    </w:p>
    <w:p w14:paraId="2593BF8C"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期中分册</w:t>
      </w:r>
    </w:p>
    <w:p w14:paraId="196F8DEC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 xml:space="preserve">Ahrar K，Madoff DC，Gupta S，et al. Development of a large animal model for lung tumors[J]. J Vasc 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nterv Radiol，2002，13（9 Pt 1）：923-928. DOI：10.1016/s1051-0443（07）61776-x.</w:t>
      </w:r>
    </w:p>
    <w:p w14:paraId="7961E434">
      <w:pPr>
        <w:rPr>
          <w:rFonts w:hint="eastAsia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两期合刊</w:t>
      </w:r>
    </w:p>
    <w:p w14:paraId="71EE3F44">
      <w:pPr>
        <w:rPr>
          <w:rFonts w:hint="eastAsia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</w:rPr>
        <w:t>Rose ME，Huerbin MB，Melick J，et al. Regulation of interstitial excitatory amino acid concentrations after cortical contusion injury[J]. Brain Res，2002，935（1/2）：40-46. DOI：10.1016/s0006-8993（02）02445-9.</w:t>
      </w:r>
    </w:p>
    <w:p w14:paraId="6B4FACDD"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示例:</w:t>
      </w:r>
      <w:r>
        <w:rPr>
          <w:rFonts w:hint="eastAsia"/>
        </w:rPr>
        <w:t>张宜爽，王好博，傅海涛，等. 海上飞行心理应激防护训练实证研究[J]. 中华航空航天医学杂志，2018，29（3/4）：181-187.DOI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10.3760/cma.j.issn.1007-6239.2018.03-04.004.</w:t>
      </w:r>
    </w:p>
    <w:p w14:paraId="1F3D8939">
      <w:pPr>
        <w:rPr>
          <w:rFonts w:hint="eastAsia"/>
        </w:rPr>
      </w:pPr>
      <w:r>
        <w:rPr>
          <w:rFonts w:hint="eastAsia"/>
          <w:lang w:val="en-US" w:eastAsia="zh-CN"/>
        </w:rPr>
        <w:t>11.</w:t>
      </w:r>
      <w:r>
        <w:rPr>
          <w:rFonts w:hint="eastAsia"/>
        </w:rPr>
        <w:t>团体责任者</w:t>
      </w:r>
    </w:p>
    <w:p w14:paraId="0B117D75">
      <w:pPr>
        <w:rPr>
          <w:rFonts w:hint="eastAsia"/>
        </w:rPr>
      </w:pPr>
      <w:r>
        <w:rPr>
          <w:rFonts w:hint="eastAsia"/>
          <w:lang w:val="en-US" w:eastAsia="zh-CN"/>
        </w:rPr>
        <w:t>示例:</w:t>
      </w:r>
      <w:r>
        <w:rPr>
          <w:rFonts w:hint="eastAsia"/>
        </w:rPr>
        <w:t>Diabetes Prevention Program Research Group. Hypertension，insulin，and proinsulin in participants with impaired glucose tolerance[J]. Hypertension，2002，40（5）：679-686. DOI：10.1161/01.hyp.0000035706.28494.09.</w:t>
      </w:r>
    </w:p>
    <w:p w14:paraId="1BC248A1">
      <w:pPr>
        <w:rPr>
          <w:rFonts w:hint="eastAsia"/>
        </w:rPr>
      </w:pPr>
      <w:r>
        <w:rPr>
          <w:rFonts w:hint="eastAsia"/>
          <w:lang w:val="en-US" w:eastAsia="zh-CN"/>
        </w:rPr>
        <w:t>示例:</w:t>
      </w:r>
      <w:r>
        <w:rPr>
          <w:rFonts w:hint="eastAsia"/>
        </w:rPr>
        <w:t>国家卫生健康委员会疾病预防控制局，国家心血管病中心，中国医学科学院阜外医院，等. 中国高血压健康管理规范（2019）[J] .中华心血管病杂志，2020，48 （1）：10-46. DOI：10.3760/cma.j.issn.0253-3758.2020.01.004.</w:t>
      </w:r>
    </w:p>
    <w:p w14:paraId="458F63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5A7BC"/>
    <w:rsid w:val="3FF5A7BC"/>
    <w:rsid w:val="FD7F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2025-03-24T01:08:00Z</dcterms:created>
  <dc:creator>Eno_88990</dc:creator>
  <cp:lastModifiedBy>Eno_88990</cp:lastModifiedBy>
  <dcterms:modified xsi:type="dcterms:W3CDTF">2026-04-05T21:37:03Z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788C57EEAB3CCAC18ECFDF67ECD2420B_41</vt:lpwstr>
  </property>
</Properties>
</file>